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50" w:rsidRPr="00F47AAF" w:rsidRDefault="00FB6147" w:rsidP="00F47AAF">
      <w:pPr>
        <w:jc w:val="center"/>
        <w:rPr>
          <w:rFonts w:ascii="Arial" w:hAnsi="Arial" w:cs="Arial"/>
        </w:rPr>
      </w:pPr>
      <w:r w:rsidRPr="00F47AAF">
        <w:rPr>
          <w:rFonts w:ascii="Arial" w:hAnsi="Arial" w:cs="Arial"/>
        </w:rPr>
        <w:t>Métodos tradicionales del software</w:t>
      </w:r>
    </w:p>
    <w:p w:rsidR="00FB6147" w:rsidRPr="00F47AAF" w:rsidRDefault="00FB6147" w:rsidP="00F47AAF">
      <w:pPr>
        <w:jc w:val="both"/>
        <w:rPr>
          <w:rFonts w:ascii="Arial" w:hAnsi="Arial" w:cs="Arial"/>
        </w:rPr>
      </w:pPr>
    </w:p>
    <w:p w:rsidR="00F47AAF" w:rsidRPr="00F47AAF" w:rsidRDefault="00FB6147" w:rsidP="00F47AAF">
      <w:pPr>
        <w:pStyle w:val="NormalWeb"/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 xml:space="preserve">En la actualidad existen diferentes tipos de software que han sido utilizados a traves de los años por importantes empresas y universidades, que son clasificados por sus </w:t>
      </w:r>
      <w:r w:rsidRPr="00F47AAF">
        <w:rPr>
          <w:rFonts w:ascii="Arial" w:hAnsi="Arial" w:cs="Arial"/>
          <w:lang w:val="es-ES_tradnl"/>
        </w:rPr>
        <w:t>características</w:t>
      </w:r>
      <w:r w:rsidRPr="00F47AAF">
        <w:rPr>
          <w:rFonts w:ascii="Arial" w:hAnsi="Arial" w:cs="Arial"/>
        </w:rPr>
        <w:t xml:space="preserve"> al momento de ser realizaados o simplemente por las necesidades que deben ser cubiertas. </w:t>
      </w:r>
      <w:r w:rsidR="00F47AAF" w:rsidRPr="00F47AAF">
        <w:rPr>
          <w:rFonts w:ascii="Arial" w:hAnsi="Arial" w:cs="Arial"/>
        </w:rPr>
        <w:t xml:space="preserve">El software es una de las herramientas de mayor utilidad en la optimización de procesos en las organizaciones, con el propósito de contar y ofrecer optimización, eficiencia y satisfacción de necesidades, razón por la cual el software debe contar con criterios que garanticen su calidad. </w:t>
      </w:r>
    </w:p>
    <w:p w:rsidR="00F47AAF" w:rsidRPr="00F47AAF" w:rsidRDefault="00F47AAF" w:rsidP="00F47AAF">
      <w:pPr>
        <w:pStyle w:val="NormalWeb"/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>Es importante conocer los conceptos y características acerca de lo que es la calidad de software, y en cuanto a los modelos de calidad de software, su estructura y enfoque. El concepto de calidad de software, según Pressman (2010) se asocia a la “concordancia con los requisitos funcionales y de rendimiento explícitamente establecidos con los es- tándares de desarrollo plenamente documentados y con las características implícitas que se espera de todo software desarrollado profesionalmente”</w:t>
      </w:r>
      <w:r w:rsidRPr="00F47AAF">
        <w:rPr>
          <w:rFonts w:ascii="Arial" w:hAnsi="Arial" w:cs="Arial"/>
        </w:rPr>
        <w:t xml:space="preserve">. </w:t>
      </w:r>
      <w:r w:rsidRPr="00F47AAF">
        <w:rPr>
          <w:rFonts w:ascii="Arial" w:hAnsi="Arial" w:cs="Arial"/>
        </w:rPr>
        <w:t>Para garantizar la calidad de software es importante imple- mentar algún modelo o estándar de calidad que permita la gestión de atributos en el proceso de construcción de software</w:t>
      </w:r>
      <w:r w:rsidRPr="00F47AAF">
        <w:rPr>
          <w:rFonts w:ascii="Arial" w:hAnsi="Arial" w:cs="Arial"/>
        </w:rPr>
        <w:t xml:space="preserve">. La </w:t>
      </w:r>
      <w:r w:rsidRPr="00F47AAF">
        <w:rPr>
          <w:rFonts w:ascii="Arial" w:hAnsi="Arial" w:cs="Arial"/>
        </w:rPr>
        <w:t xml:space="preserve">organización debe contar con un proceso que como soporte al mismo lleve una documentación, y se valga de distintas prácticas definidas en el modelo, dando apoyo a la organización para tener una mejora continua y ser más competentes, para así poder medir la calidad y brindar pro- ductor o servicios de alto nivel. </w:t>
      </w:r>
    </w:p>
    <w:p w:rsidR="00F47AAF" w:rsidRPr="00F47AAF" w:rsidRDefault="00F47AAF" w:rsidP="00F47AAF">
      <w:pPr>
        <w:pStyle w:val="NormalWeb"/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>La calidad de un sistema software debe ser programada desde el inicio del proyecto, y posteriormente en cada eta- pa del proceso de desarrollo se debe llevar a cabo el con- trol y seguimiento de los aspectos de calidad</w:t>
      </w:r>
      <w:r w:rsidRPr="00F47AAF">
        <w:rPr>
          <w:rFonts w:ascii="Arial" w:hAnsi="Arial" w:cs="Arial"/>
        </w:rPr>
        <w:t xml:space="preserve">. </w:t>
      </w:r>
      <w:r w:rsidRPr="00F47AAF">
        <w:rPr>
          <w:rFonts w:ascii="Arial" w:hAnsi="Arial" w:cs="Arial"/>
        </w:rPr>
        <w:t xml:space="preserve">La principal finalidad del modelo de calidad de producto es especificar y evaluar el cumplimiento de criterios del pro- ducto, para lo cual se aplican medidas internas y/o medi- das externas (Bevan, 2010). </w:t>
      </w:r>
    </w:p>
    <w:p w:rsidR="00F47AAF" w:rsidRDefault="00F47AAF" w:rsidP="00F47AAF">
      <w:pPr>
        <w:pStyle w:val="NormalWeb"/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>Existen los modelos a nivel de proceso, estos son: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 xml:space="preserve"> </w:t>
      </w:r>
      <w:r w:rsidRPr="00F47AAF">
        <w:rPr>
          <w:rFonts w:ascii="Arial" w:hAnsi="Arial" w:cs="Arial"/>
          <w:b/>
          <w:bCs/>
        </w:rPr>
        <w:t xml:space="preserve">ITIL: </w:t>
      </w:r>
      <w:r w:rsidRPr="00F47AAF">
        <w:rPr>
          <w:rFonts w:ascii="Arial" w:hAnsi="Arial" w:cs="Arial"/>
        </w:rPr>
        <w:t>Desarrollado en el Reino Unido, con el fin de forta- lecer la gestión gubernamental, a partir de cinco elementos fundamentales: la perspectiva del negocio, entrega del ser- vicio, soporte del servicio, manejo de la infraestructura y manejo de aplicaciones</w:t>
      </w:r>
      <w:r w:rsidRPr="00F47AAF">
        <w:rPr>
          <w:rFonts w:ascii="Arial" w:hAnsi="Arial" w:cs="Arial"/>
        </w:rPr>
        <w:t xml:space="preserve">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 xml:space="preserve">ISO/IEC 15504: </w:t>
      </w:r>
      <w:r w:rsidRPr="00F47AAF">
        <w:rPr>
          <w:rFonts w:ascii="Arial" w:hAnsi="Arial" w:cs="Arial"/>
        </w:rPr>
        <w:t>Permite adaptar la evaluación para pro- cesos en pequeñas y medianas empresas (pymes)</w:t>
      </w:r>
      <w:r w:rsidRPr="00F47AAF">
        <w:rPr>
          <w:rFonts w:ascii="Arial" w:hAnsi="Arial" w:cs="Arial"/>
        </w:rPr>
        <w:t xml:space="preserve">, y hay varios niveles: </w:t>
      </w:r>
      <w:r w:rsidRPr="00F47AAF">
        <w:rPr>
          <w:rFonts w:ascii="Arial" w:hAnsi="Arial" w:cs="Arial"/>
        </w:rPr>
        <w:t xml:space="preserve">Nivel 0- Organización inmadura, Nivel 1- Organización básica, Nivel 2- Organización gestionada, Nivel 3- Organización establecida, Nivel 4- Organización predecible y Nivel 5- Organización optimizando.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 xml:space="preserve">Bootstrap: </w:t>
      </w:r>
      <w:r w:rsidRPr="00F47AAF">
        <w:rPr>
          <w:rFonts w:ascii="Arial" w:hAnsi="Arial" w:cs="Arial"/>
        </w:rPr>
        <w:t>Metodología de evaluación que permite la mejora de procesos a partir de seis actividades básicas</w:t>
      </w:r>
      <w:r w:rsidRPr="00F47AAF">
        <w:rPr>
          <w:rFonts w:ascii="Arial" w:hAnsi="Arial" w:cs="Arial"/>
        </w:rPr>
        <w:t xml:space="preserve">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 xml:space="preserve">Dromey: </w:t>
      </w:r>
      <w:r w:rsidRPr="00F47AAF">
        <w:rPr>
          <w:rFonts w:ascii="Arial" w:hAnsi="Arial" w:cs="Arial"/>
        </w:rPr>
        <w:t>Es un modelo adaptable a evaluar varias etapas del proceso de desarrollo como levantamiento de requisi- tos, diseño e implementación</w:t>
      </w:r>
      <w:r w:rsidRPr="00F47AAF">
        <w:rPr>
          <w:rFonts w:ascii="Arial" w:hAnsi="Arial" w:cs="Arial"/>
        </w:rPr>
        <w:t>.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lastRenderedPageBreak/>
        <w:t>Personal Software Process (PSP)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>Este modelo está enfocado al desarrollo profesional del ingeniero, fomentan- do una adecuada administración de calidad de los proyectos de desarrollo, reducción de defectos del producto, estima- ción y planeación del trabajo (Vargas, 2010).</w:t>
      </w:r>
      <w:r w:rsidRPr="00F47AAF">
        <w:rPr>
          <w:rFonts w:ascii="Arial" w:hAnsi="Arial" w:cs="Arial"/>
        </w:rPr>
        <w:t xml:space="preserve">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>Team Software</w:t>
      </w:r>
      <w:r>
        <w:rPr>
          <w:rFonts w:ascii="Arial" w:hAnsi="Arial" w:cs="Arial"/>
        </w:rPr>
        <w:t xml:space="preserve"> </w:t>
      </w:r>
      <w:r w:rsidRPr="00F47AAF">
        <w:rPr>
          <w:rFonts w:ascii="Arial" w:hAnsi="Arial" w:cs="Arial"/>
          <w:b/>
          <w:bCs/>
        </w:rPr>
        <w:t>Process (TSP)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 xml:space="preserve">TSP es la fase pos- terior de PSP, está diseñado para el trabajo de equipos de desarrollo de software autodirigidos, que se orienta al de- sarrollo de productos con el mínimo de defectos en tiempo y costos estimados.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>IEEE / EIA 12207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>Este estándar establece un marco de trabajo común para el ciclo de vida del desarrollo de sof- tware, a partir del planteamiento de procesos, actividades y tareas</w:t>
      </w:r>
      <w:r w:rsidRPr="00F47AAF">
        <w:rPr>
          <w:rFonts w:ascii="Arial" w:hAnsi="Arial" w:cs="Arial"/>
        </w:rPr>
        <w:t xml:space="preserve">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>Cobit 4.0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>Se caracteriza por ser orientado a negocios y proceso, además de ser basado en controles, trabaja con siete criterios de información que son definidos</w:t>
      </w:r>
      <w:r w:rsidRPr="00F47AAF">
        <w:rPr>
          <w:rFonts w:ascii="Arial" w:hAnsi="Arial" w:cs="Arial"/>
        </w:rPr>
        <w:t xml:space="preserve">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>ISO 90003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>Conjunto de estándares utilizados para el de- sarrollo, suministro y soporte del software, cuyo propósito es ofrecer una guía de aplicación de la norma 9001</w:t>
      </w:r>
      <w:r w:rsidRPr="00F47AAF">
        <w:rPr>
          <w:rFonts w:ascii="Arial" w:hAnsi="Arial" w:cs="Arial"/>
        </w:rPr>
        <w:t xml:space="preserve">. </w:t>
      </w:r>
    </w:p>
    <w:p w:rsidR="00F47AAF" w:rsidRDefault="00F47AAF" w:rsidP="00F47AAF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F47AAF">
        <w:rPr>
          <w:rFonts w:ascii="Arial" w:hAnsi="Arial" w:cs="Arial"/>
          <w:b/>
          <w:bCs/>
        </w:rPr>
        <w:t>CMMI (Capability Maturity Model Integration)</w:t>
      </w:r>
      <w:r w:rsidRPr="00F47AAF">
        <w:rPr>
          <w:rFonts w:ascii="Arial" w:hAnsi="Arial" w:cs="Arial"/>
          <w:b/>
          <w:bCs/>
          <w:color w:val="1E2326"/>
        </w:rPr>
        <w:t xml:space="preserve">: </w:t>
      </w:r>
      <w:r w:rsidRPr="00F47AAF">
        <w:rPr>
          <w:rFonts w:ascii="Arial" w:hAnsi="Arial" w:cs="Arial"/>
        </w:rPr>
        <w:t xml:space="preserve">Es de los modelos más utilizados en las empresas de cons- trucción de software, con el propósito de verificar el cumplimiento de estándares de calidad a partir de la medición con niveles de madurez. </w:t>
      </w:r>
      <w:r w:rsidRPr="00F47AAF">
        <w:rPr>
          <w:rFonts w:ascii="Arial" w:hAnsi="Arial" w:cs="Arial"/>
          <w:b/>
          <w:bCs/>
          <w:color w:val="1E2326"/>
        </w:rPr>
        <w:t xml:space="preserve">ISO/IEC 20000: </w:t>
      </w:r>
      <w:r w:rsidRPr="00F47AAF">
        <w:rPr>
          <w:rFonts w:ascii="Arial" w:hAnsi="Arial" w:cs="Arial"/>
        </w:rPr>
        <w:t>El objetivo principal de esta norma es el de avalar que la prestación de servicios gestionados de TI de una empresa cuentan con la calidad necesaria para brindar dichos servicios a los clientes.</w:t>
      </w:r>
      <w:r w:rsidRPr="00F47AAF">
        <w:rPr>
          <w:rFonts w:ascii="Arial" w:hAnsi="Arial" w:cs="Arial"/>
        </w:rPr>
        <w:t xml:space="preserve"> </w:t>
      </w:r>
    </w:p>
    <w:p w:rsidR="00F47AAF" w:rsidRPr="00F47AAF" w:rsidRDefault="00F47AAF" w:rsidP="00F47AAF">
      <w:pPr>
        <w:pStyle w:val="NormalWeb"/>
        <w:jc w:val="both"/>
        <w:rPr>
          <w:rFonts w:ascii="Arial" w:hAnsi="Arial" w:cs="Arial"/>
        </w:rPr>
      </w:pPr>
    </w:p>
    <w:p w:rsidR="00F47AAF" w:rsidRPr="00F47AAF" w:rsidRDefault="00F47AAF" w:rsidP="00F47AAF">
      <w:pPr>
        <w:pStyle w:val="NormalWeb"/>
        <w:jc w:val="both"/>
        <w:rPr>
          <w:rFonts w:ascii="Arial" w:hAnsi="Arial" w:cs="Arial"/>
        </w:rPr>
      </w:pPr>
      <w:r w:rsidRPr="00F47AAF">
        <w:rPr>
          <w:rFonts w:ascii="Arial" w:hAnsi="Arial" w:cs="Arial"/>
        </w:rPr>
        <w:t>Algunos modelos de calidad clásicos han sido la base para los de calidad más recientes, y han permitido que los modelos actuales se consoliden como los más completos con base en la evolución del software</w:t>
      </w:r>
      <w:r w:rsidRPr="00F47AAF">
        <w:rPr>
          <w:rFonts w:ascii="Arial" w:hAnsi="Arial" w:cs="Arial"/>
        </w:rPr>
        <w:t xml:space="preserve">. </w:t>
      </w:r>
      <w:r w:rsidRPr="00F47AAF">
        <w:rPr>
          <w:rFonts w:ascii="Arial" w:hAnsi="Arial" w:cs="Arial"/>
        </w:rPr>
        <w:t xml:space="preserve">Es importante que las empresas se certifiquen bajo alguna norma o estándar, pues esto permite que la misma tenga una mejor posición, reconocimiento y demanda en el mercado, ya que al estar avalada por alguna entidad competente garantiza un nivel de satisfacción mayor para los clientes. </w:t>
      </w:r>
      <w:r w:rsidRPr="00F47AAF">
        <w:rPr>
          <w:rFonts w:ascii="Arial" w:hAnsi="Arial" w:cs="Arial"/>
        </w:rPr>
        <w:t>Al igual como es importante considerar las caracteristicas de cada tipo de software y las necesidades de cada empresa o institución para que sea seguro su aplicación y desarrollo dentro de estas.</w:t>
      </w:r>
    </w:p>
    <w:p w:rsidR="00F47AAF" w:rsidRPr="00F47AAF" w:rsidRDefault="00F47AAF" w:rsidP="00F47AAF">
      <w:pPr>
        <w:pStyle w:val="NormalWeb"/>
      </w:pPr>
    </w:p>
    <w:p w:rsidR="00F47AAF" w:rsidRPr="00F47AAF" w:rsidRDefault="00F47AAF" w:rsidP="00F47AAF">
      <w:pPr>
        <w:pStyle w:val="NormalWeb"/>
      </w:pPr>
      <w:bookmarkStart w:id="0" w:name="_GoBack"/>
      <w:bookmarkEnd w:id="0"/>
    </w:p>
    <w:p w:rsidR="00F47AAF" w:rsidRDefault="00F47AAF" w:rsidP="00F47AAF">
      <w:pPr>
        <w:pStyle w:val="NormalWeb"/>
      </w:pPr>
    </w:p>
    <w:p w:rsidR="00F47AAF" w:rsidRDefault="00F47AAF" w:rsidP="00F47AAF">
      <w:pPr>
        <w:pStyle w:val="NormalWeb"/>
      </w:pPr>
    </w:p>
    <w:p w:rsidR="00F47AAF" w:rsidRDefault="00F47AAF" w:rsidP="00F47AAF">
      <w:pPr>
        <w:pStyle w:val="NormalWeb"/>
      </w:pPr>
    </w:p>
    <w:p w:rsidR="00F47AAF" w:rsidRDefault="00F47AAF" w:rsidP="00F47AAF">
      <w:pPr>
        <w:pStyle w:val="NormalWeb"/>
      </w:pPr>
    </w:p>
    <w:p w:rsidR="00FB6147" w:rsidRPr="00FB6147" w:rsidRDefault="00FB6147" w:rsidP="00FB6147">
      <w:pPr>
        <w:jc w:val="both"/>
        <w:rPr>
          <w:rFonts w:ascii="Arial" w:hAnsi="Arial" w:cs="Arial"/>
          <w:lang w:val="es-MX"/>
        </w:rPr>
      </w:pPr>
    </w:p>
    <w:sectPr w:rsidR="00FB6147" w:rsidRPr="00FB6147" w:rsidSect="00A26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56B0F"/>
    <w:multiLevelType w:val="hybridMultilevel"/>
    <w:tmpl w:val="6586493C"/>
    <w:lvl w:ilvl="0" w:tplc="16EA5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47"/>
    <w:rsid w:val="00672650"/>
    <w:rsid w:val="00A268F1"/>
    <w:rsid w:val="00F47AAF"/>
    <w:rsid w:val="00FB6147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0924E"/>
  <w15:chartTrackingRefBased/>
  <w15:docId w15:val="{AC5E14E6-7DD0-7242-9AE9-335247F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A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Linette Badillo Campuzano</dc:creator>
  <cp:keywords/>
  <dc:description/>
  <cp:lastModifiedBy>Dafne Linette Badillo Campuzano</cp:lastModifiedBy>
  <cp:revision>1</cp:revision>
  <dcterms:created xsi:type="dcterms:W3CDTF">2019-08-28T00:33:00Z</dcterms:created>
  <dcterms:modified xsi:type="dcterms:W3CDTF">2019-08-28T01:11:00Z</dcterms:modified>
</cp:coreProperties>
</file>