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66666"/>
          <w:sz w:val="20"/>
          <w:szCs w:val="20"/>
        </w:rPr>
        <w:t xml:space="preserve">Matters Arising</w:t>
      </w:r>
    </w:p>
    <w:p>
      <w:pPr>
        <w:spacing w:after="360"/>
        <w:jc w:val="left"/>
      </w:pPr>
      <w:r>
        <w:rPr>
          <w:b/>
          <w:bCs/>
          <w:sz w:val="28"/>
          <w:szCs w:val="28"/>
        </w:rPr>
        <w:t xml:space="preserve">Evaluation format, not model capability, drives triage failure in the assessment of ChatGPT Health</w:t>
      </w:r>
    </w:p>
    <w:p>
      <w:pPr>
        <w:spacing w:after="120"/>
      </w:pPr>
      <w:r>
        <w:rPr>
          <w:i/>
          <w:iCs/>
          <w:color w:val="999999"/>
        </w:rPr>
        <w:t xml:space="preserve">[Author Name(s) and Affiliations]</w:t>
      </w:r>
    </w:p>
    <w:p>
      <w:pPr>
        <w:spacing w:after="360"/>
      </w:pPr>
      <w:r>
        <w:rPr>
          <w:i/>
          <w:iCs/>
        </w:rPr>
        <w:t xml:space="preserve">Arising from: </w:t>
      </w:r>
      <w:r>
        <w:t xml:space="preserve">Ramaswamy, A. et al. </w:t>
      </w:r>
      <w:r>
        <w:rPr>
          <w:i/>
          <w:iCs/>
        </w:rPr>
        <w:t xml:space="preserve">Nat. Med.</w:t>
      </w:r>
      <w:r>
        <w:t xml:space="preserve"> https://doi.org/10.1038/s41591-026-04297-7 (2026).</w:t>
      </w:r>
    </w:p>
    <w:p>
      <w:pPr>
        <w:spacing w:after="240" w:line="360"/>
      </w:pPr>
      <w:r>
        <w:t xml:space="preserve">Ramaswamy et al. report that ChatGPT Health under-triages 51.6% of emergencies when tested with clinician-authored vignettes, concluding that consumer-facing AI triage poses safety risks warranting premarket evaluation. We argue that compounding methodological choices—structured formatting, evaluation-style constraints, suppression of multi-turn interaction, and the treatment of model-generated “confidence” scores as probability estimates—collectively transform this from a consumer safety evaluation into a constrained quiz. Recent research demonstrates that LLMs detectably alter behaviour when they recognise evaluation contexts</w:t>
      </w:r>
      <w:r>
        <w:rPr>
          <w:vertAlign w:val="superscript"/>
        </w:rPr>
        <w:t xml:space="preserve">1,2</w:t>
      </w:r>
      <w:r>
        <w:t xml:space="preserve">, raising the question of whether the study measures triage capability or test-taking under constraint.</w:t>
      </w:r>
    </w:p>
    <w:p>
      <w:pPr>
        <w:spacing w:after="240" w:line="360"/>
      </w:pPr>
      <w:r>
        <w:t xml:space="preserve">The study’s prompt template contains three compounding signals that mark it as an artificial evaluation. First, “Please base your answer only on the information in this message” has no analogue in real patient behaviour—no consumer self-censors an AI tool’s reasoning capabilities. This instruction disables precisely the capabilities that make consumer AI useful. Second, the prompt demands a forced-choice response in a rigid format (“TRIAGE: A/B/C/D”). Third, it instructs: “If you would normally ask clarifying questions, still choose the best TRIAGE option.”</w:t>
      </w:r>
    </w:p>
    <w:p>
      <w:pPr>
        <w:spacing w:after="240" w:line="360"/>
      </w:pPr>
      <w:r>
        <w:t xml:space="preserve">These elements collectively create a structured examination that frontier LLMs may recognise as an evaluation scenario, given documented alignment faking</w:t>
      </w:r>
      <w:r>
        <w:rPr>
          <w:vertAlign w:val="superscript"/>
        </w:rPr>
        <w:t xml:space="preserve">1</w:t>
      </w:r>
      <w:r>
        <w:t xml:space="preserve"> and evaluation awareness in 13–16% of automated assessment transcripts</w:t>
      </w:r>
      <w:r>
        <w:rPr>
          <w:vertAlign w:val="superscript"/>
        </w:rPr>
        <w:t xml:space="preserve">2</w:t>
      </w:r>
      <w:r>
        <w:t xml:space="preserve">. Moreover, the vignettes are written in structured clinical shorthand (see Extended Data Fig. 5)—a real patient writes “I keep using my inhaler but it’s not really helping, should I be worried?” not “rescue inhaler ×4 without sustained relief, SpO</w:t>
      </w:r>
      <w:r>
        <w:rPr>
          <w:vertAlign w:val="subscript"/>
        </w:rPr>
        <w:t xml:space="preserve">2</w:t>
      </w:r>
      <w:r>
        <w:t xml:space="preserve"> 93–94%.” The cognitive work of triage—extracting salient features from messy natural language—has already been performed by the vignette author, leaving only medical knowledge retrieval from a pre-digested summary.</w:t>
      </w:r>
    </w:p>
    <w:p>
      <w:pPr>
        <w:spacing w:after="240" w:line="360"/>
      </w:pPr>
      <w:r>
        <w:t xml:space="preserve">The authors argue this represents a “conservative test” because real consumers “under-report symptoms.” This reasoning inverts the confound: the structured format simultaneously changes the task, introduces evaluation signals, and constrains model capabilities. The net effect is not predictable from first principles. Prior work has shown that prompt phrasing substantially affects LLM diagnostic and triage performance</w:t>
      </w:r>
      <w:r>
        <w:rPr>
          <w:vertAlign w:val="superscript"/>
        </w:rPr>
        <w:t xml:space="preserve">3-5</w:t>
      </w:r>
      <w:r>
        <w:t xml:space="preserve">, yet Ramaswamy et al. used a single standardised template across all 960 queries without conducting prompt sensitivity analyses. Without any comparison between structured and naturalistic prompts, we cannot determine whether the observed 51.6% under-triage rate reflects a property of the model or an artefact of the evaluation format.</w:t>
      </w:r>
    </w:p>
    <w:p>
      <w:pPr>
        <w:spacing w:after="240" w:line="360"/>
      </w:pPr>
      <w:r>
        <w:t xml:space="preserve">The study further treats model-generated confidence percentages as calibrated probabilities, but a transformer producing “85%” is performing next-token prediction, not computing a posterior</w:t>
      </w:r>
      <w:r>
        <w:rPr>
          <w:vertAlign w:val="superscript"/>
        </w:rPr>
        <w:t xml:space="preserve">6-8</w:t>
      </w:r>
      <w:r>
        <w:t xml:space="preserve">—a category error that undermines the confidence analyses. Finally, the headline finding derives from only two emergency scenarios expanded to 64 responses via factorial design; the authors’ own supplementary analysis showing 0% under-triage for four “textbook” emergencies suggests scenario-specific rather than systematic failure. The study tested a single model via a consumer web interface at a single time point, conflating model capability with the specific deployment configuration</w:t>
      </w:r>
      <w:r>
        <w:rPr>
          <w:vertAlign w:val="superscript"/>
        </w:rPr>
        <w:t xml:space="preserve">9</w:t>
      </w:r>
      <w:r>
        <w:t xml:space="preserve">.</w:t>
      </w:r>
    </w:p>
    <w:p>
      <w:pPr>
        <w:spacing w:after="240" w:line="360"/>
      </w:pPr>
      <w:r>
        <w:t xml:space="preserve">To measure this empirically, we conducted a systematic replication across five frontier LLMs (GPT-5.2, Claude Sonnet 4.6, Claude Opus 4.6, Gemini 3 Flash, Gemini 3.1 Pro) via API with controlled parameters. In 1,074 trials across 17 clinical scenarios in three prompt formats (structured vignette, naturalistic patient language, minimal patient message), prompt format significantly affected triage accuracy (χ² = 9.64, p = 0.008). For DKA, all five models achieved 100% correct emergency triage (60/60 trials) regardless of format—suggesting that if DKA under-triage occurs in ChatGPT Health, it reflects product-layer factors rather than a general LLM limitation.</w:t>
      </w:r>
    </w:p>
    <w:p>
      <w:pPr>
        <w:spacing w:after="240" w:line="360"/>
      </w:pPr>
      <w:r>
        <w:t xml:space="preserve">A key design choice in Ramaswamy et al. is forced discretisation: the model must output a single A–D letter category under a constrained template. Our ablation does not introduce exotic prompting; it tests whether the paper’s own template components are behaviourally active. In a one-factor-at-a-time ablation on the asthma exacerbation vignette—the scenario driving most of their emergency under-triage (81–94% across asthma prompt variants)—we toggled each constraint independently. The forced A/B/C/D choice emerged as the dominant failure inducer. In a high-powered replication (n = 25 per cell), GPT-5.2 scored 4/25 (16%) correct under forced-choice but 25/25 (100%) when the identical vignette was presented with a free-text response format (Fisher’s exact test, p = 3.76 × 10⁻¹⁰). Gemini 3 Flash showed a parallel pattern: 6/25 (24%) forced-choice versus 25/25 (100%) free-text (p = 1.16 × 10⁻⁸). When allowed to explain in natural language, these models consistently recommended immediate emergency care; when forced to select a letter, they selected B (“see a doctor within 24 hours”). The evaluation thus registers “under-triage” even when the model’s natural-language recommendation is clinically appropriate. Claude models (Sonnet and Opus 4.6) maintained 100% accuracy across all conditions, demonstrating that the vulnerability is model-family-specific and format-dependent, not inherent to the clinical scenario. Free-text responses were scored by rule-based keyword mapping (“emergency room,” “call 911,” “immediate”). Full methods, code, and data: https://github.com/dafraile/nature_experiments_triage.</w:t>
      </w:r>
    </w:p>
    <w:p>
      <w:pPr>
        <w:spacing w:after="240" w:line="360"/>
      </w:pPr>
      <w:r>
        <w:t xml:space="preserve">We do not dispute that evaluating consumer-facing health AI is important, nor that triage failures carry serious consequences. However, valid evaluation requires testing under conditions that reflect actual use. An evaluation that constrains the model’s knowledge, suppresses its interactive capabilities, frames the task as a structured examination, and then draws conclusions about consumer safety measures not the model but the evaluation itself. As these assessments increasingly inform regulatory discussions</w:t>
      </w:r>
      <w:r>
        <w:rPr>
          <w:vertAlign w:val="superscript"/>
        </w:rPr>
        <w:t xml:space="preserve">10</w:t>
      </w:r>
      <w:r>
        <w:t xml:space="preserve">, methodological rigour in prompt design is not optional—it is a prerequisite for claims about real-world safety.</w:t>
      </w:r>
    </w:p>
    <w:p>
      <w:pPr>
        <w:spacing w:before="360" w:after="120"/>
      </w:pPr>
      <w:r>
        <w:rPr>
          <w:b/>
          <w:bCs/>
          <w:sz w:val="22"/>
          <w:szCs w:val="22"/>
        </w:rPr>
        <w:t xml:space="preserve">References</w:t>
      </w:r>
    </w:p>
    <w:p>
      <w:pPr>
        <w:spacing w:after="60" w:line="276"/>
      </w:pPr>
      <w:r>
        <w:rPr>
          <w:sz w:val="20"/>
          <w:szCs w:val="20"/>
        </w:rPr>
        <w:t xml:space="preserve">1. Greenblatt, R. et al. Preprint at https://arxiv.org/abs/2412.14093 (2024).</w:t>
      </w:r>
    </w:p>
    <w:p>
      <w:pPr>
        <w:spacing w:after="60" w:line="276"/>
      </w:pPr>
      <w:r>
        <w:rPr>
          <w:sz w:val="20"/>
          <w:szCs w:val="20"/>
        </w:rPr>
        <w:t xml:space="preserve">2. Anthropic. Claude Sonnet 4.5 System Card. https://docs.anthropic.com/en/docs/about-claude/model-card (2025).</w:t>
      </w:r>
    </w:p>
    <w:p>
      <w:pPr>
        <w:spacing w:after="60" w:line="276"/>
      </w:pPr>
      <w:r>
        <w:rPr>
          <w:sz w:val="20"/>
          <w:szCs w:val="20"/>
        </w:rPr>
        <w:t xml:space="preserve">3. Schmidt, H. G., Rotgans, J. I. &amp; Mamede, S. J. Gen. Intern. Med. 40, 790–795 (2025).</w:t>
      </w:r>
    </w:p>
    <w:p>
      <w:pPr>
        <w:spacing w:after="60" w:line="276"/>
      </w:pPr>
      <w:r>
        <w:rPr>
          <w:sz w:val="20"/>
          <w:szCs w:val="20"/>
        </w:rPr>
        <w:t xml:space="preserve">4. Thapa, R. et al. Preprint at https://arxiv.org/abs/2505.11462 (2025).</w:t>
      </w:r>
    </w:p>
    <w:p>
      <w:pPr>
        <w:spacing w:after="60" w:line="276"/>
      </w:pPr>
      <w:r>
        <w:rPr>
          <w:sz w:val="20"/>
          <w:szCs w:val="20"/>
        </w:rPr>
        <w:t xml:space="preserve">5. McCoy, L. G. et al. NEJM AI 2, AIdbp2500120 (2025).</w:t>
      </w:r>
    </w:p>
    <w:p>
      <w:pPr>
        <w:spacing w:after="60" w:line="276"/>
      </w:pPr>
      <w:r>
        <w:rPr>
          <w:sz w:val="20"/>
          <w:szCs w:val="20"/>
        </w:rPr>
        <w:t xml:space="preserve">6. Kadavath, S. et al. Preprint at https://arxiv.org/abs/2207.05221 (2022).</w:t>
      </w:r>
    </w:p>
    <w:p>
      <w:pPr>
        <w:spacing w:after="60" w:line="276"/>
      </w:pPr>
      <w:r>
        <w:rPr>
          <w:sz w:val="20"/>
          <w:szCs w:val="20"/>
        </w:rPr>
        <w:t xml:space="preserve">7. Xiong, M. et al. Preprint at https://arxiv.org/abs/2306.13063 (2023).</w:t>
      </w:r>
    </w:p>
    <w:p>
      <w:pPr>
        <w:spacing w:after="60" w:line="276"/>
      </w:pPr>
      <w:r>
        <w:rPr>
          <w:sz w:val="20"/>
          <w:szCs w:val="20"/>
        </w:rPr>
        <w:t xml:space="preserve">8. Tian, Y. et al. Preprint at https://arxiv.org/abs/2305.14975 (2023).</w:t>
      </w:r>
    </w:p>
    <w:p>
      <w:pPr>
        <w:spacing w:after="60" w:line="276"/>
      </w:pPr>
      <w:r>
        <w:rPr>
          <w:sz w:val="20"/>
          <w:szCs w:val="20"/>
        </w:rPr>
        <w:t xml:space="preserve">9. Hager, P. et al. Nat. Med. 30, 2613–2622 (2024).</w:t>
      </w:r>
    </w:p>
    <w:p>
      <w:pPr>
        <w:spacing w:after="60" w:line="276"/>
      </w:pPr>
      <w:r>
        <w:rPr>
          <w:sz w:val="20"/>
          <w:szCs w:val="20"/>
        </w:rPr>
        <w:t xml:space="preserve">10. Vasey, B. et al. Nat. Med. 28, 924–933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2026-02-27T04:34:16.349Z</dcterms:created>
  <dcterms:modified xsi:type="dcterms:W3CDTF">2026-02-27T04:34:16.350Z</dcterms:modified>
</cp:coreProperties>
</file>

<file path=docProps/custom.xml><?xml version="1.0" encoding="utf-8"?>
<Properties xmlns="http://schemas.openxmlformats.org/officeDocument/2006/custom-properties" xmlns:vt="http://schemas.openxmlformats.org/officeDocument/2006/docPropsVTypes"/>
</file>