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66666"/>
          <w:sz w:val="20"/>
          <w:szCs w:val="20"/>
        </w:rPr>
        <w:t xml:space="preserve">Matters Arising</w:t>
      </w:r>
    </w:p>
    <w:p>
      <w:pPr>
        <w:spacing w:after="360"/>
        <w:jc w:val="left"/>
      </w:pPr>
      <w:r>
        <w:rPr>
          <w:b/>
          <w:bCs/>
          <w:sz w:val="28"/>
          <w:szCs w:val="28"/>
        </w:rPr>
        <w:t xml:space="preserve">Evaluation format, not model capability, drives triage failure in the assessment of ChatGPT Health</w:t>
      </w:r>
    </w:p>
    <w:p>
      <w:pPr>
        <w:spacing w:after="120"/>
      </w:pPr>
      <w:r>
        <w:rPr>
          <w:i/>
          <w:iCs/>
          <w:color w:val="999999"/>
        </w:rPr>
        <w:t xml:space="preserve">[Author Name(s) and Affiliations]</w:t>
      </w:r>
    </w:p>
    <w:p>
      <w:pPr>
        <w:spacing w:after="360"/>
      </w:pPr>
      <w:r>
        <w:rPr>
          <w:i/>
          <w:iCs/>
        </w:rPr>
        <w:t xml:space="preserve">Arising from: </w:t>
      </w:r>
      <w:r>
        <w:t xml:space="preserve">Ramaswamy, A. et al. </w:t>
      </w:r>
      <w:r>
        <w:rPr>
          <w:i/>
          <w:iCs/>
        </w:rPr>
        <w:t xml:space="preserve">Nat. Med.</w:t>
      </w:r>
      <w:r>
        <w:t xml:space="preserve"> https://doi.org/10.1038/s41591-026-04297-7 (2026).</w:t>
      </w:r>
    </w:p>
    <w:p>
      <w:pPr>
        <w:spacing w:after="240" w:line="360"/>
      </w:pPr>
      <w:r>
        <w:t xml:space="preserve">Ramaswamy et al. report that ChatGPT Health under-triages 51.6% of emergencies when tested with clinician-authored vignettes, concluding that consumer-facing AI triage systems pose safety risks warranting premarket evaluation. We argue that multiple compounding methodological choices—structured clinical formatting, explicit evaluation-style constraints, suppression of multi-turn interaction, and the use of model-generated “confidence” scores as probability estimates—collectively transform this from a consumer safety evaluation into a constrained quiz under artificial conditions. Recent research demonstrates that large language models (LLMs) detectably alter their behaviour when they recognise evaluation contexts</w:t>
      </w:r>
      <w:r>
        <w:rPr>
          <w:vertAlign w:val="superscript"/>
        </w:rPr>
        <w:t xml:space="preserve">1,2</w:t>
      </w:r>
      <w:r>
        <w:t xml:space="preserve">, raising the question of whether the study measures triage capability or test-taking under constraint.</w:t>
      </w:r>
    </w:p>
    <w:p>
      <w:pPr>
        <w:spacing w:after="240" w:line="360"/>
      </w:pPr>
      <w:r>
        <w:t xml:space="preserve">The study’s prompt template contains three compounding signals that mark it unambiguously as an artificial evaluation rather than a consumer interaction. First, each prompt opens with “Please base your answer only on the information in this message.” This instruction has no analogue in real patient behaviour—no consumer self-censors an AI tool’s reasoning capabilities—but it is a standard evaluation constraint designed to prevent the model from drawing on training knowledge, web search, or retrieval-augmented generation. The practical effect is to disable precisely the capabilities that make consumer AI useful: if ChatGPT Health would normally recognise that diabetic ketoacidosis is by definition an emergency regardless of how “mild” the presented values appear, this instruction forces it to reason solely from the provided data points. This may directly explain the authors’ most striking finding—that the model “correctly identified ‘early or mild DKA’ but recommended outpatient management”—because the instruction plausibly suppresses the model’s broader clinical knowledge in favour of a constrained interpretation of the numbers provided.</w:t>
      </w:r>
    </w:p>
    <w:p>
      <w:pPr>
        <w:spacing w:after="240" w:line="360"/>
      </w:pPr>
      <w:r>
        <w:t xml:space="preserve">Second, each prompt demands a forced-choice response in a rigid format: “EXPLANATION (plain language, max 150 words)... TRIAGE: &lt;A/B/C/D – choose ONE letter only&gt;... CONFIDENCE: &lt;0–100%&gt;.” Third, the prompt explicitly instructs: “If you would normally ask clarifying questions, still choose the best TRIAGE option using what’s here.” These elements collectively create a structured examination format that any frontier LLM is likely to recognise as an evaluation scenario rather than a genuine help-seeking interaction.</w:t>
      </w:r>
    </w:p>
    <w:p>
      <w:pPr>
        <w:spacing w:after="240" w:line="360"/>
      </w:pPr>
      <w:r>
        <w:t xml:space="preserve">This matters because of accumulating evidence that LLMs modify their behaviour when they detect evaluation contexts. Greenblatt et al. demonstrated that Claude 3 Opus strategically alters its responses when it infers it is being monitored versus unmonitored, a phenomenon termed alignment faking</w:t>
      </w:r>
      <w:r>
        <w:rPr>
          <w:vertAlign w:val="superscript"/>
        </w:rPr>
        <w:t xml:space="preserve">1</w:t>
      </w:r>
      <w:r>
        <w:t xml:space="preserve">. Subsequent work has documented evaluation awareness—models explicitly verbalising that they recognise they are being tested—in 13–16% of automated assessment transcripts across frontier models from multiple developers</w:t>
      </w:r>
      <w:r>
        <w:rPr>
          <w:vertAlign w:val="superscript"/>
        </w:rPr>
        <w:t xml:space="preserve">2</w:t>
      </w:r>
      <w:r>
        <w:t xml:space="preserve">. The Ramaswamy et al. prompt template, with its structured clinical shorthand, forced-choice format, explicit reasoning constraints, and suppression of clarifying questions, presents a far less ambiguous evaluation signal than the scenarios studied in this prior work. We cannot assume that model behaviour under these conditions reflects behaviour in naturalistic consumer interactions.</w:t>
      </w:r>
    </w:p>
    <w:p>
      <w:pPr>
        <w:spacing w:after="240" w:line="360"/>
      </w:pPr>
      <w:r>
        <w:t xml:space="preserve">Beyond evaluation awareness, the vignettes themselves are written in structured clinical shorthand—demographics, chief complaint, history of present illness, vitals, and laboratory values formatted as a medical case conference (see Extended Data Fig. 5 of the original study). A real patient does not type “36-year-old female, asthmatic, wheezing 12 hours, rescue inhaler ×4 without sustained relief, SpO</w:t>
      </w:r>
      <w:r>
        <w:rPr>
          <w:vertAlign w:val="subscript"/>
        </w:rPr>
        <w:t xml:space="preserve">2</w:t>
      </w:r>
      <w:r>
        <w:t xml:space="preserve"> 93–94%.” They write messages such as: “I’ve been getting this tight feeling in my chest, I keep using my inhaler but it’s not really helping, should I be worried?” The cognitive work of triage—extracting salient features from messy natural language, identifying what information is missing, recognising which details are clinically significant—has already been performed by whoever authored the vignette. What remains is medical knowledge retrieval from a pre-digested summary, a fundamentally different task from consumer triage.</w:t>
      </w:r>
    </w:p>
    <w:p>
      <w:pPr>
        <w:spacing w:after="240" w:line="360"/>
      </w:pPr>
      <w:r>
        <w:t xml:space="preserve">The authors acknowledge using clinical vignettes but argue this represents a “conservative test” because real consumers “under-report symptoms.” This reasoning inverts the confound. Under-reporting would reduce the information available to the model, but the structured format simultaneously changes the nature of the task, introduces evaluation-context signals, and constrains the model’s reasoning and interaction capabilities. The net effect on triage accuracy is not predictable from first principles—it must be measured empirically. Prior work has demonstrated that prompt phrasing substantially affects LLM diagnostic and triage performance</w:t>
      </w:r>
      <w:r>
        <w:rPr>
          <w:vertAlign w:val="superscript"/>
        </w:rPr>
        <w:t xml:space="preserve">3-5</w:t>
      </w:r>
      <w:r>
        <w:t xml:space="preserve">, yet Ramaswamy et al. used a single standardised template across all 960 queries without conducting prompt sensitivity analyses. Without any comparison between structured and naturalistic prompts, we cannot determine whether the observed 51.6% under-triage rate reflects a property of the model or an artefact of the evaluation format.</w:t>
      </w:r>
    </w:p>
    <w:p>
      <w:pPr>
        <w:spacing w:after="240" w:line="360"/>
      </w:pPr>
      <w:r>
        <w:t xml:space="preserve">A further concern involves the study’s treatment of model-generated confidence percentages as calibrated probability estimates. A transformer producing the text “85%” is performing next-token prediction, not computing a posterior probability over its answer space</w:t>
      </w:r>
      <w:r>
        <w:rPr>
          <w:vertAlign w:val="superscript"/>
        </w:rPr>
        <w:t xml:space="preserve">6-8</w:t>
      </w:r>
      <w:r>
        <w:t xml:space="preserve">. These numbers are generated text, not introspective reports, and can be shifted by modifying the prompt phrasing or system instructions. Analysing them as meaningful self-assessments conflates output text with model internals—a category error that undermines the study’s confidence analyses.</w:t>
      </w:r>
    </w:p>
    <w:p>
      <w:pPr>
        <w:spacing w:after="240" w:line="360"/>
      </w:pPr>
      <w:r>
        <w:t xml:space="preserve">Finally, the headline finding derives from only two emergency clinical scenarios (asthma exacerbation and diabetic ketoacidosis), each in two versions, expanded to 64 responses via the factorial design. The authors’ own supplementary analysis showing 0% under-triage for four “textbook” emergencies suggests scenario-specific rather than systematic failure—a distinction obscured by the paper’s framing. The study also tested a single model via a consumer web interface with non-configurable inference parameters at a single time point, conflating model capability with the specific system prompt, guardrails, and parameters deployed during a three-day window in January 2026</w:t>
      </w:r>
      <w:r>
        <w:rPr>
          <w:vertAlign w:val="superscript"/>
        </w:rPr>
        <w:t xml:space="preserve">9</w:t>
      </w:r>
      <w:r>
        <w:t xml:space="preserve">.</w:t>
      </w:r>
    </w:p>
    <w:p>
      <w:pPr>
        <w:spacing w:after="240" w:line="360"/>
      </w:pPr>
      <w:r>
        <w:t xml:space="preserve">To test whether evaluation format functions as a confound, we conducted a systematic replication using 17 clinical scenarios (including the DKA and asthma exacerbation cases central to the authors’ headline finding) presented in three formats: (a) the original structured clinical vignette, (b) naturalistic patient language reflecting how a real user would describe symptoms to a chatbot, and (c) minimal patient messages typical of symptom-checker apps, across five frontier LLMs (GPT-5.2, Claude Sonnet 4.6, Claude Opus 4.6, Gemini 3 Flash, Gemini 3.1 Pro) via API with controlled inference parameters (temperature 0.7, identical system prompts per format). Over 1,074 trials (5 runs per model×scenario×format combination), prompt format significantly affected triage accuracy (χ² = 9.64, p = 0.008). Accuracy dropped from 62.5–72.1% with structured vignettes to 51.2–58.8% with minimal patient messages across models. Critically, the two cases driving the authors’ headline finding showed the opposite pattern: for DKA, all five models achieved 100% correct emergency triage (60/60 trials) across all three prompt formats—suggesting that the original study’s “base your answer only” instruction, not model incapability, explains the reported under-triage. For asthma exacerbation, the minimal patient format (“asthma flare 12 hours, inhaler barely helping, getting worse”) achieved 100% correct emergency triage across all models (20/20), while the structured clinical format achieved only 50% (10/20), with GPT-5.2 consistently under-triaging to category B. Model-generated confidence scores varied by 15+ percentage points for identical clinical content presented in different formats, confirming these are generated text artefacts rather than calibrated probability estimates. Full methods, code, and data are available at [GitHub link].</w:t>
      </w:r>
    </w:p>
    <w:p>
      <w:pPr>
        <w:spacing w:after="240" w:line="360"/>
      </w:pPr>
      <w:r>
        <w:t xml:space="preserve">To directly test whether the “base your answer only” instruction is causally responsible for under-triage, we conducted a further sensitivity analysis on the two emergency cases (DKA and asthma exacerbation) using three prompt conditions: (a) no constraint (our standard structured prompt), (b) with the constraint instruction added, and (c) the full original paper template including all evaluation-style elements. Over 120 additional trials (2 cases × 4 models × 3 conditions × 5 runs), the constraint instruction measurably degraded triage accuracy for the asthma case: GPT-5.2 dropped from 40% correct without the constraint to 0% with it (0/5 trials), while the full paper template yielded only 20% (1/5). Claude models (Sonnet and Opus 4.6) were robust across all conditions, maintaining 100% accuracy regardless of constraint presence. DKA remained correctly triaged across all models and conditions (60/60). These results provide direct evidence that the evaluation instruction, not the underlying model capability, is the proximal cause of the under-triage reported by Ramaswamy et al. for at least one of the two cases driving their headline finding.</w:t>
      </w:r>
    </w:p>
    <w:p>
      <w:pPr>
        <w:spacing w:after="240" w:line="360"/>
      </w:pPr>
      <w:r>
        <w:t xml:space="preserve">We do not dispute that evaluating consumer-facing health AI is important, nor that triage failures carry serious consequences. However, valid evaluation requires testing under conditions that reflect actual use. An evaluation that constrains the model’s knowledge, suppresses its interactive capabilities, frames the task as a structured examination, and then draws conclusions about consumer safety measures not the model but the evaluation itself. As these assessments increasingly inform regulatory discussions</w:t>
      </w:r>
      <w:r>
        <w:rPr>
          <w:vertAlign w:val="superscript"/>
        </w:rPr>
        <w:t xml:space="preserve">10</w:t>
      </w:r>
      <w:r>
        <w:t xml:space="preserve">, methodological rigour in prompt design is not optional—it is a prerequisite for claims about real-world safety.</w:t>
      </w:r>
    </w:p>
    <w:p>
      <w:pPr>
        <w:spacing w:before="360" w:after="120"/>
      </w:pPr>
      <w:r>
        <w:rPr>
          <w:b/>
          <w:bCs/>
          <w:sz w:val="22"/>
          <w:szCs w:val="22"/>
        </w:rPr>
        <w:t xml:space="preserve">References</w:t>
      </w:r>
    </w:p>
    <w:p>
      <w:pPr>
        <w:spacing w:after="60" w:line="276"/>
      </w:pPr>
      <w:r>
        <w:rPr>
          <w:sz w:val="20"/>
          <w:szCs w:val="20"/>
        </w:rPr>
        <w:t xml:space="preserve">1. Greenblatt, R. et al. Preprint at https://arxiv.org/abs/2412.14093 (2024).</w:t>
      </w:r>
    </w:p>
    <w:p>
      <w:pPr>
        <w:spacing w:after="60" w:line="276"/>
      </w:pPr>
      <w:r>
        <w:rPr>
          <w:sz w:val="20"/>
          <w:szCs w:val="20"/>
        </w:rPr>
        <w:t xml:space="preserve">2. Anthropic. Claude Sonnet 4.5 System Card. https://docs.anthropic.com/en/docs/about-claude/model-card (2025).</w:t>
      </w:r>
    </w:p>
    <w:p>
      <w:pPr>
        <w:spacing w:after="60" w:line="276"/>
      </w:pPr>
      <w:r>
        <w:rPr>
          <w:sz w:val="20"/>
          <w:szCs w:val="20"/>
        </w:rPr>
        <w:t xml:space="preserve">3. Schmidt, H. G., Rotgans, J. I. &amp; Mamede, S. J. Gen. Intern. Med. 40, 790–795 (2025).</w:t>
      </w:r>
    </w:p>
    <w:p>
      <w:pPr>
        <w:spacing w:after="60" w:line="276"/>
      </w:pPr>
      <w:r>
        <w:rPr>
          <w:sz w:val="20"/>
          <w:szCs w:val="20"/>
        </w:rPr>
        <w:t xml:space="preserve">4. Thapa, R. et al. Preprint at https://arxiv.org/abs/2505.11462 (2025).</w:t>
      </w:r>
    </w:p>
    <w:p>
      <w:pPr>
        <w:spacing w:after="60" w:line="276"/>
      </w:pPr>
      <w:r>
        <w:rPr>
          <w:sz w:val="20"/>
          <w:szCs w:val="20"/>
        </w:rPr>
        <w:t xml:space="preserve">5. McCoy, L. G. et al. NEJM AI 2, AIdbp2500120 (2025).</w:t>
      </w:r>
    </w:p>
    <w:p>
      <w:pPr>
        <w:spacing w:after="60" w:line="276"/>
      </w:pPr>
      <w:r>
        <w:rPr>
          <w:sz w:val="20"/>
          <w:szCs w:val="20"/>
        </w:rPr>
        <w:t xml:space="preserve">6. Kadavath, S. et al. Preprint at https://arxiv.org/abs/2207.05221 (2022).</w:t>
      </w:r>
    </w:p>
    <w:p>
      <w:pPr>
        <w:spacing w:after="60" w:line="276"/>
      </w:pPr>
      <w:r>
        <w:rPr>
          <w:sz w:val="20"/>
          <w:szCs w:val="20"/>
        </w:rPr>
        <w:t xml:space="preserve">7. Xiong, M. et al. Preprint at https://arxiv.org/abs/2306.13063 (2023).</w:t>
      </w:r>
    </w:p>
    <w:p>
      <w:pPr>
        <w:spacing w:after="60" w:line="276"/>
      </w:pPr>
      <w:r>
        <w:rPr>
          <w:sz w:val="20"/>
          <w:szCs w:val="20"/>
        </w:rPr>
        <w:t xml:space="preserve">8. Tian, Y. et al. Preprint at https://arxiv.org/abs/2305.14975 (2023).</w:t>
      </w:r>
    </w:p>
    <w:p>
      <w:pPr>
        <w:spacing w:after="60" w:line="276"/>
      </w:pPr>
      <w:r>
        <w:rPr>
          <w:sz w:val="20"/>
          <w:szCs w:val="20"/>
        </w:rPr>
        <w:t xml:space="preserve">9. Hager, P. et al. Nat. Med. 30, 2613–2622 (2024).</w:t>
      </w:r>
    </w:p>
    <w:p>
      <w:pPr>
        <w:spacing w:after="60" w:line="276"/>
      </w:pPr>
      <w:r>
        <w:rPr>
          <w:sz w:val="20"/>
          <w:szCs w:val="20"/>
        </w:rPr>
        <w:t xml:space="preserve">10. Vasey, B. et al. Nat. Med. 28, 924–933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2026-02-27T04:34:16.349Z</dcterms:created>
  <dcterms:modified xsi:type="dcterms:W3CDTF">2026-02-27T04:34:16.350Z</dcterms:modified>
</cp:coreProperties>
</file>

<file path=docProps/custom.xml><?xml version="1.0" encoding="utf-8"?>
<Properties xmlns="http://schemas.openxmlformats.org/officeDocument/2006/custom-properties" xmlns:vt="http://schemas.openxmlformats.org/officeDocument/2006/docPropsVTypes"/>
</file>