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TPIA Shareholding Changes</w:t>
      </w:r>
    </w:p>
    <w:p>
      <w:r>
        <w:rPr>
          <w:b/>
          <w:color w:val="484848"/>
          <w:sz w:val="26"/>
        </w:rPr>
        <w:t>31 May 2026 to 17 August 2026</w:t>
      </w:r>
    </w:p>
    <w:p>
      <w:r>
        <w:rPr>
          <w:color w:val="5A5A5A"/>
          <w:sz w:val="21"/>
        </w:rPr>
        <w:t>PT Chandra Asri Pacific Tbk (IDX: TPIA)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8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183752"/>
                <w:sz w:val="20"/>
              </w:rPr>
              <w:t>KEY CONCLUSION</w:t>
            </w:r>
          </w:p>
          <w:p>
            <w:pPr>
              <w:ind w:left="72"/>
            </w:pPr>
            <w:r>
              <w:rPr>
                <w:sz w:val="18"/>
              </w:rPr>
              <w:t>• The only material control-block change found is SCG Chemicals: 30.57% at end-May to 15.71% at end-June, a reduction of 12.857bn shares / 14.86 percentage points.</w:t>
            </w:r>
          </w:p>
          <w:p>
            <w:pPr>
              <w:ind w:left="72"/>
            </w:pPr>
            <w:r>
              <w:rPr>
                <w:sz w:val="18"/>
              </w:rPr>
              <w:t>• Regulatory free float rose from 10.56% to 25.41% (+12.847bn shares), and reported shareholder count increased from 38,456 to 110,840.</w:t>
            </w:r>
          </w:p>
          <w:p>
            <w:pPr>
              <w:ind w:left="72"/>
            </w:pPr>
            <w:r>
              <w:rPr>
                <w:sz w:val="18"/>
              </w:rPr>
              <w:t>• Barito Pacific (34.63%), Top Investment (15.00%) and Prajogo Pangestu direct (5.03%) were unchanged. Four directors/insiders made small June purchases totaling 5.455m shares.</w:t>
            </w:r>
          </w:p>
          <w:p>
            <w:pPr>
              <w:ind w:left="72"/>
            </w:pPr>
            <w:r>
              <w:rPr>
                <w:sz w:val="18"/>
              </w:rPr>
              <w:t>• No later material TPIA ownership change was located in indexed disclosures through 17 Aug 2026. The latest fully verified month-end ownership snapshot available in this review is 30 Jun 2026 (corrected filing published 9 Jul).</w:t>
            </w:r>
          </w:p>
        </w:tc>
      </w:tr>
    </w:tbl>
    <w:p/>
    <w:p>
      <w:pPr>
        <w:pStyle w:val="Heading1"/>
        <w:keepNext/>
      </w:pPr>
      <w:r>
        <w:t>1. Major shareholding: end-May vs end-June</w:t>
      </w:r>
    </w:p>
    <w:p>
      <w:r>
        <w:rPr>
          <w:sz w:val="17"/>
        </w:rPr>
        <w:t>The strict like-for-like comparison below uses the May monthly registry and the corrected June monthly registry. Percentages are of 86,511,545,092 issued shares.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4A66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Holder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4A66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31 May shares</w:t>
            </w:r>
          </w:p>
        </w:tc>
        <w:tc>
          <w:tcPr>
            <w:tcW w:type="dxa" w:w="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4A66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31 May %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4A66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30 Jun shares</w:t>
            </w:r>
          </w:p>
        </w:tc>
        <w:tc>
          <w:tcPr>
            <w:tcW w:type="dxa" w:w="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4A66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30 Jun %</w:t>
            </w:r>
          </w:p>
        </w:tc>
        <w:tc>
          <w:tcPr>
            <w:tcW w:type="dxa" w:w="14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4A66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Δ shares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4A66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Δ pp</w:t>
            </w:r>
          </w:p>
        </w:tc>
        <w:tc>
          <w:tcPr>
            <w:tcW w:type="dxa" w:w="16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4A66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Read-through</w:t>
            </w:r>
          </w:p>
        </w:tc>
      </w:tr>
      <w:tr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PT Barito Pacific Tbk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29,957,670,400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34.63%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29,957,670,400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34.63%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+0.00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Unchanged</w:t>
            </w:r>
          </w:p>
        </w:tc>
      </w:tr>
      <w:tr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SCG Chemicals PCL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26,446,618,924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30.57%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13,589,972,562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15.71%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-12,856,646,362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-14.86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Material reduction</w:t>
            </w:r>
          </w:p>
        </w:tc>
      </w:tr>
      <w:tr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PT Top Investment Indonesia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12,976,731,760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15.00%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12,976,731,760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15.00%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+0.00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Unchanged</w:t>
            </w:r>
          </w:p>
        </w:tc>
      </w:tr>
      <w:tr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Prajogo Pangestu (direct)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4,354,382,164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5.03%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4,354,382,164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5.03%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+0.00</w:t>
            </w:r>
          </w:p>
        </w:tc>
        <w:tc>
          <w:tcPr>
            <w:tcW w:type="dxa" w:w="13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Unchanged</w:t>
            </w:r>
          </w:p>
        </w:tc>
      </w:tr>
    </w:tbl>
    <w:p>
      <w:pPr>
        <w:pStyle w:val="Heading2"/>
        <w:keepNext/>
      </w:pPr>
      <w:r>
        <w:t>Free float and shareholder 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E6B8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E6B8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31 May 2026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E6B8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30 Jun 2026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E6B8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Change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Regulatory free float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9,133,336,275 (10.56%)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21,980,220,234 (25.41%)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+12,846,883,959 / +14.85 pp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Reported shareholder count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38,456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110,840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+72,384 (+188.2%)</w:t>
            </w:r>
          </w:p>
        </w:tc>
      </w:tr>
    </w:tbl>
    <w:p>
      <w:r>
        <w:rPr>
          <w:b/>
        </w:rPr>
        <w:t xml:space="preserve">Important definition point: </w:t>
      </w:r>
      <w:r>
        <w:rPr>
          <w:sz w:val="17"/>
        </w:rPr>
        <w:t>the May monthly table’s “&lt;5% non-scripless” bucket (14.56%) is not the same metric as regulatory free float. The corrected June filing explicitly states the free-float comparison as 10.56% to 25.41%; those are the figures used here.</w:t>
      </w:r>
    </w:p>
    <w:p>
      <w:pPr>
        <w:pStyle w:val="Heading1"/>
        <w:keepNext/>
      </w:pPr>
      <w:r>
        <w:t>2. What actually changed</w:t>
      </w:r>
    </w:p>
    <w:p>
      <w:pPr/>
      <w:r>
        <w:rPr>
          <w:b/>
        </w:rPr>
        <w:t xml:space="preserve">SCG rebalanced its stake. </w:t>
      </w:r>
      <w:r>
        <w:t>SCG fell from 26.447bn shares (30.57%) to 13.590bn (15.71%), a 48.6% reduction in its share count. Chandra Asri described this as a shareholding rebalancing reflecting SCG’s capital-allocation priorities, not a change in TPIA’s strategic direction or governance.</w:t>
      </w:r>
    </w:p>
    <w:p>
      <w:pPr/>
      <w:r>
        <w:rPr>
          <w:b/>
        </w:rPr>
        <w:t xml:space="preserve">The released shares largely became free float. </w:t>
      </w:r>
      <w:r>
        <w:t>Formal month-end free float increased by 12.847bn shares, almost matching SCG’s 12.857bn-share reduction. The small 9.8m-share difference is consistent with other registry movements and classification effects rather than a second strategic block transfer.</w:t>
      </w:r>
    </w:p>
    <w:p>
      <w:pPr/>
      <w:r>
        <w:rPr>
          <w:b/>
        </w:rPr>
        <w:t xml:space="preserve">Control remained concentrated. </w:t>
      </w:r>
      <w:r>
        <w:t>Barito Pacific, Top Investment and Prajogo Pangestu’s direct holdings were unchanged. SCG also remained a long-term strategic shareholder at 15.71%.</w:t>
      </w:r>
    </w:p>
    <w:p>
      <w:pPr>
        <w:pStyle w:val="Heading2"/>
        <w:keepNext/>
      </w:pPr>
      <w:r>
        <w:t>Named sub-5% holders: useful nuance</w:t>
      </w:r>
    </w:p>
    <w:p>
      <w:r>
        <w:rPr>
          <w:b/>
        </w:rPr>
        <w:t xml:space="preserve">At 30 Jun, Chandra Asri’s issuer page separately identifies Bangkok Bank at 4.99% (4.318bn shares) and Marigold Resources at 3.92% (3.387bn). </w:t>
      </w:r>
      <w:r>
        <w:t>Marigold is a longstanding holder and was already at 3.92% historically. Bangkok Bank was 1.70% (1.473bn shares) in the 31 Mar 2026 ownership snapshot, implying an increase of 2.845bn shares / 3.29 pp by 30 Jun. However, the May monthly registry source available in this review groups sub-5% holders rather than naming Bangkok Bank, so I do not label the entire 2.845bn increase as a proven May-to-June purchase or as a confirmed direct buyer of SCG’s block.</w:t>
      </w:r>
    </w:p>
    <w:p>
      <w:pPr>
        <w:pStyle w:val="Heading1"/>
        <w:keepNext/>
      </w:pPr>
      <w:r>
        <w:t>3. June director / insider purchases</w:t>
      </w:r>
    </w:p>
    <w:p>
      <w:r>
        <w:rPr>
          <w:sz w:val="17"/>
        </w:rPr>
        <w:t>These were individually disclosed through IDX-linked ownership-change notices. They are directionally notable but immaterial to control: combined purchases were only 5,454,700 shares, about 0.0063% of issued shares.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</w:trPr>
        <w:tc>
          <w:tcPr>
            <w:tcW w:type="dxa" w:w="24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4A66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4A66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Txn date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4A66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31 May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4A66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30 Jun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4A66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Net bought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4A66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Reported price</w:t>
            </w:r>
          </w:p>
        </w:tc>
      </w:tr>
      <w:tr>
        <w:tc>
          <w:tcPr>
            <w:tcW w:type="dxa" w:w="24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Raymond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 Jun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5,050,000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9,621,800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+4,571,800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Rp1,780-1,890; final 4,600 @ Rp1,870</w:t>
            </w:r>
          </w:p>
        </w:tc>
      </w:tr>
      <w:tr>
        <w:tc>
          <w:tcPr>
            <w:tcW w:type="dxa" w:w="24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Fransiskus Ruly Aryawan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 Jun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400,212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1,010,212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+610,000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Rp1,653</w:t>
            </w:r>
          </w:p>
        </w:tc>
      </w:tr>
      <w:tr>
        <w:tc>
          <w:tcPr>
            <w:tcW w:type="dxa" w:w="24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Edi Riva'i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8-9 Jun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110,200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222,200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+112,000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Rp1,580-1,660</w:t>
            </w:r>
          </w:p>
        </w:tc>
      </w:tr>
      <w:tr>
        <w:tc>
          <w:tcPr>
            <w:tcW w:type="dxa" w:w="24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Baritono Prajogo Pangestu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12 Jun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324,100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485,000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+160,900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Rp1,860</w:t>
            </w:r>
          </w:p>
        </w:tc>
      </w:tr>
    </w:tbl>
    <w:p>
      <w:pPr>
        <w:pStyle w:val="Heading1"/>
        <w:keepNext/>
      </w:pPr>
      <w:r>
        <w:t>4. Timeline</w:t>
      </w:r>
    </w:p>
    <w:p>
      <w:pPr>
        <w:ind w:left="216" w:hanging="216"/>
      </w:pPr>
      <w:r>
        <w:rPr>
          <w:b/>
          <w:color w:val="2A5678"/>
        </w:rPr>
        <w:t xml:space="preserve">31 May  </w:t>
      </w:r>
      <w:r>
        <w:t>Baseline monthly registry: SCG 30.57%; Barito 34.63%; Top Investment 15.00%; Prajogo 5.03%; 38,456 holders.</w:t>
      </w:r>
    </w:p>
    <w:p>
      <w:pPr>
        <w:ind w:left="216" w:hanging="216"/>
      </w:pPr>
      <w:r>
        <w:rPr>
          <w:b/>
          <w:color w:val="2A5678"/>
        </w:rPr>
        <w:t xml:space="preserve">3-5 Jun  </w:t>
      </w:r>
      <w:r>
        <w:t>SCG shareholding rebalancing executed; SCG ultimately settles at 15.71%. Raymond also buys shares on 3 Jun.</w:t>
      </w:r>
    </w:p>
    <w:p>
      <w:pPr>
        <w:ind w:left="216" w:hanging="216"/>
      </w:pPr>
      <w:r>
        <w:rPr>
          <w:b/>
          <w:color w:val="2A5678"/>
        </w:rPr>
        <w:t xml:space="preserve">5 Jun  </w:t>
      </w:r>
      <w:r>
        <w:t>Fransiskus Ruly Aryawan buys 610,000 shares.</w:t>
      </w:r>
    </w:p>
    <w:p>
      <w:pPr>
        <w:ind w:left="216" w:hanging="216"/>
      </w:pPr>
      <w:r>
        <w:rPr>
          <w:b/>
          <w:color w:val="2A5678"/>
        </w:rPr>
        <w:t xml:space="preserve">8-9 Jun  </w:t>
      </w:r>
      <w:r>
        <w:t>Edi Riva'i buys 112,000 shares.</w:t>
      </w:r>
    </w:p>
    <w:p>
      <w:pPr>
        <w:ind w:left="216" w:hanging="216"/>
      </w:pPr>
      <w:r>
        <w:rPr>
          <w:b/>
          <w:color w:val="2A5678"/>
        </w:rPr>
        <w:t xml:space="preserve">8 Jun  </w:t>
      </w:r>
      <w:r>
        <w:t>Chandra Asri announces post-transaction public shareholding of approximately 25.7%.</w:t>
      </w:r>
    </w:p>
    <w:p>
      <w:pPr>
        <w:ind w:left="216" w:hanging="216"/>
      </w:pPr>
      <w:r>
        <w:rPr>
          <w:b/>
          <w:color w:val="2A5678"/>
        </w:rPr>
        <w:t xml:space="preserve">12 Jun  </w:t>
      </w:r>
      <w:r>
        <w:t>Baritono Prajogo Pangestu buys 160,900 shares.</w:t>
      </w:r>
    </w:p>
    <w:p>
      <w:pPr>
        <w:ind w:left="216" w:hanging="216"/>
      </w:pPr>
      <w:r>
        <w:rPr>
          <w:b/>
          <w:color w:val="2A5678"/>
        </w:rPr>
        <w:t xml:space="preserve">30 Jun  </w:t>
      </w:r>
      <w:r>
        <w:t>Month-end registry: SCG 15.71%; regulatory free float 25.41%; 110,840 holders.</w:t>
      </w:r>
    </w:p>
    <w:p>
      <w:pPr>
        <w:ind w:left="216" w:hanging="216"/>
      </w:pPr>
      <w:r>
        <w:rPr>
          <w:b/>
          <w:color w:val="2A5678"/>
        </w:rPr>
        <w:t xml:space="preserve">9 Jul  </w:t>
      </w:r>
      <w:r>
        <w:t>Corrected June monthly registry published, replacing the earlier July filing.</w:t>
      </w:r>
    </w:p>
    <w:p>
      <w:pPr>
        <w:ind w:left="216" w:hanging="216"/>
      </w:pPr>
      <w:r>
        <w:rPr>
          <w:b/>
          <w:color w:val="2A5678"/>
        </w:rPr>
        <w:t xml:space="preserve">17 Aug  </w:t>
      </w:r>
      <w:r>
        <w:t>No later material TPIA ownership change located in indexed disclosure searches; issuer shareholder page still presents 30 Jun composition as latest ownership table.</w:t>
      </w:r>
    </w:p>
    <w:p>
      <w:pPr>
        <w:pStyle w:val="Heading1"/>
        <w:keepNext/>
      </w:pPr>
      <w:r>
        <w:t>5. Coverage / limitation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2F2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</w:rPr>
              <w:t xml:space="preserve">IDX access note. </w:t>
            </w:r>
            <w:r>
              <w:t>The user-provided IDX disclosure page and IDX’s new share-ownership data page returned HTTP 403 to the automated browser during this review. I therefore triangulated IDX-originated disclosures through indexed mirrors that explicitly cite idx.co.id, plus Chandra Asri’s official investor-relations page and press release. Searches for a July month-end TPIA registry or later ownership-change disclosure did not surface a newer material ownership snapshot as of 17 Aug 2026. Consequently, “now” in the quantitative tables means the latest fully verified snapshot found: 30 Jun 2026, with subsequent searches through 17 Aug 2026.</w:t>
            </w:r>
          </w:p>
        </w:tc>
      </w:tr>
    </w:tbl>
    <w:p>
      <w:pPr>
        <w:pStyle w:val="Heading1"/>
        <w:keepNext/>
      </w:pPr>
      <w:r>
        <w:t>6. Source record</w:t>
      </w:r>
    </w:p>
    <w:p>
      <w:pPr>
        <w:spacing w:after="40"/>
      </w:pPr>
      <w:r>
        <w:rPr>
          <w:b/>
          <w:sz w:val="16"/>
        </w:rPr>
        <w:t xml:space="preserve">1. IDX disclosure portal (user-provided). </w:t>
      </w:r>
      <w:hyperlink r:id="rId11">
        <w:r>
          <w:rPr>
            <w:color w:val="1F4E79"/>
            <w:u w:val="single"/>
          </w:rPr>
          <w:t>Link</w:t>
        </w:r>
      </w:hyperlink>
      <w:r>
        <w:rPr>
          <w:sz w:val="16"/>
        </w:rPr>
        <w:t xml:space="preserve"> — Primary portal; automated fetch blocked during review.</w:t>
      </w:r>
    </w:p>
    <w:p>
      <w:pPr>
        <w:spacing w:after="40"/>
      </w:pPr>
      <w:r>
        <w:rPr>
          <w:b/>
          <w:sz w:val="16"/>
        </w:rPr>
        <w:t xml:space="preserve">2. IndoPremier / IDX-originated May monthly registry. </w:t>
      </w:r>
      <w:hyperlink r:id="rId12">
        <w:r>
          <w:rPr>
            <w:color w:val="1F4E79"/>
            <w:u w:val="single"/>
          </w:rPr>
          <w:t>Link</w:t>
        </w:r>
      </w:hyperlink>
      <w:r>
        <w:rPr>
          <w:sz w:val="16"/>
        </w:rPr>
        <w:t xml:space="preserve"> — 31 May 2026 balances and holder count.</w:t>
      </w:r>
    </w:p>
    <w:p>
      <w:pPr>
        <w:spacing w:after="40"/>
      </w:pPr>
      <w:r>
        <w:rPr>
          <w:b/>
          <w:sz w:val="16"/>
        </w:rPr>
        <w:t xml:space="preserve">3. IndoPremier / corrected June monthly registry summary. </w:t>
      </w:r>
      <w:hyperlink r:id="rId13">
        <w:r>
          <w:rPr>
            <w:color w:val="1F4E79"/>
            <w:u w:val="single"/>
          </w:rPr>
          <w:t>Link</w:t>
        </w:r>
      </w:hyperlink>
      <w:r>
        <w:rPr>
          <w:sz w:val="16"/>
        </w:rPr>
        <w:t xml:space="preserve"> — Corrected 30 Jun registry, free float and holder count.</w:t>
      </w:r>
    </w:p>
    <w:p>
      <w:pPr>
        <w:spacing w:after="40"/>
      </w:pPr>
      <w:r>
        <w:rPr>
          <w:b/>
          <w:sz w:val="16"/>
        </w:rPr>
        <w:t xml:space="preserve">4. Chandra Asri official shareholder information. </w:t>
      </w:r>
      <w:hyperlink r:id="rId14">
        <w:r>
          <w:rPr>
            <w:color w:val="1F4E79"/>
            <w:u w:val="single"/>
          </w:rPr>
          <w:t>Link</w:t>
        </w:r>
      </w:hyperlink>
      <w:r>
        <w:rPr>
          <w:sz w:val="16"/>
        </w:rPr>
        <w:t xml:space="preserve"> — 30 Jun 2026 holders with &gt;=1% ownership.</w:t>
      </w:r>
    </w:p>
    <w:p>
      <w:pPr>
        <w:spacing w:after="40"/>
      </w:pPr>
      <w:r>
        <w:rPr>
          <w:b/>
          <w:sz w:val="16"/>
        </w:rPr>
        <w:t xml:space="preserve">5. Chandra Asri official SCG rebalancing release. </w:t>
      </w:r>
      <w:hyperlink r:id="rId15">
        <w:r>
          <w:rPr>
            <w:color w:val="1F4E79"/>
            <w:u w:val="single"/>
          </w:rPr>
          <w:t>Link</w:t>
        </w:r>
      </w:hyperlink>
      <w:r>
        <w:rPr>
          <w:sz w:val="16"/>
        </w:rPr>
        <w:t xml:space="preserve"> — SCG remains 15.71%; public shareholding about 25.7%; rationale.</w:t>
      </w:r>
    </w:p>
    <w:p>
      <w:pPr>
        <w:spacing w:after="40"/>
      </w:pPr>
      <w:r>
        <w:rPr>
          <w:b/>
          <w:sz w:val="16"/>
        </w:rPr>
        <w:t xml:space="preserve">6. Raymond ownership-change notice mirror. </w:t>
      </w:r>
      <w:hyperlink r:id="rId16">
        <w:r>
          <w:rPr>
            <w:color w:val="1F4E79"/>
            <w:u w:val="single"/>
          </w:rPr>
          <w:t>Link</w:t>
        </w:r>
      </w:hyperlink>
      <w:r>
        <w:rPr>
          <w:sz w:val="16"/>
        </w:rPr>
        <w:t xml:space="preserve"> — 3 Jun purchase of 4,567,200 shares.</w:t>
      </w:r>
    </w:p>
    <w:p>
      <w:pPr>
        <w:spacing w:after="40"/>
      </w:pPr>
      <w:r>
        <w:rPr>
          <w:b/>
          <w:sz w:val="16"/>
        </w:rPr>
        <w:t xml:space="preserve">7. Fransiskus Ruly Aryawan notice mirror. </w:t>
      </w:r>
      <w:hyperlink r:id="rId17">
        <w:r>
          <w:rPr>
            <w:color w:val="1F4E79"/>
            <w:u w:val="single"/>
          </w:rPr>
          <w:t>Link</w:t>
        </w:r>
      </w:hyperlink>
      <w:r>
        <w:rPr>
          <w:sz w:val="16"/>
        </w:rPr>
        <w:t xml:space="preserve"> — 5 Jun purchase of 610,000 shares.</w:t>
      </w:r>
    </w:p>
    <w:p>
      <w:pPr>
        <w:spacing w:after="40"/>
      </w:pPr>
      <w:r>
        <w:rPr>
          <w:b/>
          <w:sz w:val="16"/>
        </w:rPr>
        <w:t xml:space="preserve">8. Edi Riva'i notice mirror. </w:t>
      </w:r>
      <w:hyperlink r:id="rId18">
        <w:r>
          <w:rPr>
            <w:color w:val="1F4E79"/>
            <w:u w:val="single"/>
          </w:rPr>
          <w:t>Link</w:t>
        </w:r>
      </w:hyperlink>
      <w:r>
        <w:rPr>
          <w:sz w:val="16"/>
        </w:rPr>
        <w:t xml:space="preserve"> — 8-9 Jun purchase of 112,000 shares.</w:t>
      </w:r>
    </w:p>
    <w:p>
      <w:pPr>
        <w:spacing w:after="40"/>
      </w:pPr>
      <w:r>
        <w:rPr>
          <w:b/>
          <w:sz w:val="16"/>
        </w:rPr>
        <w:t xml:space="preserve">9. Baritono Prajogo Pangestu notice mirror. </w:t>
      </w:r>
      <w:hyperlink r:id="rId19">
        <w:r>
          <w:rPr>
            <w:color w:val="1F4E79"/>
            <w:u w:val="single"/>
          </w:rPr>
          <w:t>Link</w:t>
        </w:r>
      </w:hyperlink>
      <w:r>
        <w:rPr>
          <w:sz w:val="16"/>
        </w:rPr>
        <w:t xml:space="preserve"> — 12 Jun purchase of 160,900 shares.</w:t>
      </w:r>
    </w:p>
    <w:p>
      <w:pPr>
        <w:spacing w:after="40"/>
      </w:pPr>
      <w:r>
        <w:rPr>
          <w:b/>
          <w:sz w:val="16"/>
        </w:rPr>
        <w:t xml:space="preserve">10. 31 Mar 2026 ownership snapshot. </w:t>
      </w:r>
      <w:hyperlink r:id="rId20">
        <w:r>
          <w:rPr>
            <w:color w:val="1F4E79"/>
            <w:u w:val="single"/>
          </w:rPr>
          <w:t>Link</w:t>
        </w:r>
      </w:hyperlink>
      <w:r>
        <w:rPr>
          <w:sz w:val="16"/>
        </w:rPr>
        <w:t xml:space="preserve"> — Used only for Bangkok Bank historical context; not as a substitute for 31 May.</w:t>
      </w:r>
    </w:p>
    <w:p>
      <w:r>
        <w:rPr>
          <w:i/>
          <w:color w:val="6E6E6E"/>
          <w:sz w:val="15"/>
        </w:rPr>
        <w:t>Prepared for informational / transaction-monitoring purposes. Percentages may not sum perfectly because of rounding and regulatory classification differences.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Prepared 17 August 2026 | Sources: IDX-linked disclosures and issuer materials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5"/>
      </w:rPr>
      <w:t>TPIA | Shareholding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7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A56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75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idx.co.id/en/listed-companies/disclosure" TargetMode="External"/><Relationship Id="rId12" Type="http://schemas.openxmlformats.org/officeDocument/2006/relationships/hyperlink" Target="https://www.indopremier.com/ipotnews/newsDetail.php?group_news=RESEARCHNEWS&amp;halaman=1&amp;jdl=Kepemilikan_Saham_Mei_2026_TPIA&amp;name=&amp;news_date=&amp;news_id=491331&amp;q=Kepemilikan+Saham&amp;search=y_general&amp;taging_subtype=COMPANYUPDATE" TargetMode="External"/><Relationship Id="rId13" Type="http://schemas.openxmlformats.org/officeDocument/2006/relationships/hyperlink" Target="https://www.indopremier.com/ipotnews/newsDetail.php?group_news=IPOTNEWS&amp;halaman=1&amp;jdl=AI_Report___Laporan_Bulanan_Registrasi_Pemegang_Efek_Perubahan_Struktur_Pemegang_Saham_%28TPIA%29&amp;name=&amp;news_date=&amp;news_id=223907&amp;q=kepemilikan+saham%2C+pemegang+saham%2C+AI%2C+AI+Report%2C+AI-Report&amp;search=y_general&amp;taging_subtype=KEPEMILIKANSAHAM" TargetMode="External"/><Relationship Id="rId14" Type="http://schemas.openxmlformats.org/officeDocument/2006/relationships/hyperlink" Target="https://chandra-asri.com/en/investor/stocks-and-bonds" TargetMode="External"/><Relationship Id="rId15" Type="http://schemas.openxmlformats.org/officeDocument/2006/relationships/hyperlink" Target="https://chandra-asri.com/en/news/chandra-asri-group-announces-shareholding-rebalancing" TargetMode="External"/><Relationship Id="rId16" Type="http://schemas.openxmlformats.org/officeDocument/2006/relationships/hyperlink" Target="https://www.indopremier.com/module/newsDetail.php?group_news=IPOTNEWS&amp;halaman=1&amp;jdl=Perubahan_Kepemilikan_Saham_TPIA__Beli&amp;name=&amp;news_id=218883&amp;q=Chandra+Asri+Pacific&amp;search=y_general&amp;taging_subtype=TPIA" TargetMode="External"/><Relationship Id="rId17" Type="http://schemas.openxmlformats.org/officeDocument/2006/relationships/hyperlink" Target="https://www.indopremier.com/ipotnews/newsDetail.php?group_news=IPOTNEWS&amp;halaman=1&amp;jdl=Perubahan_Kepemilikan_Saham_TPIA__Beli&amp;name=&amp;news_date=2026-06-08&amp;news_id=219050&amp;q=TPIA&amp;search=y_general&amp;taging_subtype=STOCK" TargetMode="External"/><Relationship Id="rId18" Type="http://schemas.openxmlformats.org/officeDocument/2006/relationships/hyperlink" Target="https://www.indopremier.com/ipotnews/newsDetail.php?group_news=IPOTNEWS&amp;halaman=1&amp;jdl=Perubahan_Kepemilikan_Saham_TPIA__Beli&amp;name=&amp;news_date=&amp;news_id=219207&amp;q=TPIA&amp;search=y_general&amp;taging_subtype=TPIA" TargetMode="External"/><Relationship Id="rId19" Type="http://schemas.openxmlformats.org/officeDocument/2006/relationships/hyperlink" Target="https://www.indopremier.com/module/newsDetail.php?group_news=IPOTNEWS&amp;halaman=1&amp;jdl=Perubahan_Kepemilikan_Saham_TPIA__Beli&amp;name=&amp;news_id=219444&amp;q=Chandra+Asri+Pacific%2C+%28TPIA%29%2C&amp;search=y_general&amp;taging_subtype=STOCK" TargetMode="External"/><Relationship Id="rId20" Type="http://schemas.openxmlformats.org/officeDocument/2006/relationships/hyperlink" Target="https://pemiliksaham.com/issuers/TP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TPIA Shareholding Changes: 31 May 2026 to 17 August 2026</dc:title>
  <dc:subject>Review of TPIA shareholding disclosures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