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AI Bubble Stress Framework</w:t>
        <w:br/>
        <w:t>Presentation Script</w:t>
      </w:r>
    </w:p>
    <w:p>
      <w:pPr>
        <w:pStyle w:val="Subtitle"/>
        <w:jc w:val="center"/>
      </w:pPr>
      <w:r>
        <w:t>Concise slide-by-slide talk track for senior management</w:t>
        <w:br/>
        <w:t>Aligned to the V5 theory and the uploaded deck</w:t>
      </w:r>
    </w:p>
    <w:tbl>
      <w:tblPr>
        <w:tblW w:type="auto" w:w="0"/>
        <w:jc w:val="center"/>
        <w:tblLook w:firstColumn="1" w:firstRow="1" w:lastColumn="0" w:lastRow="0" w:noHBand="0" w:noVBand="1" w:val="04A0"/>
      </w:tblPr>
      <w:tblGrid>
        <w:gridCol w:w="10368"/>
      </w:tblGrid>
      <w:tr>
        <w:tc>
          <w:tcPr>
            <w:tcW w:type="dxa" w:w="10368"/>
            <w:shd w:fill="F2F6FA"/>
            <w:tcMar>
              <w:top w:w="180" w:type="dxa"/>
              <w:start w:w="220" w:type="dxa"/>
              <w:bottom w:w="180" w:type="dxa"/>
              <w:end w:w="220" w:type="dxa"/>
            </w:tcMar>
          </w:tcPr>
          <w:p>
            <w:pPr>
              <w:jc w:val="left"/>
            </w:pPr>
            <w:r>
              <w:rPr>
                <w:b/>
                <w:color w:val="003B70"/>
              </w:rPr>
              <w:t>Core narrative</w:t>
              <w:br/>
            </w:r>
            <w:r>
              <w:t>1. The current AI run-up has meaningful statistical similarities to the pre-peak dot-com episode, but this is not a timing forecast.</w:t>
              <w:br/>
              <w:t>2. The model converts that analogue into an interpretable stress vector: broad market de-risking plus incremental AI-excess repricing.</w:t>
              <w:br/>
              <w:t>3. The vector is mapped to country-industry cells, market-cap overlays, and single-stock overrides, then applied to client positions and margin.</w:t>
              <w:br/>
              <w:t>4. The management question is not whether AI will crash. It is where Citi is exposed if it does.</w:t>
            </w:r>
          </w:p>
        </w:tc>
      </w:tr>
    </w:tbl>
    <w:p/>
    <w:p>
      <w:pPr>
        <w:jc w:val="center"/>
      </w:pPr>
      <w:r>
        <w:rPr>
          <w:b/>
          <w:color w:val="003B70"/>
        </w:rPr>
        <w:t>Suggested opening before Slide 2</w:t>
      </w:r>
    </w:p>
    <w:p>
      <w:pPr>
        <w:pStyle w:val="TalkTrack"/>
        <w:jc w:val="center"/>
      </w:pPr>
      <w:r>
        <w:t>“I want to answer one practical risk question: if the current AI-led equity boom reprices in a dot-com-style unwind, where do losses appear, how quickly can they arrive, and is our margin sufficient?”</w:t>
      </w:r>
    </w:p>
    <w:p>
      <w:pPr>
        <w:pStyle w:val="SectionHeading"/>
      </w:pPr>
      <w:r>
        <w:t>How to present this to senior management</w:t>
      </w:r>
    </w:p>
    <w:p>
      <w:pPr>
        <w:pStyle w:val="TalkTrack"/>
      </w:pPr>
      <w:r>
        <w:t>• Lead with the conclusion, then use the chart as evidence. Do not narrate every data point.</w:t>
      </w:r>
    </w:p>
    <w:p>
      <w:pPr>
        <w:pStyle w:val="TalkTrack"/>
      </w:pPr>
      <w:r>
        <w:t>• Call the framework a conditional stress test, not a crash forecast or fair-value model.</w:t>
      </w:r>
    </w:p>
    <w:p>
      <w:pPr>
        <w:pStyle w:val="TalkTrack"/>
      </w:pPr>
      <w:r>
        <w:t>• On equations, explain the two economic components rather than reading the notation.</w:t>
      </w:r>
    </w:p>
    <w:p>
      <w:pPr>
        <w:pStyle w:val="TalkTrack"/>
      </w:pPr>
      <w:r>
        <w:t>• Spend most time on Slides 12–17, 22–31, and 41–51. Move quickly through repetitive diagnostics.</w:t>
      </w:r>
    </w:p>
    <w:p>
      <w:r>
        <w:br w:type="page"/>
      </w:r>
    </w:p>
    <w:p>
      <w:pPr>
        <w:pStyle w:val="SectionHeading"/>
      </w:pPr>
      <w:r>
        <w:t>Section I — Why Dot-Com Is a Useful AI Stress Analogue</w:t>
      </w:r>
    </w:p>
    <w:p>
      <w:pPr>
        <w:pStyle w:val="SlideHeading"/>
      </w:pPr>
      <w:r>
        <w:rPr>
          <w:b/>
        </w:rPr>
        <w:t>Slide 2 — The Dot-Com Bubble vs AI Bubble Price</w:t>
      </w:r>
    </w:p>
    <w:p>
      <w:pPr>
        <w:pStyle w:val="TalkTrack"/>
      </w:pPr>
      <w:r>
        <w:t>I start by normalizing the dot-com NASDAQ path and the current AI basket to the same starting value. The broad shape is visibly similar: a sustained rise, increasing acceleration, and higher volatility late in the run-up. This is only a motivation for stress testing; it does not tell us when, or even whether, the current cycle will peak.</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dot-com episode is a credible historical analogue for scenario design, not a market-timing signal.</w:t>
            </w:r>
          </w:p>
        </w:tc>
      </w:tr>
    </w:tbl>
    <w:p>
      <w:pPr>
        <w:pStyle w:val="TightSpacer"/>
      </w:pPr>
    </w:p>
    <w:p>
      <w:pPr>
        <w:pStyle w:val="SlideHeading"/>
      </w:pPr>
      <w:r>
        <w:rPr>
          <w:b/>
        </w:rPr>
        <w:t>Slide 3 — The Dot-Com Bubble vs AI Bubble Decomposed</w:t>
      </w:r>
    </w:p>
    <w:p>
      <w:pPr>
        <w:pStyle w:val="TalkTrack"/>
      </w:pPr>
      <w:r>
        <w:t>Rather than choosing one dot-com window by eye, I compare the current AI path with many possible pre-peak dot-com segments. Each line is a different historical starting point, normalized to 100. The goal is to identify the segment whose shape most closely resembles today’s run-up.</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analogue is selected systematically rather than subjectively.</w:t>
            </w:r>
          </w:p>
        </w:tc>
      </w:tr>
    </w:tbl>
    <w:p>
      <w:pPr>
        <w:pStyle w:val="TightSpacer"/>
      </w:pPr>
    </w:p>
    <w:p>
      <w:pPr>
        <w:pStyle w:val="SlideHeading"/>
      </w:pPr>
      <w:r>
        <w:rPr>
          <w:b/>
        </w:rPr>
        <w:t>Slide 4 — Dot-Com vs AI Bubble — Distance to Candidate Paths</w:t>
      </w:r>
    </w:p>
    <w:p>
      <w:pPr>
        <w:pStyle w:val="TalkTrack"/>
      </w:pPr>
      <w:r>
        <w:t>For each candidate dot-com segment, I calculate the root-mean-square distance from the current AI path. The minimum occurs roughly 46 trading days before the dot-com peak. That gives a disciplined alignment point for the comparison.</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closest statistical match places the current AI path near the late stage of the historical run-up, but this remains descriptive, not predictive.</w:t>
            </w:r>
          </w:p>
        </w:tc>
      </w:tr>
    </w:tbl>
    <w:p>
      <w:pPr>
        <w:pStyle w:val="TightSpacer"/>
      </w:pPr>
    </w:p>
    <w:p>
      <w:pPr>
        <w:pStyle w:val="SlideHeading"/>
      </w:pPr>
      <w:r>
        <w:rPr>
          <w:b/>
        </w:rPr>
        <w:t>Slide 5 — The Dot-Com Bubble vs AI Bubble Time Shift</w:t>
      </w:r>
    </w:p>
    <w:p>
      <w:pPr>
        <w:pStyle w:val="TalkTrack"/>
      </w:pPr>
      <w:r>
        <w:t>Here I apply that 46-day alignment. The solid section is the matched historical path; the dashed section shows what happened afterward in dot-com. I show the extension to make the scenario intuitive, but I would be explicit that the dashed line is not a forecast of the next several weeks.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historical continuation is a stress narrative, not an expected price path.</w:t>
            </w:r>
          </w:p>
        </w:tc>
      </w:tr>
    </w:tbl>
    <w:p>
      <w:pPr>
        <w:pStyle w:val="TightSpacer"/>
      </w:pPr>
    </w:p>
    <w:p>
      <w:pPr>
        <w:pStyle w:val="SlideHeading"/>
      </w:pPr>
      <w:r>
        <w:rPr>
          <w:b/>
        </w:rPr>
        <w:t>Slide 6 — Distribution of Daily Returns in the Matched Windows</w:t>
      </w:r>
    </w:p>
    <w:p>
      <w:pPr>
        <w:pStyle w:val="TalkTrack"/>
      </w:pPr>
      <w:r>
        <w:t>The daily-return distributions overlap meaningfully. Both periods show high volatility, frequent positive days, and fat tails. This supports the idea that the two run-ups share similar risk characteristics even though the companies, market structure, and macro environment are different.</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Similarity is visible not only in cumulative price, but also in the distribution of daily moves.</w:t>
            </w:r>
          </w:p>
        </w:tc>
      </w:tr>
    </w:tbl>
    <w:p>
      <w:pPr>
        <w:pStyle w:val="TightSpacer"/>
      </w:pPr>
    </w:p>
    <w:p>
      <w:pPr>
        <w:pStyle w:val="SlideHeading"/>
      </w:pPr>
      <w:r>
        <w:rPr>
          <w:b/>
        </w:rPr>
        <w:t>Slide 7 — Cumulative Price</w:t>
      </w:r>
    </w:p>
    <w:p>
      <w:pPr>
        <w:pStyle w:val="TalkTrack"/>
      </w:pPr>
      <w:r>
        <w:t>Over matched 44-month windows, the current semiconductor basket has been the most dot-com-like of the modern AI proxies. Its cumulative return and volatility sit close to the historical TMT and NASDAQ experience. The broader AI and global-tech baskets are strong, but less extreme.</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Semiconductors are the clearest modern AI epicenter and therefore the most important calibration and monitoring segment.</w:t>
            </w:r>
          </w:p>
        </w:tc>
      </w:tr>
    </w:tbl>
    <w:p>
      <w:pPr>
        <w:pStyle w:val="TightSpacer"/>
      </w:pPr>
    </w:p>
    <w:p>
      <w:pPr>
        <w:pStyle w:val="SlideHeading"/>
      </w:pPr>
      <w:r>
        <w:rPr>
          <w:b/>
        </w:rPr>
        <w:t>Slide 8 — Cumulative Comparison</w:t>
      </w:r>
    </w:p>
    <w:p>
      <w:pPr>
        <w:pStyle w:val="TalkTrack"/>
      </w:pPr>
      <w:r>
        <w:t>This chart summarizes return, annualized growth, and volatility across the matched windows. I would not spend time on every bar. The key point is that the current semiconductor basket combines dot-com-like appreciation with similarly elevated volatility.</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analogy is strongest in the semiconductor complex, not uniformly across the whole market.</w:t>
            </w:r>
          </w:p>
        </w:tc>
      </w:tr>
    </w:tbl>
    <w:p>
      <w:pPr>
        <w:pStyle w:val="TightSpacer"/>
      </w:pPr>
    </w:p>
    <w:p>
      <w:pPr>
        <w:pStyle w:val="SlideHeading"/>
      </w:pPr>
      <w:r>
        <w:rPr>
          <w:b/>
        </w:rPr>
        <w:t>Slide 9 — Excess Performance of Dot-Com vs AI</w:t>
      </w:r>
    </w:p>
    <w:p>
      <w:pPr>
        <w:pStyle w:val="TalkTrack"/>
      </w:pPr>
      <w:r>
        <w:t>Absolute returns can be misleading because the whole market has risen. I therefore compare each technology theme against a broad-market proxy. On this relative basis, the current semiconductor trend again looks closest to the dot-com TMT run-up, while the broader AI basket is less extreme.</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similarity is not just market beta; it includes meaningful technology-theme excess performance.</w:t>
            </w:r>
          </w:p>
        </w:tc>
      </w:tr>
    </w:tbl>
    <w:p>
      <w:pPr>
        <w:pStyle w:val="TightSpacer"/>
      </w:pPr>
    </w:p>
    <w:p>
      <w:pPr>
        <w:pStyle w:val="SlideHeading"/>
      </w:pPr>
      <w:r>
        <w:rPr>
          <w:b/>
        </w:rPr>
        <w:t>Slide 10 — Statistical Comparison</w:t>
      </w:r>
    </w:p>
    <w:p>
      <w:pPr>
        <w:pStyle w:val="TalkTrack"/>
      </w:pPr>
      <w:r>
        <w:t>After aligning the two paths by month, the log-price correlation is approximately 0.93, with an RMSE of about 0.21. These are strong shape-similarity statistics. They justify using dot-com as an anchor, but they do not provide causal inference or predictive power.</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historical analogue is quantitatively strong enough to use for stress calibration, with clear limits on interpretation.</w:t>
            </w:r>
          </w:p>
        </w:tc>
      </w:tr>
    </w:tbl>
    <w:p>
      <w:pPr>
        <w:pStyle w:val="TightSpacer"/>
      </w:pPr>
    </w:p>
    <w:p>
      <w:pPr>
        <w:pStyle w:val="SectionHeading"/>
      </w:pPr>
      <w:r>
        <w:t>Section II — Build the Stress Framework from First Principles</w:t>
      </w:r>
    </w:p>
    <w:p>
      <w:pPr>
        <w:pStyle w:val="SlideHeading"/>
      </w:pPr>
      <w:r>
        <w:rPr>
          <w:b/>
        </w:rPr>
        <w:t>Slide 11 — What If the AI Bubble Crashes Like Dot-Com?</w:t>
      </w:r>
    </w:p>
    <w:p>
      <w:pPr>
        <w:pStyle w:val="TalkTrack"/>
      </w:pPr>
      <w:r>
        <w:t>The similarity evidence leads to the risk question. I am not claiming that the current AI cycle will repeat dot-com. I am asking: if a comparable repricing occurs, what coherent return vector should we apply to client positions?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presentation now moves from historical analogy to a conditional risk framework.</w:t>
            </w:r>
          </w:p>
        </w:tc>
      </w:tr>
    </w:tbl>
    <w:p>
      <w:pPr>
        <w:pStyle w:val="TightSpacer"/>
      </w:pPr>
    </w:p>
    <w:p>
      <w:pPr>
        <w:pStyle w:val="SlideHeading"/>
      </w:pPr>
      <w:r>
        <w:rPr>
          <w:b/>
        </w:rPr>
        <w:t>Slide 12 — Model Framework</w:t>
      </w:r>
    </w:p>
    <w:p>
      <w:pPr>
        <w:pStyle w:val="TalkTrack"/>
      </w:pPr>
      <w:r>
        <w:t>The model has seven connected steps. We estimate broad-market and AI-specific exposures, calibrate the shock using dot-com and current valuation, produce country-industry stress rows, add single-stock overrides for major AI names, and apply a separate market-cap overlay. The final output is a merge-ready stress return for each position.</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framework converts a macro scenario into an auditable, position-level stress vector.</w:t>
            </w:r>
          </w:p>
        </w:tc>
      </w:tr>
    </w:tbl>
    <w:p>
      <w:pPr>
        <w:pStyle w:val="TightSpacer"/>
      </w:pPr>
    </w:p>
    <w:p>
      <w:pPr>
        <w:pStyle w:val="SlideHeading"/>
      </w:pPr>
      <w:r>
        <w:rPr>
          <w:b/>
        </w:rPr>
        <w:t>Slide 13 — AI-Excess Exposure</w:t>
      </w:r>
    </w:p>
    <w:p>
      <w:pPr>
        <w:pStyle w:val="TalkTrack"/>
      </w:pPr>
      <w:r>
        <w:t>I separate an AI-linked company’s price into ordinary equity value, genuine AI-related fundamental value, and an AI excess premium. A broad selloff affects the ordinary equity component. Some AI fundamentals may be revised, but the model does not assume they disappear. The most fragile component is the premium investors pay for aggressive future AI expectations.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model stresses market exposure and speculative AI premium separately, rather than assuming all AI value is fictitious.</w:t>
            </w:r>
          </w:p>
        </w:tc>
      </w:tr>
    </w:tbl>
    <w:p>
      <w:pPr>
        <w:pStyle w:val="TightSpacer"/>
      </w:pPr>
    </w:p>
    <w:p>
      <w:pPr>
        <w:pStyle w:val="SlideHeading"/>
      </w:pPr>
      <w:r>
        <w:rPr>
          <w:b/>
        </w:rPr>
        <w:t>Slide 14 — Model Overview</w:t>
      </w:r>
    </w:p>
    <w:p>
      <w:pPr>
        <w:pStyle w:val="TalkTrack"/>
      </w:pPr>
      <w:r>
        <w:t>The entire model is captured by one equation: total stress equals market beta times the broad-market shock, plus AI intensity times the AI-excess shock. A non-AI cyclical company can still fall through the first leg. A semiconductor or AI-platform name receives the second, additional repricing leg.</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Every result can be explained as broad de-risking plus incremental AI-specific vulnerability.</w:t>
            </w:r>
          </w:p>
        </w:tc>
      </w:tr>
    </w:tbl>
    <w:p>
      <w:pPr>
        <w:pStyle w:val="TightSpacer"/>
      </w:pPr>
    </w:p>
    <w:p>
      <w:pPr>
        <w:pStyle w:val="SlideHeading"/>
      </w:pPr>
      <w:r>
        <w:rPr>
          <w:b/>
        </w:rPr>
        <w:t>Slide 15 — Separating Market Beta and AI Signal</w:t>
      </w:r>
    </w:p>
    <w:p>
      <w:pPr>
        <w:pStyle w:val="TalkTrack"/>
      </w:pPr>
      <w:r>
        <w:t>The raw AI basket contains ordinary market exposure, so using it directly would double-count the market. I regress the AI basket on the world equity market and remove the fitted market component. The residual is the part of AI performance not explained by broad equities.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Orthogonalization isolates the AI-specific signal and prevents market risk from being counted twice.</w:t>
            </w:r>
          </w:p>
        </w:tc>
      </w:tr>
    </w:tbl>
    <w:p>
      <w:pPr>
        <w:pStyle w:val="TightSpacer"/>
      </w:pPr>
    </w:p>
    <w:p>
      <w:pPr>
        <w:pStyle w:val="SlideHeading"/>
      </w:pPr>
      <w:r>
        <w:rPr>
          <w:b/>
        </w:rPr>
        <w:t>Slide 16 — Illustration of the Projection</w:t>
      </w:r>
    </w:p>
    <w:p>
      <w:pPr>
        <w:pStyle w:val="TalkTrack"/>
      </w:pPr>
      <w:r>
        <w:t>The left chart shows that raw AI returns move strongly with the market. After removing the fitted market component, the residual on the right is centered around zero and has almost no linear market relationship. This residual is useful for identifying AI-relative exposure; it is not used blindly as a signed crash return.</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residual is an identification tool. Production stress remains an absolute adverse shock.</w:t>
            </w:r>
          </w:p>
        </w:tc>
      </w:tr>
    </w:tbl>
    <w:p>
      <w:pPr>
        <w:pStyle w:val="TightSpacer"/>
      </w:pPr>
    </w:p>
    <w:p>
      <w:pPr>
        <w:pStyle w:val="SlideHeading"/>
      </w:pPr>
      <w:r>
        <w:rPr>
          <w:b/>
        </w:rPr>
        <w:t>Slide 17 — Making an Exposure Score</w:t>
      </w:r>
    </w:p>
    <w:p>
      <w:pPr>
        <w:pStyle w:val="TalkTrack"/>
      </w:pPr>
      <w:r>
        <w:t>For each country-industry cell, I first estimate market sensitivity and raw AI-basket sensitivity. I subtract the AI co-movement that would arise purely from normal market beta, then rescale the remainder into an AI-excess intensity. This asks a simple question: does the cell move with AI more than the market alone would imply?</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High beta is not automatically high AI exposure; the model isolates incremental AI co-movement.</w:t>
            </w:r>
          </w:p>
        </w:tc>
      </w:tr>
    </w:tbl>
    <w:p>
      <w:pPr>
        <w:pStyle w:val="TightSpacer"/>
      </w:pPr>
    </w:p>
    <w:p>
      <w:pPr>
        <w:pStyle w:val="SlideHeading"/>
      </w:pPr>
      <w:r>
        <w:rPr>
          <w:b/>
        </w:rPr>
        <w:t>Slide 18 — Distribution of AI Exposure</w:t>
      </w:r>
    </w:p>
    <w:p>
      <w:pPr>
        <w:pStyle w:val="TalkTrack"/>
      </w:pPr>
      <w:r>
        <w:t>The horizontal axis is broad-market beta and the vertical axis is final AI-excess intensity. Most cells have normal market exposure but modest AI intensity. The upper-right tail contains the expected concentrations, including Korean and Taiwanese technology hardware and communications.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model differentiates broad equity risk from concentrated AI-supply-chain risk.</w:t>
            </w:r>
          </w:p>
        </w:tc>
      </w:tr>
    </w:tbl>
    <w:p>
      <w:pPr>
        <w:pStyle w:val="TightSpacer"/>
      </w:pPr>
    </w:p>
    <w:p>
      <w:pPr>
        <w:pStyle w:val="SlideHeading"/>
      </w:pPr>
      <w:r>
        <w:rPr>
          <w:b/>
        </w:rPr>
        <w:t>Slide 19 — Illustration of the Result on the Current Market</w:t>
      </w:r>
    </w:p>
    <w:p>
      <w:pPr>
        <w:pStyle w:val="TalkTrack"/>
      </w:pPr>
      <w:r>
        <w:t>This decomposition shows the current AI basket as the sum of a broad-market component and an orthogonal AI residual. The market explains part of the rise, but not all of it. The residual also moves in cycles, which is exactly the component that can reverse when the theme is repriced.</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A meaningful share of the AI run-up is theme-specific rather than ordinary market beta.</w:t>
            </w:r>
          </w:p>
        </w:tc>
      </w:tr>
    </w:tbl>
    <w:p>
      <w:pPr>
        <w:pStyle w:val="TightSpacer"/>
      </w:pPr>
    </w:p>
    <w:p>
      <w:pPr>
        <w:pStyle w:val="SlideHeading"/>
      </w:pPr>
      <w:r>
        <w:rPr>
          <w:b/>
        </w:rPr>
        <w:t>Slide 20 — Illustration of the Result on the Dot-Com Bubble</w:t>
      </w:r>
    </w:p>
    <w:p>
      <w:pPr>
        <w:pStyle w:val="TalkTrack"/>
      </w:pPr>
      <w:r>
        <w:t>The same decomposition is applied to dot-com TMT. The relative TMT component rises sharply into 2000 and then unwinds. I use the peak of that relative component as the anchor for the AI-excess shock, while the market path separately calibrates broad de-risking.</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Dot-com supplies two distinct historical shocks: a market leg and a technology-excess leg.</w:t>
            </w:r>
          </w:p>
        </w:tc>
      </w:tr>
    </w:tbl>
    <w:p>
      <w:pPr>
        <w:pStyle w:val="TightSpacer"/>
      </w:pPr>
    </w:p>
    <w:p>
      <w:pPr>
        <w:pStyle w:val="SlideHeading"/>
      </w:pPr>
      <w:r>
        <w:rPr>
          <w:b/>
        </w:rPr>
        <w:t>Slide 21 — Economic Relevance</w:t>
      </w:r>
      <w:r>
        <w:rPr>
          <w:i/>
          <w:color w:val="787878"/>
        </w:rPr>
        <w:t xml:space="preserve">  [The uploaded slide appears to be a transition slide]</w:t>
      </w:r>
    </w:p>
    <w:p>
      <w:pPr>
        <w:pStyle w:val="TalkTrack"/>
      </w:pPr>
      <w:r>
        <w:t>Return data alone can be noisy, especially for short ETF histories and new AI beneficiaries. I therefore add an economic relevance score, weighted more toward industry than country, and blend it with the statistical score. This keeps direct AI infrastructure, semiconductors, cloud, and data-center power appropriately exposed even when historical proxies are imperfect.</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final exposure combines market evidence with structural economic logic.</w:t>
            </w:r>
          </w:p>
        </w:tc>
      </w:tr>
    </w:tbl>
    <w:p>
      <w:pPr>
        <w:pStyle w:val="TightSpacer"/>
      </w:pPr>
    </w:p>
    <w:p>
      <w:pPr>
        <w:pStyle w:val="SectionHeading"/>
      </w:pPr>
      <w:r>
        <w:t>Section III — Calibrate Severity and Add the Market-Cap Overlay</w:t>
      </w:r>
    </w:p>
    <w:p>
      <w:pPr>
        <w:pStyle w:val="SlideHeading"/>
      </w:pPr>
      <w:r>
        <w:rPr>
          <w:b/>
        </w:rPr>
        <w:t>Slide 22 — Shock Calibration with Dot-Com Data</w:t>
      </w:r>
    </w:p>
    <w:p>
      <w:pPr>
        <w:pStyle w:val="TalkTrack"/>
      </w:pPr>
      <w:r>
        <w:t>Once exposure is fixed, the remaining question is shock size. I take dot-com price paths, separate broad-market and TMT excess drawdowns, and then apply two controls: a valuation scalar and a scenario-severity scalar. This preserves the historical anchor without assuming the current market must repeat dot-com exactly.</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Exposure and severity are estimated separately, making the model easier to audit and update.</w:t>
            </w:r>
          </w:p>
        </w:tc>
      </w:tr>
    </w:tbl>
    <w:p>
      <w:pPr>
        <w:pStyle w:val="TightSpacer"/>
      </w:pPr>
    </w:p>
    <w:p>
      <w:pPr>
        <w:pStyle w:val="SlideHeading"/>
      </w:pPr>
      <w:r>
        <w:rPr>
          <w:b/>
        </w:rPr>
        <w:t>Slide 23 — Dot-Com TMT Peak Decomposition</w:t>
      </w:r>
    </w:p>
    <w:p>
      <w:pPr>
        <w:pStyle w:val="TalkTrack"/>
      </w:pPr>
      <w:r>
        <w:t>The broad S&amp;P 500 and the TMT epicenter are normalized at the dot-com peak. After the peak, TMT falls much faster and further than the broad market. That difference is the historical technology-excess repricing that the model imports into the AI stress leg.</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AI-excess shock is the portion of the technology collapse beyond the simultaneous market decline.</w:t>
            </w:r>
          </w:p>
        </w:tc>
      </w:tr>
    </w:tbl>
    <w:p>
      <w:pPr>
        <w:pStyle w:val="TightSpacer"/>
      </w:pPr>
    </w:p>
    <w:p>
      <w:pPr>
        <w:pStyle w:val="SlideHeading"/>
      </w:pPr>
      <w:r>
        <w:rPr>
          <w:b/>
        </w:rPr>
        <w:t>Slide 24 — Dot-Com TMT Peak — Horizon Anchors</w:t>
      </w:r>
    </w:p>
    <w:p>
      <w:pPr>
        <w:pStyle w:val="TalkTrack"/>
      </w:pPr>
      <w:r>
        <w:t>For one week, two weeks, one month, and two months, I measure the worst TMT drawdown reached by each deadline and the market move at the same point. The excess shock is simply TMT minus market in log-return space. Using the worst point before the deadline reflects how margin risk is experienced in practice.</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Short-horizon stress is calibrated to the maximum loss that could arrive before risk action, not only the endpoint return.</w:t>
            </w:r>
          </w:p>
        </w:tc>
      </w:tr>
    </w:tbl>
    <w:p>
      <w:pPr>
        <w:pStyle w:val="TightSpacer"/>
      </w:pPr>
    </w:p>
    <w:p>
      <w:pPr>
        <w:pStyle w:val="SlideHeading"/>
      </w:pPr>
      <w:r>
        <w:rPr>
          <w:b/>
        </w:rPr>
        <w:t>Slide 25 — Kappa Calibration</w:t>
      </w:r>
    </w:p>
    <w:p>
      <w:pPr>
        <w:pStyle w:val="TalkTrack"/>
      </w:pPr>
      <w:r>
        <w:t>A full dot-com excess shock may be too severe for the base case because today’s valuation premium is lower. The current blended AI premium is about 0.526 in log terms versus roughly 0.785 in dot-com, producing a base scalar of approximately 0.671. Severe uses the full dot-com analogue; higher tail scenarios extend beyond it.</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base case applies about 67% of the dot-com AI-excess repricing, while the severe case applies 100%.</w:t>
            </w:r>
          </w:p>
        </w:tc>
      </w:tr>
    </w:tbl>
    <w:p>
      <w:pPr>
        <w:pStyle w:val="TightSpacer"/>
      </w:pPr>
    </w:p>
    <w:p>
      <w:pPr>
        <w:pStyle w:val="SlideHeading"/>
      </w:pPr>
      <w:r>
        <w:rPr>
          <w:b/>
        </w:rPr>
        <w:t>Slide 26 — Scenario Mechanics</w:t>
      </w:r>
    </w:p>
    <w:p>
      <w:pPr>
        <w:pStyle w:val="TalkTrack"/>
      </w:pPr>
      <w:r>
        <w:t>The market leg and AI-excess leg are scaled separately. Mild reduces both. Base keeps the full reference market shock but applies the 0.67 valuation scalar to AI excess. Severe uses the full dot-com excess shock. Extreme and worst primarily intensify the AI-excess leg rather than repeatedly increasing the broad-market assumption.</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scenario ladder is structured and interpretable, not a set of unrelated percentage guesses.</w:t>
            </w:r>
          </w:p>
        </w:tc>
      </w:tr>
    </w:tbl>
    <w:p>
      <w:pPr>
        <w:pStyle w:val="TightSpacer"/>
      </w:pPr>
    </w:p>
    <w:p>
      <w:pPr>
        <w:pStyle w:val="SlideHeading"/>
      </w:pPr>
      <w:r>
        <w:rPr>
          <w:b/>
        </w:rPr>
        <w:t>Slide 27 — Large Cap vs Small Cap</w:t>
      </w:r>
    </w:p>
    <w:p>
      <w:pPr>
        <w:pStyle w:val="TalkTrack"/>
      </w:pPr>
      <w:r>
        <w:t>The core return model is based mainly on liquid, large-cap proxies. In stressed markets, smaller companies often underperform beyond what their factor beta predicts. I therefore estimate a separate size underperformance variable from historical windows in which the large-cap market was already under stress.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Market-cap risk is treated as a separate gap and liquidity overlay, not confused with AI exposure.</w:t>
            </w:r>
          </w:p>
        </w:tc>
      </w:tr>
    </w:tbl>
    <w:p>
      <w:pPr>
        <w:pStyle w:val="TightSpacer"/>
      </w:pPr>
    </w:p>
    <w:p>
      <w:pPr>
        <w:pStyle w:val="SlideHeading"/>
      </w:pPr>
      <w:r>
        <w:rPr>
          <w:b/>
        </w:rPr>
        <w:t>Slide 28 — Small-Cap Underperformance</w:t>
      </w:r>
    </w:p>
    <w:p>
      <w:pPr>
        <w:pStyle w:val="TalkTrack"/>
      </w:pPr>
      <w:r>
        <w:t>Positions are placed into five market-cap quintiles. The dot-com example shows a clear ordering: the smallest stocks draw down most, while the large-cap reference is comparatively resilient. This gives an empirical basis for the size overlay.</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same country-industry exposure can create different losses depending on the security’s market-cap and liquidity profile.</w:t>
            </w:r>
          </w:p>
        </w:tc>
      </w:tr>
    </w:tbl>
    <w:p>
      <w:pPr>
        <w:pStyle w:val="TightSpacer"/>
      </w:pPr>
    </w:p>
    <w:p>
      <w:pPr>
        <w:pStyle w:val="SlideHeading"/>
      </w:pPr>
      <w:r>
        <w:rPr>
          <w:b/>
        </w:rPr>
        <w:t>Slide 29 — Market-Capitalization Factor Model</w:t>
      </w:r>
    </w:p>
    <w:p>
      <w:pPr>
        <w:pStyle w:val="TalkTrack"/>
      </w:pPr>
      <w:r>
        <w:t>For each size bucket and horizon, I examine the conditional distribution of small-cap performance relative to the large-cap reference during stressed windows. Scenario overlays are selected from progressively worse parts of that distribution. The overlay is always non-positive and is added only after the core factor stress is calculated.</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size adjustment is empirically calibrated and deliberately separated from the core factor return.</w:t>
            </w:r>
          </w:p>
        </w:tc>
      </w:tr>
    </w:tbl>
    <w:p>
      <w:pPr>
        <w:pStyle w:val="TightSpacer"/>
      </w:pPr>
    </w:p>
    <w:p>
      <w:pPr>
        <w:pStyle w:val="SlideHeading"/>
      </w:pPr>
      <w:r>
        <w:rPr>
          <w:b/>
        </w:rPr>
        <w:t>Slide 30 — Underperformance Variable Under Different Scenarios</w:t>
      </w:r>
    </w:p>
    <w:p>
      <w:pPr>
        <w:pStyle w:val="TalkTrack"/>
      </w:pPr>
      <w:r>
        <w:t>The table converts that distribution into scenario overlays. At two months, the micro-cap penalty ranges from roughly 4% in mild to about 30% in worst, while the large-cap reference receives no size penalty. The ordering is monotonic across both severity and market-cap buckets.</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Smaller and less liquid positions create materially larger tail losses, especially in the extreme scenarios.</w:t>
            </w:r>
          </w:p>
        </w:tc>
      </w:tr>
    </w:tbl>
    <w:p>
      <w:pPr>
        <w:pStyle w:val="TightSpacer"/>
      </w:pPr>
    </w:p>
    <w:p>
      <w:pPr>
        <w:pStyle w:val="SlideHeading"/>
      </w:pPr>
      <w:r>
        <w:rPr>
          <w:b/>
        </w:rPr>
        <w:t>Slide 31 — Model Implementation</w:t>
      </w:r>
    </w:p>
    <w:p>
      <w:pPr>
        <w:pStyle w:val="TalkTrack"/>
      </w:pPr>
      <w:r>
        <w:t>Implementation is straightforward. Map each position to the country-industry stress vector, use a ticker override for the named AI epicenter stocks, look up the market-cap overlay, and add the components in log-return space. Convert back to a simple return, then multiply by signed market value to obtain stress P&amp;L.</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model is operationally simple: map, override, add the size overlay, and calculate P&amp;L.</w:t>
            </w:r>
          </w:p>
        </w:tc>
      </w:tr>
    </w:tbl>
    <w:p>
      <w:pPr>
        <w:pStyle w:val="TightSpacer"/>
      </w:pPr>
    </w:p>
    <w:p>
      <w:pPr>
        <w:pStyle w:val="SlideHeading"/>
      </w:pPr>
      <w:r>
        <w:rPr>
          <w:b/>
        </w:rPr>
        <w:t>Slide 32 — Impact Distribution</w:t>
      </w:r>
    </w:p>
    <w:p>
      <w:pPr>
        <w:pStyle w:val="TalkTrack"/>
      </w:pPr>
      <w:r>
        <w:t>The average final stress becomes progressively worse as market cap declines. The slope is modest in mild and base cases, but very steep in the worst scenario. This is the intended behavior: ordinary factor risk dominates normal stresses, while liquidity and gap risk amplify the tail.</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overlay mainly matters where management should care most: concentrated, small-cap tail exposures.</w:t>
            </w:r>
          </w:p>
        </w:tc>
      </w:tr>
    </w:tbl>
    <w:p>
      <w:pPr>
        <w:pStyle w:val="TightSpacer"/>
      </w:pPr>
    </w:p>
    <w:p>
      <w:pPr>
        <w:pStyle w:val="SectionHeading"/>
      </w:pPr>
      <w:r>
        <w:t>Section IV — Sanity-Check the Output Vector</w:t>
      </w:r>
    </w:p>
    <w:p>
      <w:pPr>
        <w:pStyle w:val="SlideHeading"/>
      </w:pPr>
      <w:r>
        <w:rPr>
          <w:b/>
        </w:rPr>
        <w:t>Slide 33 — Industry-Country-Market-Cap Stress Factor</w:t>
      </w:r>
    </w:p>
    <w:p>
      <w:pPr>
        <w:pStyle w:val="TalkTrack"/>
      </w:pPr>
      <w:r>
        <w:t>At this point, we have a single stressed return for each country, industry, market-cap bucket, horizon, and scenario, with explicit ticker overrides where needed. The next slides test whether the outputs rank familiar markets and names in an economically sensible way.</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framework is now ready for sanity checks and client application.</w:t>
            </w:r>
          </w:p>
        </w:tc>
      </w:tr>
    </w:tbl>
    <w:p>
      <w:pPr>
        <w:pStyle w:val="TightSpacer"/>
      </w:pPr>
    </w:p>
    <w:p>
      <w:pPr>
        <w:pStyle w:val="SlideHeading"/>
      </w:pPr>
      <w:r>
        <w:rPr>
          <w:b/>
        </w:rPr>
        <w:t>Slide 34 — Shock on Major ETFs</w:t>
      </w:r>
    </w:p>
    <w:p>
      <w:pPr>
        <w:pStyle w:val="TalkTrack"/>
      </w:pPr>
      <w:r>
        <w:t>The two-month base shocks are directionally intuitive. Semiconductors are the most stressed at roughly 26%, AI and cloud baskets are around 20%, and the broad S&amp;P 500 proxy is closer to 14%. The decomposition shows how much comes from the market leg versus AI excess; the worst case is dominated by the AI component.</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model produces sensible cross-sectional differentiation instead of applying one uniform technology shock.</w:t>
            </w:r>
          </w:p>
        </w:tc>
      </w:tr>
    </w:tbl>
    <w:p>
      <w:pPr>
        <w:pStyle w:val="TightSpacer"/>
      </w:pPr>
    </w:p>
    <w:p>
      <w:pPr>
        <w:pStyle w:val="SlideHeading"/>
      </w:pPr>
      <w:r>
        <w:rPr>
          <w:b/>
        </w:rPr>
        <w:t>Slide 35 — Scenario Ladder for Selected ETFs</w:t>
      </w:r>
    </w:p>
    <w:p>
      <w:pPr>
        <w:pStyle w:val="TalkTrack"/>
      </w:pPr>
      <w:r>
        <w:t>Every selected ETF becomes more adverse as the scenario escalates, and the relative ranking remains stable. Semiconductors remain the most exposed, Japan the least, with Korea, Taiwan, cloud, AI, and global technology between them. Stability of ranking is an important model sanity check.</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Severity changes without destroying the economic ordering of exposures.</w:t>
            </w:r>
          </w:p>
        </w:tc>
      </w:tr>
    </w:tbl>
    <w:p>
      <w:pPr>
        <w:pStyle w:val="TightSpacer"/>
      </w:pPr>
    </w:p>
    <w:p>
      <w:pPr>
        <w:pStyle w:val="SlideHeading"/>
      </w:pPr>
      <w:r>
        <w:rPr>
          <w:b/>
        </w:rPr>
        <w:t>Slide 36 — Most Severe Country-Industry Shock Samples</w:t>
      </w:r>
    </w:p>
    <w:p>
      <w:pPr>
        <w:pStyle w:val="TalkTrack"/>
      </w:pPr>
      <w:r>
        <w:t>The most severe rows are concentrated where we would expect them: Korea and Taiwan technology hardware, communications equipment, and related supply-chain industries. These are not simply the highest-beta markets; they also carry high AI-excess intensity.</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tail of the country-industry vector is concentrated in the Asian semiconductor and hardware ecosystem.</w:t>
            </w:r>
          </w:p>
        </w:tc>
      </w:tr>
    </w:tbl>
    <w:p>
      <w:pPr>
        <w:pStyle w:val="TightSpacer"/>
      </w:pPr>
    </w:p>
    <w:p>
      <w:pPr>
        <w:pStyle w:val="SlideHeading"/>
      </w:pPr>
      <w:r>
        <w:rPr>
          <w:b/>
        </w:rPr>
        <w:t>Slide 37 — Single-Stock Override — One Week and Two Weeks</w:t>
      </w:r>
    </w:p>
    <w:p>
      <w:pPr>
        <w:pStyle w:val="TalkTrack"/>
      </w:pPr>
      <w:r>
        <w:t>For the major AI names, ticker-level overrides replace the broader country-industry row. Even within one or two weeks, the downside becomes meaningful, and the ranking differentiates the most concentrated chip and infrastructure names from diversified platforms. This is important because bucket averages would understate epicenter risk.</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Named AI epicenter stocks require more severe, ticker-specific shocks than diversified industry rows.</w:t>
            </w:r>
          </w:p>
        </w:tc>
      </w:tr>
    </w:tbl>
    <w:p>
      <w:pPr>
        <w:pStyle w:val="TightSpacer"/>
      </w:pPr>
    </w:p>
    <w:p>
      <w:pPr>
        <w:pStyle w:val="SlideHeading"/>
      </w:pPr>
      <w:r>
        <w:rPr>
          <w:b/>
        </w:rPr>
        <w:t>Slide 38 — Single-Stock Override — One Month and Two Months</w:t>
      </w:r>
      <w:r>
        <w:rPr>
          <w:i/>
          <w:color w:val="787878"/>
        </w:rPr>
        <w:t xml:space="preserve">  [Inferred from the deck sequence; this slide image was not fully uploaded]</w:t>
      </w:r>
    </w:p>
    <w:p>
      <w:pPr>
        <w:pStyle w:val="TalkTrack"/>
      </w:pPr>
      <w:r>
        <w:t>At longer horizons, the separation between diversified platforms and high-beta AI epicenter names becomes much larger. I would emphasize the ranking and concentration rather than reading every bar: the model intentionally reserves the strongest losses for the names whose returns and economics are most directly tied to the AI premium.</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Longer-horizon losses are dominated by concentrated AI names, making overrides a major driver of client tail risk.</w:t>
            </w:r>
          </w:p>
        </w:tc>
      </w:tr>
    </w:tbl>
    <w:p>
      <w:pPr>
        <w:pStyle w:val="TightSpacer"/>
      </w:pPr>
    </w:p>
    <w:p>
      <w:pPr>
        <w:pStyle w:val="SlideHeading"/>
      </w:pPr>
      <w:r>
        <w:rPr>
          <w:b/>
        </w:rPr>
        <w:t>Slide 39 — Single-Stock Override — Longer-Horizon Summary</w:t>
      </w:r>
      <w:r>
        <w:rPr>
          <w:i/>
          <w:color w:val="787878"/>
        </w:rPr>
        <w:t xml:space="preserve">  [Inferred from the deck sequence; this slide image was not fully uploaded]</w:t>
      </w:r>
    </w:p>
    <w:p>
      <w:pPr>
        <w:pStyle w:val="TalkTrack"/>
      </w:pPr>
      <w:r>
        <w:t>This final override view completes the model-output section. The point is not that any one stock must lose the displayed amount; it is that a broad bucket shock is insufficient for the small set of securities that define the AI epicenter. These overrides make the client stress more conservative and more realistic.</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override layer prevents concentrated single-name risk from being diluted by country-industry averages.</w:t>
            </w:r>
          </w:p>
        </w:tc>
      </w:tr>
    </w:tbl>
    <w:p>
      <w:pPr>
        <w:pStyle w:val="TightSpacer"/>
      </w:pPr>
    </w:p>
    <w:p>
      <w:pPr>
        <w:pStyle w:val="SectionHeading"/>
      </w:pPr>
      <w:r>
        <w:t>Section V — Apply the Stress to Client Portfolios and Margin</w:t>
      </w:r>
    </w:p>
    <w:p>
      <w:pPr>
        <w:pStyle w:val="SlideHeading"/>
      </w:pPr>
      <w:r>
        <w:rPr>
          <w:b/>
        </w:rPr>
        <w:t>Slide 40 — Impact on Client Portfolio &amp; Citi</w:t>
      </w:r>
    </w:p>
    <w:p>
      <w:pPr>
        <w:pStyle w:val="TalkTrack"/>
      </w:pPr>
      <w:r>
        <w:t>The stress vector by itself is not the end product. The final question is whether the mapped portfolio loss is covered by client margin and where any residual Citi exposure is concentrated.</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presentation now shifts from market modelling to balance-sheet relevance.</w:t>
            </w:r>
          </w:p>
        </w:tc>
      </w:tr>
    </w:tbl>
    <w:p>
      <w:pPr>
        <w:pStyle w:val="TightSpacer"/>
      </w:pPr>
    </w:p>
    <w:p>
      <w:pPr>
        <w:pStyle w:val="SlideHeading"/>
      </w:pPr>
      <w:r>
        <w:rPr>
          <w:b/>
        </w:rPr>
        <w:t>Slide 41 — Some Ground Rules</w:t>
      </w:r>
    </w:p>
    <w:p>
      <w:pPr>
        <w:pStyle w:val="TalkTrack"/>
      </w:pPr>
      <w:r>
        <w:t>I apply the country-industry-market-cap vector to every position and use the named-stock override where available. Because each fund is a separate legal entity, losses and margin are first assessed at fund level and then aggregated to the client. I show one-week, two-week, one-month, and two-month horizons, with two weeks as the key actionable margin-risk window.</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client analysis matches legal entities, margin mechanics, and realistic risk-action horizons.</w:t>
            </w:r>
          </w:p>
        </w:tc>
      </w:tr>
    </w:tbl>
    <w:p>
      <w:pPr>
        <w:pStyle w:val="TightSpacer"/>
      </w:pPr>
    </w:p>
    <w:p>
      <w:pPr>
        <w:pStyle w:val="SlideHeading"/>
      </w:pPr>
      <w:r>
        <w:rPr>
          <w:b/>
        </w:rPr>
        <w:t>Slide 42 — Overall Picture — How Good Is Our Margin Model?</w:t>
      </w:r>
    </w:p>
    <w:p>
      <w:pPr>
        <w:pStyle w:val="TalkTrack"/>
      </w:pPr>
      <w:r>
        <w:t>This chart shows the share of clients with losses remaining after margin. At the two-week margin horizon, the percentage is low in mild and base cases and remains contained in severe, but rises materially in the extreme and worst cases. Longer horizons are much more challenging because the unwind has more time to develop before positions are fully reduced.</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Current margin protects most clients at the actionable horizon, but a concentrated tail remains and grows quickly with severity.</w:t>
            </w:r>
          </w:p>
        </w:tc>
      </w:tr>
    </w:tbl>
    <w:p>
      <w:pPr>
        <w:pStyle w:val="TightSpacer"/>
      </w:pPr>
    </w:p>
    <w:p>
      <w:pPr>
        <w:pStyle w:val="SlideHeading"/>
      </w:pPr>
      <w:r>
        <w:rPr>
          <w:b/>
        </w:rPr>
        <w:t>Slide 43 — Overall Picture — Total Loss</w:t>
      </w:r>
    </w:p>
    <w:p>
      <w:pPr>
        <w:pStyle w:val="TalkTrack"/>
      </w:pPr>
      <w:r>
        <w:t>Aggregate loss is highly nonlinear across both horizon and severity. The one- and two-week base outcomes are comparatively contained, while one- and two-month extreme or worst outcomes increase by several multiples. This reinforces why timely margin calls and asset liquidation are central to limiting the tail.</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Time to action matters almost as much as scenario severity.</w:t>
            </w:r>
          </w:p>
        </w:tc>
      </w:tr>
    </w:tbl>
    <w:p>
      <w:pPr>
        <w:pStyle w:val="TightSpacer"/>
      </w:pPr>
    </w:p>
    <w:p>
      <w:pPr>
        <w:pStyle w:val="SlideHeading"/>
      </w:pPr>
      <w:r>
        <w:rPr>
          <w:b/>
        </w:rPr>
        <w:t>Slide 44 — Overall Picture — Total Loss by Client Type</w:t>
      </w:r>
    </w:p>
    <w:p>
      <w:pPr>
        <w:pStyle w:val="TalkTrack"/>
      </w:pPr>
      <w:r>
        <w:t>In the severe case, total residual loss is about 469 million dollars at two weeks, rising to roughly 2.0 billion at one month and 5.9 billion at two months. At two weeks, ETF providers contribute about 260 million, zero-MV or real-money-style clients about 191 million, and hedge funds about 18 million. The portfolio-level tail is therefore not primarily a generic hedge-fund problem.</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ETF-provider and low-margin client structures drive more aggregate residual exposure than hedge funds at the key two-week horizon.</w:t>
            </w:r>
          </w:p>
        </w:tc>
      </w:tr>
    </w:tbl>
    <w:p>
      <w:pPr>
        <w:pStyle w:val="TightSpacer"/>
      </w:pPr>
    </w:p>
    <w:p>
      <w:pPr>
        <w:pStyle w:val="SlideHeading"/>
      </w:pPr>
      <w:r>
        <w:rPr>
          <w:b/>
        </w:rPr>
        <w:t>Slide 45 — HF Overview — Top Losses by Fund</w:t>
      </w:r>
    </w:p>
    <w:p>
      <w:pPr>
        <w:pStyle w:val="TalkTrack"/>
      </w:pPr>
      <w:r>
        <w:t>Within the hedge-fund population, losses are very concentrated. One fund accounts for a disproportionate share of the top-20 after-margin loss, while most others are much smaller. This means aggregate hedge-fund numbers can look manageable while still hiding a small number of names that require direct attention.</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Hedge-fund tail risk is concentrated in a few funds, so name-level monitoring matters more than the average.</w:t>
            </w:r>
          </w:p>
        </w:tc>
      </w:tr>
    </w:tbl>
    <w:p>
      <w:pPr>
        <w:pStyle w:val="TightSpacer"/>
      </w:pPr>
    </w:p>
    <w:p>
      <w:pPr>
        <w:pStyle w:val="SlideHeading"/>
      </w:pPr>
      <w:r>
        <w:rPr>
          <w:b/>
        </w:rPr>
        <w:t>Slide 46 — HF Overview — Top Losses by Equity</w:t>
      </w:r>
    </w:p>
    <w:p>
      <w:pPr>
        <w:pStyle w:val="TalkTrack"/>
      </w:pPr>
      <w:r>
        <w:t>The largest equity loss contributors are concentrated in semiconductors, memory, storage, and data-center hardware. This aligns with the model’s economic logic and confirms that the client result is being driven by identifiable AI-supply-chain exposures rather than arbitrary beta.</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position-level loss concentration is economically intuitive and centered on the AI hardware complex.</w:t>
            </w:r>
          </w:p>
        </w:tc>
      </w:tr>
    </w:tbl>
    <w:p>
      <w:pPr>
        <w:pStyle w:val="TightSpacer"/>
      </w:pPr>
    </w:p>
    <w:p>
      <w:pPr>
        <w:pStyle w:val="SlideHeading"/>
      </w:pPr>
      <w:r>
        <w:rPr>
          <w:b/>
        </w:rPr>
        <w:t>Slide 47 — Deep Dive — Schonfeld Group Holdings</w:t>
      </w:r>
    </w:p>
    <w:p>
      <w:pPr>
        <w:pStyle w:val="TalkTrack"/>
      </w:pPr>
      <w:r>
        <w:t>Schonfeld is the clearest example of concentrated residual risk. The severe one-month loss is roughly 95.7 million dollars against about 80.7 million of margin, leaving an uncovered amount of roughly 15 million. One very large long position drives most of the loss, while the short book provides limited offset.</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A single concentrated long can overwhelm otherwise substantial margin; this client warrants targeted position-level review.</w:t>
            </w:r>
          </w:p>
        </w:tc>
      </w:tr>
    </w:tbl>
    <w:p>
      <w:pPr>
        <w:pStyle w:val="TightSpacer"/>
      </w:pPr>
    </w:p>
    <w:p>
      <w:pPr>
        <w:pStyle w:val="SlideHeading"/>
      </w:pPr>
      <w:r>
        <w:rPr>
          <w:b/>
        </w:rPr>
        <w:t>Slide 48 — Deep Dive — Citadel Securities LLC</w:t>
      </w:r>
    </w:p>
    <w:p>
      <w:pPr>
        <w:pStyle w:val="TalkTrack"/>
      </w:pPr>
      <w:r>
        <w:t>This portfolio is heavily concentrated on the long side with little or no short offset. The absolute loss is smaller than the largest fund cases, but the structure is fragile because diversification and hedge benefits are limited. The relevant risk action is to focus on concentration rather than only gross portfolio size.</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Long-only concentration can create disproportionate stress even when total client loss is not the largest in the book.</w:t>
            </w:r>
          </w:p>
        </w:tc>
      </w:tr>
    </w:tbl>
    <w:p>
      <w:pPr>
        <w:pStyle w:val="TightSpacer"/>
      </w:pPr>
    </w:p>
    <w:p>
      <w:pPr>
        <w:pStyle w:val="SlideHeading"/>
      </w:pPr>
      <w:r>
        <w:rPr>
          <w:b/>
        </w:rPr>
        <w:t>Slide 49 — Deep Dive — JPUBS7</w:t>
      </w:r>
    </w:p>
    <w:p>
      <w:pPr>
        <w:pStyle w:val="TalkTrack"/>
      </w:pPr>
      <w:r>
        <w:t>JPUBS7 shows the opposite structure. Several large longs generate material losses, but the short positions produce meaningful gains and reduce net exposure. The slide illustrates why the model must be applied to signed positions rather than gross long exposure alone.</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A diversified long-short structure can materially reduce net stress, even when gross losses are large.</w:t>
            </w:r>
          </w:p>
        </w:tc>
      </w:tr>
    </w:tbl>
    <w:p>
      <w:pPr>
        <w:pStyle w:val="TightSpacer"/>
      </w:pPr>
    </w:p>
    <w:p>
      <w:pPr>
        <w:pStyle w:val="SlideHeading"/>
      </w:pPr>
      <w:r>
        <w:rPr>
          <w:b/>
        </w:rPr>
        <w:t>Slide 50 — Deep Dive — Situational Awareness Partners</w:t>
      </w:r>
    </w:p>
    <w:p>
      <w:pPr>
        <w:pStyle w:val="TalkTrack"/>
      </w:pPr>
      <w:r>
        <w:t>This fund experiences heavy gross position losses under the severe case, but the margin held is sufficient to absorb them. It is a useful reminder that a large market loss does not automatically translate into a Citi loss; the relevant measure is stress loss after margin.</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The margin framework works as intended for this client despite significant underlying market stress.</w:t>
            </w:r>
          </w:p>
        </w:tc>
      </w:tr>
    </w:tbl>
    <w:p>
      <w:pPr>
        <w:pStyle w:val="TightSpacer"/>
      </w:pPr>
    </w:p>
    <w:p>
      <w:pPr>
        <w:pStyle w:val="SlideHeading"/>
      </w:pPr>
      <w:r>
        <w:rPr>
          <w:b/>
        </w:rPr>
        <w:t>Slide 51 — Deep Dive — HAO Great China Focus Fund</w:t>
      </w:r>
    </w:p>
    <w:p>
      <w:pPr>
        <w:pStyle w:val="TalkTrack"/>
      </w:pPr>
      <w:r>
        <w:t>HAO Great China Focus Fund also has substantial exposure to the stressed theme, but the margin buffer remains sufficient in the scenario shown. This contrasts with the concentrated uncovered cases and helps distinguish market vulnerability from counterparty exposure.</w:t>
      </w:r>
    </w:p>
    <w:tbl>
      <w:tblPr>
        <w:tblW w:type="auto" w:w="0"/>
        <w:jc w:val="center"/>
        <w:tblLayout w:type="autofit"/>
        <w:tblLook w:firstColumn="1" w:firstRow="1" w:lastColumn="0" w:lastRow="0" w:noHBand="0" w:noVBand="1" w:val="04A0"/>
      </w:tblPr>
      <w:tblGrid>
        <w:gridCol w:w="10368"/>
      </w:tblGrid>
      <w:tr>
        <w:tc>
          <w:tcPr>
            <w:tcW w:type="dxa" w:w="10368"/>
            <w:shd w:fill="EAF2F8"/>
            <w:tcMar>
              <w:top w:w="80" w:type="dxa"/>
              <w:start w:w="120" w:type="dxa"/>
              <w:bottom w:w="80" w:type="dxa"/>
              <w:end w:w="120" w:type="dxa"/>
            </w:tcMar>
            <w:vAlign w:val="center"/>
          </w:tcPr>
          <w:p>
            <w:pPr>
              <w:spacing w:after="0"/>
            </w:pPr>
            <w:r>
              <w:rPr>
                <w:b/>
              </w:rPr>
              <w:t xml:space="preserve">Management takeaway: </w:t>
            </w:r>
            <w:r>
              <w:t>Client market losses are not the same as Citi losses; adequate margin is the key separator.</w:t>
            </w:r>
          </w:p>
        </w:tc>
      </w:tr>
    </w:tbl>
    <w:p>
      <w:pPr>
        <w:pStyle w:val="TightSpacer"/>
      </w:pPr>
    </w:p>
    <w:p>
      <w:pPr>
        <w:pStyle w:val="SectionHeading"/>
      </w:pPr>
      <w:r>
        <w:t>Suggested closing</w:t>
      </w:r>
    </w:p>
    <w:p>
      <w:pPr>
        <w:pStyle w:val="TalkTrack"/>
      </w:pPr>
      <w:r>
        <w:t>“The central conclusion is not that an AI crash is imminent. It is that we now have an interpretable way to measure the exposure if one occurs. The model separates broad market risk from AI-specific repricing, preserves the dot-com analogue without forcing a full repeat, and translates the result into client loss and margin. At the two-week risk horizon, margin protects most clients, but the residual tail is concentrated in ETF providers, a small number of funds, and specific AI hardware positions. Those are the exposures I would prioritize for monitoring and targeted review.”</w:t>
      </w:r>
    </w:p>
    <w:p>
      <w:pPr>
        <w:pStyle w:val="SectionHeading"/>
      </w:pPr>
      <w:r>
        <w:t>Likely senior-management questions — one-line answers</w:t>
      </w:r>
    </w:p>
    <w:tbl>
      <w:tblPr>
        <w:tblW w:type="auto" w:w="0"/>
        <w:jc w:val="center"/>
        <w:tblLayout w:type="autofit"/>
        <w:tblLook w:firstColumn="1" w:firstRow="1" w:lastColumn="0" w:lastRow="0" w:noHBand="0" w:noVBand="1" w:val="04A0"/>
      </w:tblPr>
      <w:tblGrid>
        <w:gridCol w:w="5184"/>
        <w:gridCol w:w="5184"/>
      </w:tblGrid>
      <w:tr>
        <w:tc>
          <w:tcPr>
            <w:tcW w:type="dxa" w:w="5184"/>
            <w:shd w:fill="D9E8F5"/>
            <w:tcMar>
              <w:top w:w="80" w:type="dxa"/>
              <w:start w:w="120" w:type="dxa"/>
              <w:bottom w:w="80" w:type="dxa"/>
              <w:end w:w="120" w:type="dxa"/>
            </w:tcMar>
          </w:tcPr>
          <w:p>
            <w:r>
              <w:rPr>
                <w:b/>
              </w:rPr>
              <w:t>Is this a forecast?</w:t>
            </w:r>
          </w:p>
        </w:tc>
        <w:tc>
          <w:tcPr>
            <w:tcW w:type="dxa" w:w="5184"/>
            <w:shd w:fill="F7F9FB"/>
            <w:tcMar>
              <w:top w:w="80" w:type="dxa"/>
              <w:start w:w="120" w:type="dxa"/>
              <w:bottom w:w="80" w:type="dxa"/>
              <w:end w:w="120" w:type="dxa"/>
            </w:tcMar>
          </w:tcPr>
          <w:p>
            <w:r>
              <w:t>No. It is a conditional stress vector: what losses look like if an AI-led unwind occurs.</w:t>
            </w:r>
          </w:p>
        </w:tc>
      </w:tr>
    </w:tbl>
    <w:p>
      <w:pPr>
        <w:pStyle w:val="TightSpacer"/>
      </w:pPr>
    </w:p>
    <w:tbl>
      <w:tblPr>
        <w:tblW w:type="auto" w:w="0"/>
        <w:jc w:val="center"/>
        <w:tblLayout w:type="autofit"/>
        <w:tblLook w:firstColumn="1" w:firstRow="1" w:lastColumn="0" w:lastRow="0" w:noHBand="0" w:noVBand="1" w:val="04A0"/>
      </w:tblPr>
      <w:tblGrid>
        <w:gridCol w:w="5184"/>
        <w:gridCol w:w="5184"/>
      </w:tblGrid>
      <w:tr>
        <w:tc>
          <w:tcPr>
            <w:tcW w:type="dxa" w:w="5184"/>
            <w:shd w:fill="D9E8F5"/>
            <w:tcMar>
              <w:top w:w="80" w:type="dxa"/>
              <w:start w:w="120" w:type="dxa"/>
              <w:bottom w:w="80" w:type="dxa"/>
              <w:end w:w="120" w:type="dxa"/>
            </w:tcMar>
          </w:tcPr>
          <w:p>
            <w:r>
              <w:rPr>
                <w:b/>
              </w:rPr>
              <w:t>Why dot-com?</w:t>
            </w:r>
          </w:p>
        </w:tc>
        <w:tc>
          <w:tcPr>
            <w:tcW w:type="dxa" w:w="5184"/>
            <w:shd w:fill="F7F9FB"/>
            <w:tcMar>
              <w:top w:w="80" w:type="dxa"/>
              <w:start w:w="120" w:type="dxa"/>
              <w:bottom w:w="80" w:type="dxa"/>
              <w:end w:w="120" w:type="dxa"/>
            </w:tcMar>
          </w:tcPr>
          <w:p>
            <w:r>
              <w:t>It is the closest observed large-scale technology valuation unwind, and the pre-peak path is statistically similar to today’s AI run-up.</w:t>
            </w:r>
          </w:p>
        </w:tc>
      </w:tr>
    </w:tbl>
    <w:p>
      <w:pPr>
        <w:pStyle w:val="TightSpacer"/>
      </w:pPr>
    </w:p>
    <w:tbl>
      <w:tblPr>
        <w:tblW w:type="auto" w:w="0"/>
        <w:jc w:val="center"/>
        <w:tblLayout w:type="autofit"/>
        <w:tblLook w:firstColumn="1" w:firstRow="1" w:lastColumn="0" w:lastRow="0" w:noHBand="0" w:noVBand="1" w:val="04A0"/>
      </w:tblPr>
      <w:tblGrid>
        <w:gridCol w:w="5184"/>
        <w:gridCol w:w="5184"/>
      </w:tblGrid>
      <w:tr>
        <w:tc>
          <w:tcPr>
            <w:tcW w:type="dxa" w:w="5184"/>
            <w:shd w:fill="D9E8F5"/>
            <w:tcMar>
              <w:top w:w="80" w:type="dxa"/>
              <w:start w:w="120" w:type="dxa"/>
              <w:bottom w:w="80" w:type="dxa"/>
              <w:end w:w="120" w:type="dxa"/>
            </w:tcMar>
          </w:tcPr>
          <w:p>
            <w:r>
              <w:rPr>
                <w:b/>
              </w:rPr>
              <w:t>Why not use one technology shock?</w:t>
            </w:r>
          </w:p>
        </w:tc>
        <w:tc>
          <w:tcPr>
            <w:tcW w:type="dxa" w:w="5184"/>
            <w:shd w:fill="F7F9FB"/>
            <w:tcMar>
              <w:top w:w="80" w:type="dxa"/>
              <w:start w:w="120" w:type="dxa"/>
              <w:bottom w:w="80" w:type="dxa"/>
              <w:end w:w="120" w:type="dxa"/>
            </w:tcMar>
          </w:tcPr>
          <w:p>
            <w:r>
              <w:t>Because a crash contains both broad market de-risking and additional AI-specific repricing, which affect assets differently.</w:t>
            </w:r>
          </w:p>
        </w:tc>
      </w:tr>
    </w:tbl>
    <w:p>
      <w:pPr>
        <w:pStyle w:val="TightSpacer"/>
      </w:pPr>
    </w:p>
    <w:tbl>
      <w:tblPr>
        <w:tblW w:type="auto" w:w="0"/>
        <w:jc w:val="center"/>
        <w:tblLayout w:type="autofit"/>
        <w:tblLook w:firstColumn="1" w:firstRow="1" w:lastColumn="0" w:lastRow="0" w:noHBand="0" w:noVBand="1" w:val="04A0"/>
      </w:tblPr>
      <w:tblGrid>
        <w:gridCol w:w="5184"/>
        <w:gridCol w:w="5184"/>
      </w:tblGrid>
      <w:tr>
        <w:tc>
          <w:tcPr>
            <w:tcW w:type="dxa" w:w="5184"/>
            <w:shd w:fill="D9E8F5"/>
            <w:tcMar>
              <w:top w:w="80" w:type="dxa"/>
              <w:start w:w="120" w:type="dxa"/>
              <w:bottom w:w="80" w:type="dxa"/>
              <w:end w:w="120" w:type="dxa"/>
            </w:tcMar>
          </w:tcPr>
          <w:p>
            <w:r>
              <w:rPr>
                <w:b/>
              </w:rPr>
              <w:t>Why is base less severe than dot-com?</w:t>
            </w:r>
          </w:p>
        </w:tc>
        <w:tc>
          <w:tcPr>
            <w:tcW w:type="dxa" w:w="5184"/>
            <w:shd w:fill="F7F9FB"/>
            <w:tcMar>
              <w:top w:w="80" w:type="dxa"/>
              <w:start w:w="120" w:type="dxa"/>
              <w:bottom w:w="80" w:type="dxa"/>
              <w:end w:w="120" w:type="dxa"/>
            </w:tcMar>
          </w:tcPr>
          <w:p>
            <w:r>
              <w:t>The current valuation premium is lower, so the base case imports about 67% of the dot-com AI-excess shock.</w:t>
            </w:r>
          </w:p>
        </w:tc>
      </w:tr>
    </w:tbl>
    <w:p>
      <w:pPr>
        <w:pStyle w:val="TightSpacer"/>
      </w:pPr>
    </w:p>
    <w:tbl>
      <w:tblPr>
        <w:tblW w:type="auto" w:w="0"/>
        <w:jc w:val="center"/>
        <w:tblLayout w:type="autofit"/>
        <w:tblLook w:firstColumn="1" w:firstRow="1" w:lastColumn="0" w:lastRow="0" w:noHBand="0" w:noVBand="1" w:val="04A0"/>
      </w:tblPr>
      <w:tblGrid>
        <w:gridCol w:w="5184"/>
        <w:gridCol w:w="5184"/>
      </w:tblGrid>
      <w:tr>
        <w:tc>
          <w:tcPr>
            <w:tcW w:type="dxa" w:w="5184"/>
            <w:shd w:fill="D9E8F5"/>
            <w:tcMar>
              <w:top w:w="80" w:type="dxa"/>
              <w:start w:w="120" w:type="dxa"/>
              <w:bottom w:w="80" w:type="dxa"/>
              <w:end w:w="120" w:type="dxa"/>
            </w:tcMar>
          </w:tcPr>
          <w:p>
            <w:r>
              <w:rPr>
                <w:b/>
              </w:rPr>
              <w:t>What is the main portfolio conclusion?</w:t>
            </w:r>
          </w:p>
        </w:tc>
        <w:tc>
          <w:tcPr>
            <w:tcW w:type="dxa" w:w="5184"/>
            <w:shd w:fill="F7F9FB"/>
            <w:tcMar>
              <w:top w:w="80" w:type="dxa"/>
              <w:start w:w="120" w:type="dxa"/>
              <w:bottom w:w="80" w:type="dxa"/>
              <w:end w:w="120" w:type="dxa"/>
            </w:tcMar>
          </w:tcPr>
          <w:p>
            <w:r>
              <w:t>Most clients remain covered at the two-week horizon, but residual exposure is concentrated in a small set of clients and AI-hardware positions.</w:t>
            </w:r>
          </w:p>
        </w:tc>
      </w:tr>
    </w:tbl>
    <w:p>
      <w:pPr>
        <w:pStyle w:val="TightSpacer"/>
      </w:pPr>
    </w:p>
    <w:tbl>
      <w:tblPr>
        <w:tblW w:type="auto" w:w="0"/>
        <w:jc w:val="center"/>
        <w:tblLayout w:type="autofit"/>
        <w:tblLook w:firstColumn="1" w:firstRow="1" w:lastColumn="0" w:lastRow="0" w:noHBand="0" w:noVBand="1" w:val="04A0"/>
      </w:tblPr>
      <w:tblGrid>
        <w:gridCol w:w="5184"/>
        <w:gridCol w:w="5184"/>
      </w:tblGrid>
      <w:tr>
        <w:tc>
          <w:tcPr>
            <w:tcW w:type="dxa" w:w="5184"/>
            <w:shd w:fill="D9E8F5"/>
            <w:tcMar>
              <w:top w:w="80" w:type="dxa"/>
              <w:start w:w="120" w:type="dxa"/>
              <w:bottom w:w="80" w:type="dxa"/>
              <w:end w:w="120" w:type="dxa"/>
            </w:tcMar>
          </w:tcPr>
          <w:p>
            <w:r>
              <w:rPr>
                <w:b/>
              </w:rPr>
              <w:t>What should management do with this?</w:t>
            </w:r>
          </w:p>
        </w:tc>
        <w:tc>
          <w:tcPr>
            <w:tcW w:type="dxa" w:w="5184"/>
            <w:shd w:fill="F7F9FB"/>
            <w:tcMar>
              <w:top w:w="80" w:type="dxa"/>
              <w:start w:w="120" w:type="dxa"/>
              <w:bottom w:w="80" w:type="dxa"/>
              <w:end w:w="120" w:type="dxa"/>
            </w:tcMar>
          </w:tcPr>
          <w:p>
            <w:r>
              <w:t>Prioritize the concentrated uncovered clients, ETF-provider structures, single-stock AI exposure, and smaller-cap liquidity risk.</w:t>
            </w:r>
          </w:p>
        </w:tc>
      </w:tr>
    </w:tbl>
    <w:p>
      <w:pPr>
        <w:pStyle w:val="TightSpacer"/>
      </w:pP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5"/>
      </w:rPr>
      <w:t xml:space="preserve">Internal working draft — contains client-specific stress results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6464"/>
        <w:sz w:val="15"/>
      </w:rPr>
      <w:t>AI UNWIND STRESS FRAMEWORK — SENIOR MANAGEMENT TALK TRACK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5" w:lineRule="auto"/>
    </w:pPr>
    <w:rPr>
      <w:rFonts w:ascii="Arial" w:hAnsi="Arial" w:eastAsia="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val="0"/>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eastAsia="Arial"/>
      <w:color w:val="003B7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val="0"/>
      <w:numPr>
        <w:ilvl w:val="1"/>
      </w:numPr>
      <w:spacing w:before="0" w:after="200"/>
    </w:pPr>
    <w:rPr>
      <w:rFonts w:asciiTheme="majorHAnsi" w:eastAsiaTheme="majorEastAsia" w:hAnsiTheme="majorHAnsi" w:cstheme="majorBidi" w:ascii="Arial" w:hAnsi="Arial" w:eastAsia="Arial"/>
      <w:i/>
      <w:iCs/>
      <w:color w:val="555555"/>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ectionHeading">
    <w:name w:val="Section Heading"/>
    <w:pPr>
      <w:keepNext/>
      <w:spacing w:before="200" w:after="100"/>
    </w:pPr>
    <w:rPr>
      <w:rFonts w:ascii="Arial" w:hAnsi="Arial" w:eastAsia="Arial"/>
      <w:color w:val="003B70"/>
      <w:sz w:val="32"/>
    </w:rPr>
  </w:style>
  <w:style w:type="paragraph" w:customStyle="1" w:styleId="SlideHeading">
    <w:name w:val="Slide Heading"/>
    <w:pPr>
      <w:keepNext/>
      <w:spacing w:before="140" w:after="40"/>
    </w:pPr>
    <w:rPr>
      <w:rFonts w:ascii="Arial" w:hAnsi="Arial" w:eastAsia="Arial"/>
      <w:color w:val="003B70"/>
      <w:sz w:val="22"/>
    </w:rPr>
  </w:style>
  <w:style w:type="paragraph" w:customStyle="1" w:styleId="TalkTrack">
    <w:name w:val="Talk Track"/>
    <w:pPr>
      <w:keepNext w:val="0"/>
      <w:spacing w:before="0" w:after="60"/>
    </w:pPr>
    <w:rPr>
      <w:rFonts w:ascii="Arial" w:hAnsi="Arial" w:eastAsia="Arial"/>
      <w:color w:val="222222"/>
      <w:sz w:val="19"/>
    </w:rPr>
  </w:style>
  <w:style w:type="paragraph" w:customStyle="1" w:styleId="TightSpacer">
    <w:name w:val="Tight Spacer"/>
    <w:pPr>
      <w:keepNext w:val="0"/>
      <w:spacing w:before="0" w:after="0"/>
    </w:pPr>
    <w:rPr>
      <w:rFonts w:ascii="Arial" w:hAnsi="Arial" w:eastAsia="Arial"/>
      <w:color w:val="FFFFFF"/>
      <w:sz w:val="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Bubble Presentation Senior Management Script</dc:title>
  <dc:subject>Slide-by-slide talk track for AI unwind stress framework</dc:subject>
  <dc:creator>Alex Zhang</dc:creator>
  <cp:keywords>AI bubble, dot-com, stress testing, prime brokerage, margin, presentation script</cp:keywords>
  <dc:description>generated by python-docx</dc:description>
  <cp:lastModifiedBy/>
  <cp:revision>1</cp:revision>
  <dcterms:created xsi:type="dcterms:W3CDTF">2013-12-23T23:15:00Z</dcterms:created>
  <dcterms:modified xsi:type="dcterms:W3CDTF">2013-12-23T23:15:00Z</dcterms:modified>
  <cp:category/>
</cp:coreProperties>
</file>