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Bubble Theory V5</w:t>
        <w:br/>
        <w:t>Probability Model Speaker Script</w:t>
      </w:r>
    </w:p>
    <w:p>
      <w:pPr>
        <w:jc w:val="center"/>
      </w:pPr>
      <w:r>
        <w:rPr>
          <w:i/>
          <w:color w:val="5A5A5A"/>
          <w:sz w:val="22"/>
        </w:rPr>
        <w:t>Backup slides 11–13 | concise talk track + likely Q&amp;A</w:t>
      </w:r>
    </w:p>
    <w:tbl>
      <w:tblPr>
        <w:tblW w:type="auto" w:w="0"/>
        <w:jc w:val="center"/>
        <w:tblLayout w:type="fixed"/>
        <w:tblLook w:firstColumn="1" w:firstRow="1" w:lastColumn="0" w:lastRow="0" w:noHBand="0" w:noVBand="1" w:val="04A0"/>
      </w:tblPr>
      <w:tblGrid>
        <w:gridCol w:w="9216"/>
      </w:tblGrid>
      <w:tr>
        <w:trPr>
          <w:cantSplit/>
        </w:trPr>
        <w:tc>
          <w:tcPr>
            <w:tcW w:type="dxa" w:w="10224"/>
            <w:shd w:fill="F3F6FA"/>
            <w:tcMar>
              <w:top w:w="120" w:type="dxa"/>
              <w:start w:w="150" w:type="dxa"/>
              <w:bottom w:w="120" w:type="dxa"/>
              <w:end w:w="150" w:type="dxa"/>
            </w:tcMar>
          </w:tcPr>
          <w:p>
            <w:r>
              <w:rPr>
                <w:b/>
              </w:rPr>
              <w:t xml:space="preserve">How to use this: </w:t>
            </w:r>
            <w:r>
              <w:t>If the slide is only a backup, start with the boxed “Main script.” Stop after ~45–60 seconds unless someone asks a follow-up. The Q&amp;A below is for defending the methodology without over-explaining it.</w:t>
            </w:r>
          </w:p>
        </w:tc>
      </w:tr>
    </w:tbl>
    <w:p>
      <w:pPr>
        <w:pStyle w:val="Heading1"/>
        <w:pBdr>
          <w:bottom w:val="single" w:sz="8" w:space="4" w:color="D9E1F2"/>
        </w:pBdr>
      </w:pPr>
      <w:r>
        <w:t>Slide 11 — Probability model: what is random?</w:t>
      </w:r>
    </w:p>
    <w:p>
      <w:r>
        <w:rPr>
          <w:b/>
        </w:rPr>
        <w:t xml:space="preserve">One-line takeaway: </w:t>
      </w:r>
      <w:r>
        <w:t>This model does not predict whether the bubble bursts. It only estimates how severe the burst is, conditional on one having occurred.</w:t>
      </w:r>
    </w:p>
    <w:p>
      <w:pPr>
        <w:pStyle w:val="Heading2"/>
      </w:pPr>
      <w:r>
        <w:t>Main script</w:t>
      </w:r>
    </w:p>
    <w:p>
      <w:pPr>
        <w:pStyle w:val="TalkTrack"/>
      </w:pPr>
      <w:r>
        <w:t>“The key distinction here is that this is not a market-timing model. I define D as the realized peak-to-trough drawdown, and B = 1 simply means we have already observed a qualifying burst, defined as a drawdown of at least 40%. So the object I estimate is p_s = P(S = s | B = 1): given that a burst occurred, what share of severity belongs to each of the five stress cases?</w:t>
        <w:br/>
        <w:br/>
        <w:t>The five cases are representative points, because an actual drawdown can be any continuous value. I therefore convert drawdown into positive log loss, L = -log(1-D), which is consistent with the rest of the stress engine because the stress shocks are additive in log-return space. I then assign each realized crash to the nearest scenario in that log-loss metric. The boundaries between scenarios are just the midpoints between adjacent log-loss anchors.”</w:t>
      </w:r>
    </w:p>
    <w:p>
      <w:pPr>
        <w:spacing w:before="40" w:after="100"/>
        <w:jc w:val="center"/>
      </w:pPr>
      <w:r>
        <w:rPr>
          <w:rFonts w:ascii="Cambria Math" w:hAnsi="Cambria Math"/>
          <w:sz w:val="23"/>
        </w:rPr>
        <w:t>B = 1  ⇔  D ≥ 40%        pₛ = P(S = s | B = 1)</w:t>
      </w:r>
    </w:p>
    <w:p>
      <w:pPr>
        <w:spacing w:before="40" w:after="100"/>
        <w:jc w:val="center"/>
      </w:pPr>
      <w:r>
        <w:rPr>
          <w:rFonts w:ascii="Cambria Math" w:hAnsi="Cambria Math"/>
          <w:sz w:val="23"/>
        </w:rPr>
        <w:t>L = −log(1 − D)        boundary:  bˡₛ = (Lₛ + Lₛ₊₁) / 2</w:t>
      </w:r>
    </w:p>
    <w:p>
      <w:pPr>
        <w:pStyle w:val="Heading2"/>
      </w:pPr>
      <w:r>
        <w:t>What the equations mean in plain English</w:t>
      </w:r>
    </w:p>
    <w:p>
      <w:pPr>
        <w:pStyle w:val="ListBullet"/>
        <w:spacing w:after="40"/>
      </w:pPr>
      <w:r>
        <w:t>D is the realized crash size; B = 1 is only the conditioning event that says a ≥40% burst has happened.</w:t>
      </w:r>
    </w:p>
    <w:p>
      <w:pPr>
        <w:pStyle w:val="ListBullet"/>
        <w:spacing w:after="40"/>
      </w:pPr>
      <w:r>
        <w:t>S is not an exact drawdown. It is the representative scenario assigned to a continuous realized severity.</w:t>
      </w:r>
    </w:p>
    <w:p>
      <w:pPr>
        <w:pStyle w:val="ListBullet"/>
        <w:spacing w:after="40"/>
      </w:pPr>
      <w:r>
        <w:t>Log loss is used because a −50% simple return is not “−0.50” in log space; L = −log(1−D) puts severity in the same geometry as the stress model.</w:t>
      </w:r>
    </w:p>
    <w:p>
      <w:pPr>
        <w:pStyle w:val="ListBullet"/>
        <w:spacing w:after="40"/>
      </w:pPr>
      <w:r>
        <w:t>The five conditional regions are approximately 40–43.8%, 43.8–59.1%, 59.1–70.1%, 70.1–79.5%, and 79.5–100%.</w:t>
      </w:r>
    </w:p>
    <w:p>
      <w:pPr>
        <w:pStyle w:val="Heading2"/>
      </w:pPr>
      <w:r>
        <w:t>Likely questions</w:t>
      </w:r>
    </w:p>
    <w:tbl>
      <w:tblPr>
        <w:tblStyle w:val="TableGrid"/>
        <w:tblW w:type="auto" w:w="0"/>
        <w:jc w:val="center"/>
        <w:tblLayout w:type="fixed"/>
        <w:tblLook w:firstColumn="1" w:firstRow="1" w:lastColumn="0" w:lastRow="0" w:noHBand="0" w:noVBand="1" w:val="04A0"/>
      </w:tblPr>
      <w:tblGrid>
        <w:gridCol w:w="2952"/>
        <w:gridCol w:w="6696"/>
      </w:tblGrid>
      <w:tr>
        <w:trPr>
          <w:cantSplit/>
        </w:trPr>
        <w:tc>
          <w:tcPr>
            <w:tcW w:type="dxa" w:w="5112"/>
            <w:shd w:fill="D9E2F3"/>
          </w:tcPr>
          <w:p>
            <w:r>
              <w:rPr>
                <w:b/>
                <w:sz w:val="19"/>
              </w:rPr>
              <w:t>If asked</w:t>
            </w:r>
          </w:p>
        </w:tc>
        <w:tc>
          <w:tcPr>
            <w:tcW w:type="dxa" w:w="5112"/>
            <w:shd w:fill="D9E2F3"/>
          </w:tcPr>
          <w:p>
            <w:r>
              <w:rPr>
                <w:b/>
                <w:sz w:val="19"/>
              </w:rPr>
              <w:t>Short answer</w:t>
            </w:r>
          </w:p>
        </w:tc>
      </w:tr>
      <w:tr>
        <w:trPr>
          <w:cantSplit/>
        </w:trPr>
        <w:tc>
          <w:tcPr>
            <w:tcW w:type="dxa" w:w="2952"/>
            <w:vAlign w:val="top"/>
            <w:tcMar>
              <w:top w:w="90" w:type="dxa"/>
              <w:start w:w="110" w:type="dxa"/>
              <w:bottom w:w="90" w:type="dxa"/>
              <w:end w:w="110" w:type="dxa"/>
            </w:tcMar>
          </w:tcPr>
          <w:p>
            <w:pPr>
              <w:spacing w:after="0"/>
            </w:pPr>
            <w:r>
              <w:rPr>
                <w:sz w:val="18"/>
              </w:rPr>
              <w:t>Why condition on D ≥ 40%?</w:t>
            </w:r>
          </w:p>
        </w:tc>
        <w:tc>
          <w:tcPr>
            <w:tcW w:type="dxa" w:w="6696"/>
            <w:vAlign w:val="top"/>
            <w:tcMar>
              <w:top w:w="90" w:type="dxa"/>
              <w:start w:w="110" w:type="dxa"/>
              <w:bottom w:w="90" w:type="dxa"/>
              <w:end w:w="110" w:type="dxa"/>
            </w:tcMar>
          </w:tcPr>
          <w:p>
            <w:pPr>
              <w:spacing w:after="0"/>
            </w:pPr>
            <w:r>
              <w:rPr>
                <w:sz w:val="18"/>
              </w:rPr>
              <w:t>It follows the Greenwood–Shleifer–You qualifying crash definition and keeps the probability layer aligned with the historical event sample. A separate hazard model would be needed to estimate whether a burst occurs at all.</w:t>
            </w:r>
          </w:p>
        </w:tc>
      </w:tr>
      <w:tr>
        <w:trPr>
          <w:cantSplit/>
        </w:trPr>
        <w:tc>
          <w:tcPr>
            <w:tcW w:type="dxa" w:w="2952"/>
            <w:vAlign w:val="top"/>
            <w:tcMar>
              <w:top w:w="90" w:type="dxa"/>
              <w:start w:w="110" w:type="dxa"/>
              <w:bottom w:w="90" w:type="dxa"/>
              <w:end w:w="110" w:type="dxa"/>
            </w:tcMar>
          </w:tcPr>
          <w:p>
            <w:pPr>
              <w:spacing w:after="0"/>
            </w:pPr>
            <w:r>
              <w:rPr>
                <w:sz w:val="18"/>
              </w:rPr>
              <w:t>Why not estimate P(burst) too?</w:t>
            </w:r>
          </w:p>
        </w:tc>
        <w:tc>
          <w:tcPr>
            <w:tcW w:type="dxa" w:w="6696"/>
            <w:vAlign w:val="top"/>
            <w:tcMar>
              <w:top w:w="90" w:type="dxa"/>
              <w:start w:w="110" w:type="dxa"/>
              <w:bottom w:w="90" w:type="dxa"/>
              <w:end w:w="110" w:type="dxa"/>
            </w:tcMar>
          </w:tcPr>
          <w:p>
            <w:pPr>
              <w:spacing w:after="0"/>
            </w:pPr>
            <w:r>
              <w:rPr>
                <w:sz w:val="18"/>
              </w:rPr>
              <w:t>That is a different problem. P(B=1) is a timing/hazard question; this framework is deliberately a conditional stress-severity model. Unconditionally, P(S=s)=P(B=1)×P(S=s|B=1).</w:t>
            </w:r>
          </w:p>
        </w:tc>
      </w:tr>
      <w:tr>
        <w:trPr>
          <w:cantSplit/>
        </w:trPr>
        <w:tc>
          <w:tcPr>
            <w:tcW w:type="dxa" w:w="2952"/>
            <w:vAlign w:val="top"/>
            <w:tcMar>
              <w:top w:w="90" w:type="dxa"/>
              <w:start w:w="110" w:type="dxa"/>
              <w:bottom w:w="90" w:type="dxa"/>
              <w:end w:w="110" w:type="dxa"/>
            </w:tcMar>
          </w:tcPr>
          <w:p>
            <w:pPr>
              <w:spacing w:after="0"/>
            </w:pPr>
            <w:r>
              <w:rPr>
                <w:sz w:val="18"/>
              </w:rPr>
              <w:t>Why use log loss?</w:t>
            </w:r>
          </w:p>
        </w:tc>
        <w:tc>
          <w:tcPr>
            <w:tcW w:type="dxa" w:w="6696"/>
            <w:vAlign w:val="top"/>
            <w:tcMar>
              <w:top w:w="90" w:type="dxa"/>
              <w:start w:w="110" w:type="dxa"/>
              <w:bottom w:w="90" w:type="dxa"/>
              <w:end w:w="110" w:type="dxa"/>
            </w:tcMar>
          </w:tcPr>
          <w:p>
            <w:pPr>
              <w:spacing w:after="0"/>
            </w:pPr>
            <w:r>
              <w:rPr>
                <w:sz w:val="18"/>
              </w:rPr>
              <w:t>Because the core stress engine works in log returns. Using the same metric avoids defining scenario proximity in one space and applying shocks in another.</w:t>
            </w:r>
          </w:p>
        </w:tc>
      </w:tr>
      <w:tr>
        <w:trPr>
          <w:cantSplit/>
        </w:trPr>
        <w:tc>
          <w:tcPr>
            <w:tcW w:type="dxa" w:w="2952"/>
            <w:vAlign w:val="top"/>
            <w:tcMar>
              <w:top w:w="90" w:type="dxa"/>
              <w:start w:w="110" w:type="dxa"/>
              <w:bottom w:w="90" w:type="dxa"/>
              <w:end w:w="110" w:type="dxa"/>
            </w:tcMar>
          </w:tcPr>
          <w:p>
            <w:pPr>
              <w:spacing w:after="0"/>
            </w:pPr>
            <w:r>
              <w:rPr>
                <w:sz w:val="18"/>
              </w:rPr>
              <w:t>Why nearest-scenario / midpoint cells?</w:t>
            </w:r>
          </w:p>
        </w:tc>
        <w:tc>
          <w:tcPr>
            <w:tcW w:type="dxa" w:w="6696"/>
            <w:vAlign w:val="top"/>
            <w:tcMar>
              <w:top w:w="90" w:type="dxa"/>
              <w:start w:w="110" w:type="dxa"/>
              <w:bottom w:w="90" w:type="dxa"/>
              <w:end w:w="110" w:type="dxa"/>
            </w:tcMar>
          </w:tcPr>
          <w:p>
            <w:pPr>
              <w:spacing w:after="0"/>
            </w:pPr>
            <w:r>
              <w:rPr>
                <w:sz w:val="18"/>
              </w:rPr>
              <w:t>The scenarios already exist as fixed representative stress points. Nearest-neighbor cells give a mutually exclusive, exhaustive partition with no arbitrary overlapping bands or gaps.</w:t>
            </w:r>
          </w:p>
        </w:tc>
      </w:tr>
      <w:tr>
        <w:trPr>
          <w:cantSplit/>
        </w:trPr>
        <w:tc>
          <w:tcPr>
            <w:tcW w:type="dxa" w:w="2952"/>
            <w:vAlign w:val="top"/>
            <w:tcMar>
              <w:top w:w="90" w:type="dxa"/>
              <w:start w:w="110" w:type="dxa"/>
              <w:bottom w:w="90" w:type="dxa"/>
              <w:end w:w="110" w:type="dxa"/>
            </w:tcMar>
          </w:tcPr>
          <w:p>
            <w:pPr>
              <w:spacing w:after="0"/>
            </w:pPr>
            <w:r>
              <w:rPr>
                <w:sz w:val="18"/>
              </w:rPr>
              <w:t>Mild is 31.9%, below the 40% burst threshold. Is that inconsistent?</w:t>
            </w:r>
          </w:p>
        </w:tc>
        <w:tc>
          <w:tcPr>
            <w:tcW w:type="dxa" w:w="6696"/>
            <w:vAlign w:val="top"/>
            <w:tcMar>
              <w:top w:w="90" w:type="dxa"/>
              <w:start w:w="110" w:type="dxa"/>
              <w:bottom w:w="90" w:type="dxa"/>
              <w:end w:w="110" w:type="dxa"/>
            </w:tcMar>
          </w:tcPr>
          <w:p>
            <w:pPr>
              <w:spacing w:after="0"/>
            </w:pPr>
            <w:r>
              <w:rPr>
                <w:sz w:val="18"/>
              </w:rPr>
              <w:t>No. Conditional on a burst, Mild represents the least-severe burst region, roughly 40–43.8%. The original 31.9% anchor is the representative point inherited from the deterministic stress ladder; it is not claiming the realized crash equals 31.9%.</w:t>
            </w:r>
          </w:p>
        </w:tc>
      </w:tr>
    </w:tbl>
    <w:p>
      <w:r>
        <w:br/>
      </w:r>
    </w:p>
    <w:p>
      <w:pPr>
        <w:pStyle w:val="Heading1"/>
        <w:pBdr>
          <w:bottom w:val="single" w:sz="8" w:space="4" w:color="D9E1F2"/>
        </w:pBdr>
      </w:pPr>
      <w:r>
        <w:t>Slide 12 — Probability estimation</w:t>
      </w:r>
    </w:p>
    <w:p>
      <w:r>
        <w:rPr>
          <w:b/>
        </w:rPr>
        <w:t xml:space="preserve">One-line takeaway: </w:t>
      </w:r>
      <w:r>
        <w:t>With only 21 historical crashes, do not trust one fitted distribution or raw zero-count tails; fit several plausible families and average them using small-sample evidence weights.</w:t>
      </w:r>
    </w:p>
    <w:p>
      <w:pPr>
        <w:pStyle w:val="Heading2"/>
      </w:pPr>
      <w:r>
        <w:t>Main script</w:t>
      </w:r>
    </w:p>
    <w:p>
      <w:pPr>
        <w:pStyle w:val="TalkTrack"/>
      </w:pPr>
      <w:r>
        <w:t>“The historical input is 21 qualifying U.S. industry crash episodes. When I map those observations into the five scenario regions, the raw counts are 0, 9, 9, 3, 0. The problem is that with only 21 observations, using raw frequencies would mechanically assign zero probability to both tails.</w:t>
        <w:br/>
        <w:br/>
        <w:t>So instead I fit four simple two-parameter conditional severity distributions. Beta is used on normalized bounded drawdown, while Gamma, Weibull and Lognormal are fitted to excess positive log loss. Because these models are parameterized on different transformed variables, I include the Jacobian so that all likelihoods are evaluated on the same drawdown scale and can be compared properly.</w:t>
        <w:br/>
        <w:br/>
        <w:t>Given the small sample, I use AICc rather than ordinary AIC, and I model-average the four distributions rather than selecting a single winner. The final probability for each scenario is simply the model-averaged CDF mass inside that scenario’s severity region. I also re-fit the full ensemble across 5,000 episode-level bootstrap samples to quantify uncertainty.”</w:t>
      </w:r>
    </w:p>
    <w:p>
      <w:pPr>
        <w:spacing w:before="40" w:after="100"/>
        <w:jc w:val="center"/>
      </w:pPr>
      <w:r>
        <w:rPr>
          <w:rFonts w:ascii="Cambria Math" w:hAnsi="Cambria Math"/>
          <w:sz w:val="23"/>
        </w:rPr>
        <w:t>Y = (D − u)/(1 − u) ~ Beta(a,b),   X = −log(1−D)+log(1−u) ~ Gamma / Weibull / Lognormal</w:t>
      </w:r>
    </w:p>
    <w:p>
      <w:pPr>
        <w:spacing w:before="40" w:after="100"/>
        <w:jc w:val="center"/>
      </w:pPr>
      <w:r>
        <w:rPr>
          <w:rFonts w:ascii="Cambria Math" w:hAnsi="Cambria Math"/>
          <w:sz w:val="23"/>
        </w:rPr>
        <w:t>wₘ ∝ exp[−½(AICcₘ − AICcₘᵢₙ)]        pₛ = Σₘ wₘ [Fₘ(uₛ) − Fₘ(ℓₛ)]</w:t>
      </w:r>
    </w:p>
    <w:p>
      <w:pPr>
        <w:pStyle w:val="Heading2"/>
      </w:pPr>
      <w:r>
        <w:t>What matters technically</w:t>
      </w:r>
    </w:p>
    <w:p>
      <w:pPr>
        <w:pStyle w:val="ListBullet"/>
        <w:spacing w:after="40"/>
      </w:pPr>
      <w:r>
        <w:t>Sample: 21 historical qualifying U.S. industry crashes; observed drawdowns range about 44%–75%, with mean ~60.3%.</w:t>
      </w:r>
    </w:p>
    <w:p>
      <w:pPr>
        <w:pStyle w:val="ListBullet"/>
        <w:spacing w:after="40"/>
      </w:pPr>
      <w:r>
        <w:t>Raw bin counts: (0, 9, 9, 3, 0). This is informative about where the center lies, but too sparse to infer literal zero tail probability.</w:t>
      </w:r>
    </w:p>
    <w:p>
      <w:pPr>
        <w:pStyle w:val="ListBullet"/>
        <w:spacing w:after="40"/>
      </w:pPr>
      <w:r>
        <w:t>All four candidate families have two free parameters, keeping complexity broadly comparable.</w:t>
      </w:r>
    </w:p>
    <w:p>
      <w:pPr>
        <w:pStyle w:val="ListBullet"/>
        <w:spacing w:after="40"/>
      </w:pPr>
      <w:r>
        <w:t>AICc is the finite-sample correction to AIC; with n = 21, the correction is material.</w:t>
      </w:r>
    </w:p>
    <w:p>
      <w:pPr>
        <w:pStyle w:val="ListBullet"/>
        <w:spacing w:after="40"/>
      </w:pPr>
      <w:r>
        <w:t>Model averaging avoids pretending the data can cleanly distinguish Beta vs Gamma vs Weibull vs Lognormal. The fitted weights are roughly 27%, 28%, 36%, and 10%.</w:t>
      </w:r>
    </w:p>
    <w:p>
      <w:pPr>
        <w:pStyle w:val="ListBullet"/>
        <w:spacing w:after="40"/>
      </w:pPr>
      <w:r>
        <w:t>The 5,000-replication bootstrap resamples whole crash episodes, then re-fits the models and recomputes AICc weights each time.</w:t>
      </w:r>
    </w:p>
    <w:p>
      <w:pPr>
        <w:pStyle w:val="Heading2"/>
      </w:pPr>
      <w:r>
        <w:t>Likely questions</w:t>
      </w:r>
    </w:p>
    <w:tbl>
      <w:tblPr>
        <w:tblStyle w:val="TableGrid"/>
        <w:tblW w:type="auto" w:w="0"/>
        <w:jc w:val="center"/>
        <w:tblLayout w:type="fixed"/>
        <w:tblLook w:firstColumn="1" w:firstRow="1" w:lastColumn="0" w:lastRow="0" w:noHBand="0" w:noVBand="1" w:val="04A0"/>
      </w:tblPr>
      <w:tblGrid>
        <w:gridCol w:w="2952"/>
        <w:gridCol w:w="6696"/>
      </w:tblGrid>
      <w:tr>
        <w:trPr>
          <w:cantSplit/>
        </w:trPr>
        <w:tc>
          <w:tcPr>
            <w:tcW w:type="dxa" w:w="5112"/>
            <w:shd w:fill="D9E2F3"/>
          </w:tcPr>
          <w:p>
            <w:r>
              <w:rPr>
                <w:b/>
                <w:sz w:val="19"/>
              </w:rPr>
              <w:t>If asked</w:t>
            </w:r>
          </w:p>
        </w:tc>
        <w:tc>
          <w:tcPr>
            <w:tcW w:type="dxa" w:w="5112"/>
            <w:shd w:fill="D9E2F3"/>
          </w:tcPr>
          <w:p>
            <w:r>
              <w:rPr>
                <w:b/>
                <w:sz w:val="19"/>
              </w:rPr>
              <w:t>Short answer</w:t>
            </w:r>
          </w:p>
        </w:tc>
      </w:tr>
      <w:tr>
        <w:trPr>
          <w:cantSplit/>
        </w:trPr>
        <w:tc>
          <w:tcPr>
            <w:tcW w:type="dxa" w:w="2952"/>
            <w:vAlign w:val="top"/>
            <w:tcMar>
              <w:top w:w="90" w:type="dxa"/>
              <w:start w:w="110" w:type="dxa"/>
              <w:bottom w:w="90" w:type="dxa"/>
              <w:end w:w="110" w:type="dxa"/>
            </w:tcMar>
          </w:tcPr>
          <w:p>
            <w:pPr>
              <w:spacing w:after="0"/>
            </w:pPr>
            <w:r>
              <w:rPr>
                <w:sz w:val="18"/>
              </w:rPr>
              <w:t>Why these four distributions?</w:t>
            </w:r>
          </w:p>
        </w:tc>
        <w:tc>
          <w:tcPr>
            <w:tcW w:type="dxa" w:w="6696"/>
            <w:vAlign w:val="top"/>
            <w:tcMar>
              <w:top w:w="90" w:type="dxa"/>
              <w:start w:w="110" w:type="dxa"/>
              <w:bottom w:w="90" w:type="dxa"/>
              <w:end w:w="110" w:type="dxa"/>
            </w:tcMar>
          </w:tcPr>
          <w:p>
            <w:pPr>
              <w:spacing w:after="0"/>
            </w:pPr>
            <w:r>
              <w:rPr>
                <w:sz w:val="18"/>
              </w:rPr>
              <w:t>They are parsimonious, flexible shapes that respect the support after transformation: Beta handles a bounded drawdown variable; Gamma, Weibull and Lognormal handle positive excess log loss. They give several plausible shapes without over-parameterizing 21 observations.</w:t>
            </w:r>
          </w:p>
        </w:tc>
      </w:tr>
      <w:tr>
        <w:trPr>
          <w:cantSplit/>
        </w:trPr>
        <w:tc>
          <w:tcPr>
            <w:tcW w:type="dxa" w:w="2952"/>
            <w:vAlign w:val="top"/>
            <w:tcMar>
              <w:top w:w="90" w:type="dxa"/>
              <w:start w:w="110" w:type="dxa"/>
              <w:bottom w:w="90" w:type="dxa"/>
              <w:end w:w="110" w:type="dxa"/>
            </w:tcMar>
          </w:tcPr>
          <w:p>
            <w:pPr>
              <w:spacing w:after="0"/>
            </w:pPr>
            <w:r>
              <w:rPr>
                <w:sz w:val="18"/>
              </w:rPr>
              <w:t>Why not just use the empirical frequencies?</w:t>
            </w:r>
          </w:p>
        </w:tc>
        <w:tc>
          <w:tcPr>
            <w:tcW w:type="dxa" w:w="6696"/>
            <w:vAlign w:val="top"/>
            <w:tcMar>
              <w:top w:w="90" w:type="dxa"/>
              <w:start w:w="110" w:type="dxa"/>
              <w:bottom w:w="90" w:type="dxa"/>
              <w:end w:w="110" w:type="dxa"/>
            </w:tcMar>
          </w:tcPr>
          <w:p>
            <w:pPr>
              <w:spacing w:after="0"/>
            </w:pPr>
            <w:r>
              <w:rPr>
                <w:sz w:val="18"/>
              </w:rPr>
              <w:t>The empirical frequencies are a useful cross-check, but zero observations in Mild and Worst would imply exactly 0% probability there. With n=21, that is stronger than the data justify.</w:t>
            </w:r>
          </w:p>
        </w:tc>
      </w:tr>
      <w:tr>
        <w:trPr>
          <w:cantSplit/>
        </w:trPr>
        <w:tc>
          <w:tcPr>
            <w:tcW w:type="dxa" w:w="2952"/>
            <w:vAlign w:val="top"/>
            <w:tcMar>
              <w:top w:w="90" w:type="dxa"/>
              <w:start w:w="110" w:type="dxa"/>
              <w:bottom w:w="90" w:type="dxa"/>
              <w:end w:w="110" w:type="dxa"/>
            </w:tcMar>
          </w:tcPr>
          <w:p>
            <w:pPr>
              <w:spacing w:after="0"/>
            </w:pPr>
            <w:r>
              <w:rPr>
                <w:sz w:val="18"/>
              </w:rPr>
              <w:t>Why AICc, not AIC?</w:t>
            </w:r>
          </w:p>
        </w:tc>
        <w:tc>
          <w:tcPr>
            <w:tcW w:type="dxa" w:w="6696"/>
            <w:vAlign w:val="top"/>
            <w:tcMar>
              <w:top w:w="90" w:type="dxa"/>
              <w:start w:w="110" w:type="dxa"/>
              <w:bottom w:w="90" w:type="dxa"/>
              <w:end w:w="110" w:type="dxa"/>
            </w:tcMar>
          </w:tcPr>
          <w:p>
            <w:pPr>
              <w:spacing w:after="0"/>
            </w:pPr>
            <w:r>
              <w:rPr>
                <w:sz w:val="18"/>
              </w:rPr>
              <w:t>AIC is asymptotic. AICc adds a finite-sample penalty. With 21 observations and two parameters per model, using the corrected version is more appropriate.</w:t>
            </w:r>
          </w:p>
        </w:tc>
      </w:tr>
      <w:tr>
        <w:trPr>
          <w:cantSplit/>
        </w:trPr>
        <w:tc>
          <w:tcPr>
            <w:tcW w:type="dxa" w:w="2952"/>
            <w:vAlign w:val="top"/>
            <w:tcMar>
              <w:top w:w="90" w:type="dxa"/>
              <w:start w:w="110" w:type="dxa"/>
              <w:bottom w:w="90" w:type="dxa"/>
              <w:end w:w="110" w:type="dxa"/>
            </w:tcMar>
          </w:tcPr>
          <w:p>
            <w:pPr>
              <w:spacing w:after="0"/>
            </w:pPr>
            <w:r>
              <w:rPr>
                <w:sz w:val="18"/>
              </w:rPr>
              <w:t>Why model average instead of choosing the best AICc model?</w:t>
            </w:r>
          </w:p>
        </w:tc>
        <w:tc>
          <w:tcPr>
            <w:tcW w:type="dxa" w:w="6696"/>
            <w:vAlign w:val="top"/>
            <w:tcMar>
              <w:top w:w="90" w:type="dxa"/>
              <w:start w:w="110" w:type="dxa"/>
              <w:bottom w:w="90" w:type="dxa"/>
              <w:end w:w="110" w:type="dxa"/>
            </w:tcMar>
          </w:tcPr>
          <w:p>
            <w:pPr>
              <w:spacing w:after="0"/>
            </w:pPr>
            <w:r>
              <w:rPr>
                <w:sz w:val="18"/>
              </w:rPr>
              <w:t>The AICc values are close, so the sample does not strongly identify one family. Hard selection would create unnecessary model risk. Averaging makes the result less dependent on one functional form.</w:t>
            </w:r>
          </w:p>
        </w:tc>
      </w:tr>
      <w:tr>
        <w:trPr>
          <w:cantSplit/>
        </w:trPr>
        <w:tc>
          <w:tcPr>
            <w:tcW w:type="dxa" w:w="2952"/>
            <w:vAlign w:val="top"/>
            <w:tcMar>
              <w:top w:w="90" w:type="dxa"/>
              <w:start w:w="110" w:type="dxa"/>
              <w:bottom w:w="90" w:type="dxa"/>
              <w:end w:w="110" w:type="dxa"/>
            </w:tcMar>
          </w:tcPr>
          <w:p>
            <w:pPr>
              <w:spacing w:after="0"/>
            </w:pPr>
            <w:r>
              <w:rPr>
                <w:sz w:val="18"/>
              </w:rPr>
              <w:t>What is the Jacobian doing?</w:t>
            </w:r>
          </w:p>
        </w:tc>
        <w:tc>
          <w:tcPr>
            <w:tcW w:type="dxa" w:w="6696"/>
            <w:vAlign w:val="top"/>
            <w:tcMar>
              <w:top w:w="90" w:type="dxa"/>
              <w:start w:w="110" w:type="dxa"/>
              <w:bottom w:w="90" w:type="dxa"/>
              <w:end w:w="110" w:type="dxa"/>
            </w:tcMar>
          </w:tcPr>
          <w:p>
            <w:pPr>
              <w:spacing w:after="0"/>
            </w:pPr>
            <w:r>
              <w:rPr>
                <w:sz w:val="18"/>
              </w:rPr>
              <w:t>It converts the transformed-variable density back to the common drawdown density. Without it, the likelihoods would be measured on inconsistent scales, so the AICc comparison would not be valid.</w:t>
            </w:r>
          </w:p>
        </w:tc>
      </w:tr>
      <w:tr>
        <w:trPr>
          <w:cantSplit/>
        </w:trPr>
        <w:tc>
          <w:tcPr>
            <w:tcW w:type="dxa" w:w="2952"/>
            <w:vAlign w:val="top"/>
            <w:tcMar>
              <w:top w:w="90" w:type="dxa"/>
              <w:start w:w="110" w:type="dxa"/>
              <w:bottom w:w="90" w:type="dxa"/>
              <w:end w:w="110" w:type="dxa"/>
            </w:tcMar>
          </w:tcPr>
          <w:p>
            <w:pPr>
              <w:spacing w:after="0"/>
            </w:pPr>
            <w:r>
              <w:rPr>
                <w:sz w:val="18"/>
              </w:rPr>
              <w:t>Why not fit a GPD / EVT tail model?</w:t>
            </w:r>
          </w:p>
        </w:tc>
        <w:tc>
          <w:tcPr>
            <w:tcW w:type="dxa" w:w="6696"/>
            <w:vAlign w:val="top"/>
            <w:tcMar>
              <w:top w:w="90" w:type="dxa"/>
              <w:start w:w="110" w:type="dxa"/>
              <w:bottom w:w="90" w:type="dxa"/>
              <w:end w:w="110" w:type="dxa"/>
            </w:tcMar>
          </w:tcPr>
          <w:p>
            <w:pPr>
              <w:spacing w:after="0"/>
            </w:pPr>
            <w:r>
              <w:rPr>
                <w:sz w:val="18"/>
              </w:rPr>
              <w:t>I tested it as a diagnostic. With only 21 events, the unconstrained GPD put its upper endpoint near the largest observation, about 75%, which would mechanically give zero probability to the Worst region. That endpoint instability is exactly why it is not the production estimator.</w:t>
            </w:r>
          </w:p>
        </w:tc>
      </w:tr>
      <w:tr>
        <w:trPr>
          <w:cantSplit/>
        </w:trPr>
        <w:tc>
          <w:tcPr>
            <w:tcW w:type="dxa" w:w="2952"/>
            <w:vAlign w:val="top"/>
            <w:tcMar>
              <w:top w:w="90" w:type="dxa"/>
              <w:start w:w="110" w:type="dxa"/>
              <w:bottom w:w="90" w:type="dxa"/>
              <w:end w:w="110" w:type="dxa"/>
            </w:tcMar>
          </w:tcPr>
          <w:p>
            <w:pPr>
              <w:spacing w:after="0"/>
            </w:pPr>
            <w:r>
              <w:rPr>
                <w:sz w:val="18"/>
              </w:rPr>
              <w:t>Why bootstrap episodes rather than daily returns?</w:t>
            </w:r>
          </w:p>
        </w:tc>
        <w:tc>
          <w:tcPr>
            <w:tcW w:type="dxa" w:w="6696"/>
            <w:vAlign w:val="top"/>
            <w:tcMar>
              <w:top w:w="90" w:type="dxa"/>
              <w:start w:w="110" w:type="dxa"/>
              <w:bottom w:w="90" w:type="dxa"/>
              <w:end w:w="110" w:type="dxa"/>
            </w:tcMar>
          </w:tcPr>
          <w:p>
            <w:pPr>
              <w:spacing w:after="0"/>
            </w:pPr>
            <w:r>
              <w:rPr>
                <w:sz w:val="18"/>
              </w:rPr>
              <w:t>The unit of evidence is a historical bubble-burst episode. Resampling whole episodes preserves that sampling structure and captures uncertainty in both fitted parameters and the relative model weights.</w:t>
            </w:r>
          </w:p>
        </w:tc>
      </w:tr>
    </w:tbl>
    <w:p>
      <w:pPr>
        <w:pStyle w:val="Heading1"/>
        <w:pBdr>
          <w:bottom w:val="single" w:sz="8" w:space="4" w:color="D9E1F2"/>
        </w:pBdr>
      </w:pPr>
      <w:r>
        <w:t>Slide 13 — Probability output and use</w:t>
      </w:r>
    </w:p>
    <w:p>
      <w:r>
        <w:rPr>
          <w:b/>
        </w:rPr>
        <w:t xml:space="preserve">One-line takeaway: </w:t>
      </w:r>
      <w:r>
        <w:t>Conditional on a qualifying burst, most severity mass sits in Base and Severe; the probabilities are for weighting completed stress outcomes, not for claiming a forecasted crash probability.</w:t>
      </w:r>
    </w:p>
    <w:p>
      <w:pPr>
        <w:pStyle w:val="Heading2"/>
      </w:pPr>
      <w:r>
        <w:t>Main script</w:t>
      </w:r>
    </w:p>
    <w:p>
      <w:pPr>
        <w:pStyle w:val="TalkTrack"/>
      </w:pPr>
      <w:r>
        <w:t>“The resulting conditional weights are about 1.3% Mild, 46.5% Base, 37.6% Severe, 12.5% Extreme and 2.1% Worst. So roughly 84% of the conditional probability sits in Base plus Severe, which makes sense because the historical crash sample is centered around a 60% drawdown, between those two scenario anchors.</w:t>
        <w:br/>
        <w:br/>
        <w:t>I cross-check this against lower-assumption methods. The raw frequencies are 0%, 42.9%, 42.9%, 14.3%, 0%, and a Jeffreys–Dirichlet calculation gives a simple smoothed multinomial check rather than relying on the continuous fits. The model result is therefore not being driven by an exotic tail assumption.</w:t>
        <w:br/>
        <w:br/>
        <w:t>For portfolio use, once the deterministic stress engine has already calculated a loss or other metric under each scenario, I can take the conditional weighted average, Σ p_s Y_s,h. The crucial caveat is the line at the bottom: these numbers do not say there is a 2.1% chance of the Worst case happening from today. They say that, if a qualifying burst occurs, 2.1% of the fitted severity mass is represented by the Worst region.”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D9E2F3"/>
            <w:tcMar>
              <w:top w:w="70" w:type="dxa"/>
              <w:start w:w="80" w:type="dxa"/>
              <w:bottom w:w="70" w:type="dxa"/>
              <w:end w:w="80" w:type="dxa"/>
            </w:tcMar>
            <w:vAlign w:val="center"/>
          </w:tcPr>
          <w:p>
            <w:pPr>
              <w:jc w:val="center"/>
            </w:pPr>
            <w:r>
              <w:rPr>
                <w:b/>
                <w:sz w:val="18"/>
              </w:rPr>
              <w:t>Scenario</w:t>
            </w:r>
          </w:p>
        </w:tc>
        <w:tc>
          <w:tcPr>
            <w:tcW w:type="dxa" w:w="1704"/>
            <w:shd w:fill="D9E2F3"/>
            <w:tcMar>
              <w:top w:w="70" w:type="dxa"/>
              <w:start w:w="80" w:type="dxa"/>
              <w:bottom w:w="70" w:type="dxa"/>
              <w:end w:w="80" w:type="dxa"/>
            </w:tcMar>
            <w:vAlign w:val="center"/>
          </w:tcPr>
          <w:p>
            <w:pPr>
              <w:jc w:val="center"/>
            </w:pPr>
            <w:r>
              <w:rPr>
                <w:b/>
                <w:sz w:val="18"/>
              </w:rPr>
              <w:t>Mild</w:t>
            </w:r>
          </w:p>
        </w:tc>
        <w:tc>
          <w:tcPr>
            <w:tcW w:type="dxa" w:w="1704"/>
            <w:shd w:fill="D9E2F3"/>
            <w:tcMar>
              <w:top w:w="70" w:type="dxa"/>
              <w:start w:w="80" w:type="dxa"/>
              <w:bottom w:w="70" w:type="dxa"/>
              <w:end w:w="80" w:type="dxa"/>
            </w:tcMar>
            <w:vAlign w:val="center"/>
          </w:tcPr>
          <w:p>
            <w:pPr>
              <w:jc w:val="center"/>
            </w:pPr>
            <w:r>
              <w:rPr>
                <w:b/>
                <w:sz w:val="18"/>
              </w:rPr>
              <w:t>Base</w:t>
            </w:r>
          </w:p>
        </w:tc>
        <w:tc>
          <w:tcPr>
            <w:tcW w:type="dxa" w:w="1704"/>
            <w:shd w:fill="D9E2F3"/>
            <w:tcMar>
              <w:top w:w="70" w:type="dxa"/>
              <w:start w:w="80" w:type="dxa"/>
              <w:bottom w:w="70" w:type="dxa"/>
              <w:end w:w="80" w:type="dxa"/>
            </w:tcMar>
            <w:vAlign w:val="center"/>
          </w:tcPr>
          <w:p>
            <w:pPr>
              <w:jc w:val="center"/>
            </w:pPr>
            <w:r>
              <w:rPr>
                <w:b/>
                <w:sz w:val="18"/>
              </w:rPr>
              <w:t>Severe</w:t>
            </w:r>
          </w:p>
        </w:tc>
        <w:tc>
          <w:tcPr>
            <w:tcW w:type="dxa" w:w="1704"/>
            <w:shd w:fill="D9E2F3"/>
            <w:tcMar>
              <w:top w:w="70" w:type="dxa"/>
              <w:start w:w="80" w:type="dxa"/>
              <w:bottom w:w="70" w:type="dxa"/>
              <w:end w:w="80" w:type="dxa"/>
            </w:tcMar>
            <w:vAlign w:val="center"/>
          </w:tcPr>
          <w:p>
            <w:pPr>
              <w:jc w:val="center"/>
            </w:pPr>
            <w:r>
              <w:rPr>
                <w:b/>
                <w:sz w:val="18"/>
              </w:rPr>
              <w:t>Extreme</w:t>
            </w:r>
          </w:p>
        </w:tc>
        <w:tc>
          <w:tcPr>
            <w:tcW w:type="dxa" w:w="1704"/>
            <w:shd w:fill="D9E2F3"/>
            <w:tcMar>
              <w:top w:w="70" w:type="dxa"/>
              <w:start w:w="80" w:type="dxa"/>
              <w:bottom w:w="70" w:type="dxa"/>
              <w:end w:w="80" w:type="dxa"/>
            </w:tcMar>
            <w:vAlign w:val="center"/>
          </w:tcPr>
          <w:p>
            <w:pPr>
              <w:jc w:val="center"/>
            </w:pPr>
            <w:r>
              <w:rPr>
                <w:b/>
                <w:sz w:val="18"/>
              </w:rPr>
              <w:t>Worst</w:t>
            </w:r>
          </w:p>
        </w:tc>
      </w:tr>
      <w:tr>
        <w:trPr>
          <w:cantSplit/>
        </w:trPr>
        <w:tc>
          <w:tcPr>
            <w:tcW w:type="dxa" w:w="1704"/>
            <w:tcMar>
              <w:top w:w="70" w:type="dxa"/>
              <w:start w:w="80" w:type="dxa"/>
              <w:bottom w:w="70" w:type="dxa"/>
              <w:end w:w="80" w:type="dxa"/>
            </w:tcMar>
            <w:vAlign w:val="center"/>
          </w:tcPr>
          <w:p>
            <w:pPr>
              <w:jc w:val="center"/>
            </w:pPr>
            <w:r>
              <w:rPr>
                <w:sz w:val="18"/>
              </w:rPr>
              <w:t>pₛ</w:t>
            </w:r>
          </w:p>
        </w:tc>
        <w:tc>
          <w:tcPr>
            <w:tcW w:type="dxa" w:w="1704"/>
            <w:tcMar>
              <w:top w:w="70" w:type="dxa"/>
              <w:start w:w="80" w:type="dxa"/>
              <w:bottom w:w="70" w:type="dxa"/>
              <w:end w:w="80" w:type="dxa"/>
            </w:tcMar>
            <w:vAlign w:val="center"/>
          </w:tcPr>
          <w:p>
            <w:pPr>
              <w:jc w:val="center"/>
            </w:pPr>
            <w:r>
              <w:rPr>
                <w:sz w:val="18"/>
              </w:rPr>
              <w:t>1.3%</w:t>
            </w:r>
          </w:p>
        </w:tc>
        <w:tc>
          <w:tcPr>
            <w:tcW w:type="dxa" w:w="1704"/>
            <w:tcMar>
              <w:top w:w="70" w:type="dxa"/>
              <w:start w:w="80" w:type="dxa"/>
              <w:bottom w:w="70" w:type="dxa"/>
              <w:end w:w="80" w:type="dxa"/>
            </w:tcMar>
            <w:vAlign w:val="center"/>
          </w:tcPr>
          <w:p>
            <w:pPr>
              <w:jc w:val="center"/>
            </w:pPr>
            <w:r>
              <w:rPr>
                <w:sz w:val="18"/>
              </w:rPr>
              <w:t>46.5%</w:t>
            </w:r>
          </w:p>
        </w:tc>
        <w:tc>
          <w:tcPr>
            <w:tcW w:type="dxa" w:w="1704"/>
            <w:tcMar>
              <w:top w:w="70" w:type="dxa"/>
              <w:start w:w="80" w:type="dxa"/>
              <w:bottom w:w="70" w:type="dxa"/>
              <w:end w:w="80" w:type="dxa"/>
            </w:tcMar>
            <w:vAlign w:val="center"/>
          </w:tcPr>
          <w:p>
            <w:pPr>
              <w:jc w:val="center"/>
            </w:pPr>
            <w:r>
              <w:rPr>
                <w:sz w:val="18"/>
              </w:rPr>
              <w:t>37.6%</w:t>
            </w:r>
          </w:p>
        </w:tc>
        <w:tc>
          <w:tcPr>
            <w:tcW w:type="dxa" w:w="1704"/>
            <w:tcMar>
              <w:top w:w="70" w:type="dxa"/>
              <w:start w:w="80" w:type="dxa"/>
              <w:bottom w:w="70" w:type="dxa"/>
              <w:end w:w="80" w:type="dxa"/>
            </w:tcMar>
            <w:vAlign w:val="center"/>
          </w:tcPr>
          <w:p>
            <w:pPr>
              <w:jc w:val="center"/>
            </w:pPr>
            <w:r>
              <w:rPr>
                <w:sz w:val="18"/>
              </w:rPr>
              <w:t>12.5%</w:t>
            </w:r>
          </w:p>
        </w:tc>
        <w:tc>
          <w:tcPr>
            <w:tcW w:type="dxa" w:w="1704"/>
            <w:tcMar>
              <w:top w:w="70" w:type="dxa"/>
              <w:start w:w="80" w:type="dxa"/>
              <w:bottom w:w="70" w:type="dxa"/>
              <w:end w:w="80" w:type="dxa"/>
            </w:tcMar>
            <w:vAlign w:val="center"/>
          </w:tcPr>
          <w:p>
            <w:pPr>
              <w:jc w:val="center"/>
            </w:pPr>
            <w:r>
              <w:rPr>
                <w:sz w:val="18"/>
              </w:rPr>
              <w:t>2.1%</w:t>
            </w:r>
          </w:p>
        </w:tc>
      </w:tr>
    </w:tbl>
    <w:p>
      <w:pPr>
        <w:spacing w:before="40" w:after="100"/>
        <w:jc w:val="center"/>
      </w:pPr>
      <w:r>
        <w:rPr>
          <w:rFonts w:ascii="Cambria Math" w:hAnsi="Cambria Math"/>
          <w:sz w:val="23"/>
        </w:rPr>
        <w:t>E[Yₕ | B = 1] = Σₛ pₛ Yₛ,ₕ</w:t>
      </w:r>
    </w:p>
    <w:p>
      <w:pPr>
        <w:pStyle w:val="Heading2"/>
      </w:pPr>
      <w:r>
        <w:t>Useful numbers to remember</w:t>
      </w:r>
    </w:p>
    <w:p>
      <w:pPr>
        <w:pStyle w:val="ListBullet"/>
        <w:spacing w:after="40"/>
      </w:pPr>
      <w:r>
        <w:t>Base + Severe = about 84% of conditional mass.</w:t>
      </w:r>
    </w:p>
    <w:p>
      <w:pPr>
        <w:pStyle w:val="ListBullet"/>
        <w:spacing w:after="40"/>
      </w:pPr>
      <w:r>
        <w:t>90% bootstrap ranges: Mild 0.1–3.7%, Base 31.8–59.9%, Severe 28.7–48.5%, Extreme 5.5–19.3%, Worst 0.4–4.3%.</w:t>
      </w:r>
    </w:p>
    <w:p>
      <w:pPr>
        <w:pStyle w:val="ListBullet"/>
        <w:spacing w:after="40"/>
      </w:pPr>
      <w:r>
        <w:t>Probability-weighted representative drawdown ≈ 60.6%, versus ≈ 60.3% mean in the historical crash sample. This is a useful severity-preservation check; it was not forced by calibration.</w:t>
      </w:r>
    </w:p>
    <w:p>
      <w:pPr>
        <w:pStyle w:val="ListBullet"/>
        <w:spacing w:after="40"/>
      </w:pPr>
      <w:r>
        <w:t>Weight completed scenario P&amp;Ls / returns, not the log shocks first, because conversion from log return to simple return and P&amp;L is nonlinear.</w:t>
      </w:r>
    </w:p>
    <w:p>
      <w:pPr>
        <w:pStyle w:val="Heading2"/>
      </w:pPr>
      <w:r>
        <w:t>Likely questions</w:t>
      </w:r>
    </w:p>
    <w:tbl>
      <w:tblPr>
        <w:tblStyle w:val="TableGrid"/>
        <w:tblW w:type="auto" w:w="0"/>
        <w:jc w:val="center"/>
        <w:tblLayout w:type="fixed"/>
        <w:tblLook w:firstColumn="1" w:firstRow="1" w:lastColumn="0" w:lastRow="0" w:noHBand="0" w:noVBand="1" w:val="04A0"/>
      </w:tblPr>
      <w:tblGrid>
        <w:gridCol w:w="2952"/>
        <w:gridCol w:w="6696"/>
      </w:tblGrid>
      <w:tr>
        <w:trPr>
          <w:cantSplit/>
        </w:trPr>
        <w:tc>
          <w:tcPr>
            <w:tcW w:type="dxa" w:w="5112"/>
            <w:shd w:fill="D9E2F3"/>
          </w:tcPr>
          <w:p>
            <w:r>
              <w:rPr>
                <w:b/>
                <w:sz w:val="19"/>
              </w:rPr>
              <w:t>If asked</w:t>
            </w:r>
          </w:p>
        </w:tc>
        <w:tc>
          <w:tcPr>
            <w:tcW w:type="dxa" w:w="5112"/>
            <w:shd w:fill="D9E2F3"/>
          </w:tcPr>
          <w:p>
            <w:r>
              <w:rPr>
                <w:b/>
                <w:sz w:val="19"/>
              </w:rPr>
              <w:t>Short answer</w:t>
            </w:r>
          </w:p>
        </w:tc>
      </w:tr>
      <w:tr>
        <w:trPr>
          <w:cantSplit/>
        </w:trPr>
        <w:tc>
          <w:tcPr>
            <w:tcW w:type="dxa" w:w="2952"/>
            <w:vAlign w:val="top"/>
            <w:tcMar>
              <w:top w:w="90" w:type="dxa"/>
              <w:start w:w="110" w:type="dxa"/>
              <w:bottom w:w="90" w:type="dxa"/>
              <w:end w:w="110" w:type="dxa"/>
            </w:tcMar>
          </w:tcPr>
          <w:p>
            <w:pPr>
              <w:spacing w:after="0"/>
            </w:pPr>
            <w:r>
              <w:rPr>
                <w:sz w:val="18"/>
              </w:rPr>
              <w:t>Why are Base and Severe so dominant?</w:t>
            </w:r>
          </w:p>
        </w:tc>
        <w:tc>
          <w:tcPr>
            <w:tcW w:type="dxa" w:w="6696"/>
            <w:vAlign w:val="top"/>
            <w:tcMar>
              <w:top w:w="90" w:type="dxa"/>
              <w:start w:w="110" w:type="dxa"/>
              <w:bottom w:w="90" w:type="dxa"/>
              <w:end w:w="110" w:type="dxa"/>
            </w:tcMar>
          </w:tcPr>
          <w:p>
            <w:pPr>
              <w:spacing w:after="0"/>
            </w:pPr>
            <w:r>
              <w:rPr>
                <w:sz w:val="18"/>
              </w:rPr>
              <w:t>The historical conditional severity distribution is centered near 60%, which lies between the Base representative drawdown of 53.7% and Severe at 63.9%.</w:t>
            </w:r>
          </w:p>
        </w:tc>
      </w:tr>
      <w:tr>
        <w:trPr>
          <w:cantSplit/>
        </w:trPr>
        <w:tc>
          <w:tcPr>
            <w:tcW w:type="dxa" w:w="2952"/>
            <w:vAlign w:val="top"/>
            <w:tcMar>
              <w:top w:w="90" w:type="dxa"/>
              <w:start w:w="110" w:type="dxa"/>
              <w:bottom w:w="90" w:type="dxa"/>
              <w:end w:w="110" w:type="dxa"/>
            </w:tcMar>
          </w:tcPr>
          <w:p>
            <w:pPr>
              <w:spacing w:after="0"/>
            </w:pPr>
            <w:r>
              <w:rPr>
                <w:sz w:val="18"/>
              </w:rPr>
              <w:t>How do I interpret 2.1% Worst?</w:t>
            </w:r>
          </w:p>
        </w:tc>
        <w:tc>
          <w:tcPr>
            <w:tcW w:type="dxa" w:w="6696"/>
            <w:vAlign w:val="top"/>
            <w:tcMar>
              <w:top w:w="90" w:type="dxa"/>
              <w:start w:w="110" w:type="dxa"/>
              <w:bottom w:w="90" w:type="dxa"/>
              <w:end w:w="110" w:type="dxa"/>
            </w:tcMar>
          </w:tcPr>
          <w:p>
            <w:pPr>
              <w:spacing w:after="0"/>
            </w:pPr>
            <w:r>
              <w:rPr>
                <w:sz w:val="18"/>
              </w:rPr>
              <w:t>Only conditionally: among qualifying burst severities, about 2.1% of fitted mass lies in the region represented by Worst. It is not a 2.1% forecast of a Worst crash from today.</w:t>
            </w:r>
          </w:p>
        </w:tc>
      </w:tr>
      <w:tr>
        <w:trPr>
          <w:cantSplit/>
        </w:trPr>
        <w:tc>
          <w:tcPr>
            <w:tcW w:type="dxa" w:w="2952"/>
            <w:vAlign w:val="top"/>
            <w:tcMar>
              <w:top w:w="90" w:type="dxa"/>
              <w:start w:w="110" w:type="dxa"/>
              <w:bottom w:w="90" w:type="dxa"/>
              <w:end w:w="110" w:type="dxa"/>
            </w:tcMar>
          </w:tcPr>
          <w:p>
            <w:pPr>
              <w:spacing w:after="0"/>
            </w:pPr>
            <w:r>
              <w:rPr>
                <w:sz w:val="18"/>
              </w:rPr>
              <w:t>What is the Jeffreys–Dirichlet check?</w:t>
            </w:r>
          </w:p>
        </w:tc>
        <w:tc>
          <w:tcPr>
            <w:tcW w:type="dxa" w:w="6696"/>
            <w:vAlign w:val="top"/>
            <w:tcMar>
              <w:top w:w="90" w:type="dxa"/>
              <w:start w:w="110" w:type="dxa"/>
              <w:bottom w:w="90" w:type="dxa"/>
              <w:end w:w="110" w:type="dxa"/>
            </w:tcMar>
          </w:tcPr>
          <w:p>
            <w:pPr>
              <w:spacing w:after="0"/>
            </w:pPr>
            <w:r>
              <w:rPr>
                <w:sz w:val="18"/>
              </w:rPr>
              <w:t>It is a low-assumption smoothing of the five observed bin counts: (n_s + 1/2)/(n + 5/2). It prevents zero-count bins from being treated as literally impossible and serves as a sanity check on the parametric ensemble.</w:t>
            </w:r>
          </w:p>
        </w:tc>
      </w:tr>
      <w:tr>
        <w:trPr>
          <w:cantSplit/>
        </w:trPr>
        <w:tc>
          <w:tcPr>
            <w:tcW w:type="dxa" w:w="2952"/>
            <w:vAlign w:val="top"/>
            <w:tcMar>
              <w:top w:w="90" w:type="dxa"/>
              <w:start w:w="110" w:type="dxa"/>
              <w:bottom w:w="90" w:type="dxa"/>
              <w:end w:w="110" w:type="dxa"/>
            </w:tcMar>
          </w:tcPr>
          <w:p>
            <w:pPr>
              <w:spacing w:after="0"/>
            </w:pPr>
            <w:r>
              <w:rPr>
                <w:sz w:val="18"/>
              </w:rPr>
              <w:t>Why show raw frequencies if you do not use them directly?</w:t>
            </w:r>
          </w:p>
        </w:tc>
        <w:tc>
          <w:tcPr>
            <w:tcW w:type="dxa" w:w="6696"/>
            <w:vAlign w:val="top"/>
            <w:tcMar>
              <w:top w:w="90" w:type="dxa"/>
              <w:start w:w="110" w:type="dxa"/>
              <w:bottom w:w="90" w:type="dxa"/>
              <w:end w:w="110" w:type="dxa"/>
            </w:tcMar>
          </w:tcPr>
          <w:p>
            <w:pPr>
              <w:spacing w:after="0"/>
            </w:pPr>
            <w:r>
              <w:rPr>
                <w:sz w:val="18"/>
              </w:rPr>
              <w:t>They make the data content transparent. The model should stay close to the empirical center while adding only enough smoothing to avoid brittle zero-probability tails.</w:t>
            </w:r>
          </w:p>
        </w:tc>
      </w:tr>
      <w:tr>
        <w:trPr>
          <w:cantSplit/>
        </w:trPr>
        <w:tc>
          <w:tcPr>
            <w:tcW w:type="dxa" w:w="2952"/>
            <w:vAlign w:val="top"/>
            <w:tcMar>
              <w:top w:w="90" w:type="dxa"/>
              <w:start w:w="110" w:type="dxa"/>
              <w:bottom w:w="90" w:type="dxa"/>
              <w:end w:w="110" w:type="dxa"/>
            </w:tcMar>
          </w:tcPr>
          <w:p>
            <w:pPr>
              <w:spacing w:after="0"/>
            </w:pPr>
            <w:r>
              <w:rPr>
                <w:sz w:val="18"/>
              </w:rPr>
              <w:t>Is the probability-weighted result the stress number we should manage to?</w:t>
            </w:r>
          </w:p>
        </w:tc>
        <w:tc>
          <w:tcPr>
            <w:tcW w:type="dxa" w:w="6696"/>
            <w:vAlign w:val="top"/>
            <w:tcMar>
              <w:top w:w="90" w:type="dxa"/>
              <w:start w:w="110" w:type="dxa"/>
              <w:bottom w:w="90" w:type="dxa"/>
              <w:end w:w="110" w:type="dxa"/>
            </w:tcMar>
          </w:tcPr>
          <w:p>
            <w:pPr>
              <w:spacing w:after="0"/>
            </w:pPr>
            <w:r>
              <w:rPr>
                <w:sz w:val="18"/>
              </w:rPr>
              <w:t>Not by itself. It is a conditional summary useful for comparison. Severe, Extreme and Worst remain standalone tail stress tests and should not be diluted because their weights are smaller.</w:t>
            </w:r>
          </w:p>
        </w:tc>
      </w:tr>
      <w:tr>
        <w:trPr>
          <w:cantSplit/>
        </w:trPr>
        <w:tc>
          <w:tcPr>
            <w:tcW w:type="dxa" w:w="2952"/>
            <w:vAlign w:val="top"/>
            <w:tcMar>
              <w:top w:w="90" w:type="dxa"/>
              <w:start w:w="110" w:type="dxa"/>
              <w:bottom w:w="90" w:type="dxa"/>
              <w:end w:w="110" w:type="dxa"/>
            </w:tcMar>
          </w:tcPr>
          <w:p>
            <w:pPr>
              <w:spacing w:after="0"/>
            </w:pPr>
            <w:r>
              <w:rPr>
                <w:sz w:val="18"/>
              </w:rPr>
              <w:t>Why weight scenario P&amp;Ls rather than average the shocks?</w:t>
            </w:r>
          </w:p>
        </w:tc>
        <w:tc>
          <w:tcPr>
            <w:tcW w:type="dxa" w:w="6696"/>
            <w:vAlign w:val="top"/>
            <w:tcMar>
              <w:top w:w="90" w:type="dxa"/>
              <w:start w:w="110" w:type="dxa"/>
              <w:bottom w:w="90" w:type="dxa"/>
              <w:end w:w="110" w:type="dxa"/>
            </w:tcMar>
          </w:tcPr>
          <w:p>
            <w:pPr>
              <w:spacing w:after="0"/>
            </w:pPr>
            <w:r>
              <w:rPr>
                <w:sz w:val="18"/>
              </w:rPr>
              <w:t>Because P&amp;L is nonlinear in log return. In general, applying the return transformation after averaging shocks is not equal to averaging the already-computed scenario P&amp;Ls.</w:t>
            </w:r>
          </w:p>
        </w:tc>
      </w:tr>
      <w:tr>
        <w:trPr>
          <w:cantSplit/>
        </w:trPr>
        <w:tc>
          <w:tcPr>
            <w:tcW w:type="dxa" w:w="2952"/>
            <w:vAlign w:val="top"/>
            <w:tcMar>
              <w:top w:w="90" w:type="dxa"/>
              <w:start w:w="110" w:type="dxa"/>
              <w:bottom w:w="90" w:type="dxa"/>
              <w:end w:w="110" w:type="dxa"/>
            </w:tcMar>
          </w:tcPr>
          <w:p>
            <w:pPr>
              <w:spacing w:after="0"/>
            </w:pPr>
            <w:r>
              <w:rPr>
                <w:sz w:val="18"/>
              </w:rPr>
              <w:t>Does the model preserve the historical severity level?</w:t>
            </w:r>
          </w:p>
        </w:tc>
        <w:tc>
          <w:tcPr>
            <w:tcW w:type="dxa" w:w="6696"/>
            <w:vAlign w:val="top"/>
            <w:tcMar>
              <w:top w:w="90" w:type="dxa"/>
              <w:start w:w="110" w:type="dxa"/>
              <w:bottom w:w="90" w:type="dxa"/>
              <w:end w:w="110" w:type="dxa"/>
            </w:tcMar>
          </w:tcPr>
          <w:p>
            <w:pPr>
              <w:spacing w:after="0"/>
            </w:pPr>
            <w:r>
              <w:rPr>
                <w:sz w:val="18"/>
              </w:rPr>
              <w:t>Yes as an ex-post diagnostic: the five-point weighted drawdown is about 60.6%, very close to the sample mean of 60.3%. The procedure did not explicitly target that equality.</w:t>
            </w:r>
          </w:p>
        </w:tc>
      </w:tr>
    </w:tbl>
    <w:p>
      <w:pPr>
        <w:pStyle w:val="Heading1"/>
        <w:pBdr>
          <w:bottom w:val="single" w:sz="8" w:space="4" w:color="D9E1F2"/>
        </w:pBdr>
      </w:pPr>
      <w:r>
        <w:t>30-second summary if someone asks “what does the probability model do?”</w:t>
      </w:r>
    </w:p>
    <w:p>
      <w:pPr>
        <w:pStyle w:val="TalkTrack"/>
      </w:pPr>
      <w:r>
        <w:t>“It is a conditional severity model, not a bubble-timing model. I take 21 historical qualifying crash episodes, map continuous drawdowns into the five fixed stress regions in log-loss space, fit four parsimonious severity distributions, and model-average them using AICc because the sample is small. That gives conditional weights of roughly 1%, 47%, 38%, 12% and 2%. Those weights tell us how severity is distributed if a burst occurs; they do not estimate the probability that a burst occurs.”</w:t>
      </w:r>
    </w:p>
    <w:p>
      <w:pPr>
        <w:spacing w:before="160"/>
      </w:pPr>
      <w:r>
        <w:rPr>
          <w:b/>
        </w:rPr>
        <w:t xml:space="preserve">Source note: </w:t>
      </w:r>
      <w:r>
        <w:t>Historical burst sample and ≥40% crash definition follow Greenwood, Shleifer and You (2019). Probability-method details and values match the V5 probability-model slides and technical note.</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AI Bubble Theory V5 — Probability Model Speaker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lkTrack">
    <w:name w:val="Talk Track"/>
    <w:pPr>
      <w:spacing w:after="120" w:line="252" w:lineRule="auto"/>
      <w:ind w:left="173" w:right="115"/>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Bubble Theory V5 Probability Model Speaker Script</dc:title>
  <dc:subject>Speaker notes for probability-model backup slides 11–13</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