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sz w:val="34"/>
        </w:rPr>
        <w:t>TPIA Ownership Update</w:t>
      </w:r>
    </w:p>
    <w:p>
      <w:pPr>
        <w:spacing w:after="160"/>
      </w:pPr>
      <w:r>
        <w:rPr>
          <w:i/>
          <w:sz w:val="18"/>
        </w:rPr>
        <w:t>What matters | 31 May to 17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BOTTOM LINE: </w:t>
            </w:r>
            <w:r>
              <w:rPr>
                <w:sz w:val="20"/>
              </w:rPr>
              <w:t>SCG Chemicals halved its TPIA stake from 30.57% to 15.71% in early June. The released block largely moved into free float, which jumped from 10.56% to 25.41%. Control did not change, and no further material ownership move was identified through 17 August.</w:t>
            </w:r>
          </w:p>
        </w:tc>
      </w:tr>
    </w:tbl>
    <w:p>
      <w:pPr>
        <w:spacing w:after="0" w:before="0"/>
      </w:pPr>
    </w:p>
    <w:p>
      <w:pPr>
        <w:spacing w:after="80"/>
        <w:ind w:left="216" w:hanging="216"/>
      </w:pPr>
      <w:r>
        <w:rPr>
          <w:b/>
        </w:rPr>
        <w:t xml:space="preserve">• The transaction: </w:t>
      </w:r>
      <w:r>
        <w:t>SCG sold 12.86bn TPIA shares, reducing its stake by 14.86 percentage points. This was the only material strategic-holder change found.</w:t>
      </w:r>
    </w:p>
    <w:p>
      <w:pPr>
        <w:spacing w:after="80"/>
        <w:ind w:left="216" w:hanging="216"/>
      </w:pPr>
      <w:r>
        <w:rPr>
          <w:b/>
        </w:rPr>
        <w:t xml:space="preserve">• Market impact: </w:t>
      </w:r>
      <w:r>
        <w:t>Free float rose by 12.85bn shares to 25.41%, almost exactly matching SCG's reduction. Reported shareholder count rose from 38,456 to 110,840. The practical read-through is a much broader and potentially more liquid shareholder base.</w:t>
      </w:r>
    </w:p>
    <w:p>
      <w:pPr>
        <w:spacing w:after="80"/>
        <w:ind w:left="216" w:hanging="216"/>
      </w:pPr>
      <w:r>
        <w:rPr>
          <w:b/>
        </w:rPr>
        <w:t xml:space="preserve">• Control / strategic alignment: </w:t>
      </w:r>
      <w:r>
        <w:t>Barito Pacific remained at 34.63%, Top Investment at 15.00% and Prajogo Pangestu directly at 5.03%. SCG remains a major strategic shareholder at 15.71%, so this looks like a monetisation/rebalancing rather than an exit or change of control.</w:t>
      </w:r>
    </w:p>
    <w:p>
      <w:pPr>
        <w:spacing w:after="80"/>
        <w:ind w:left="216" w:hanging="216"/>
      </w:pPr>
      <w:r>
        <w:rPr>
          <w:b/>
        </w:rPr>
        <w:t xml:space="preserve">• Who absorbed the shares?: </w:t>
      </w:r>
      <w:r>
        <w:t>Bangkok Bank was reported at 4.99% by end-June versus 1.70% at end-March, while Marigold Resources was at 3.92%. However, the May registry aggregates sub-5% holders, so we cannot conclusively attribute SCG's block to specific buyers.</w:t>
      </w:r>
    </w:p>
    <w:p>
      <w:pPr>
        <w:spacing w:after="80"/>
        <w:ind w:left="216" w:hanging="216"/>
      </w:pPr>
      <w:r>
        <w:rPr>
          <w:b/>
        </w:rPr>
        <w:t xml:space="preserve">• What to watch: </w:t>
      </w:r>
      <w:r>
        <w:t>The key forward question is whether SCG intends any further sell-down from its remaining 15.71% stake. There is no evidence of another material ownership change after June in the disclosures reviewed through 17 August.</w:t>
      </w:r>
    </w:p>
    <w:p>
      <w:pPr>
        <w:spacing w:before="60" w:after="60"/>
      </w:pPr>
      <w:r>
        <w:rPr>
          <w:b/>
          <w:sz w:val="21"/>
        </w:rPr>
        <w:t>Key ownership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384"/>
            <w:shd w:fill="D9E2F3"/>
          </w:tcPr>
          <w:p>
            <w:r>
              <w:rPr>
                <w:b/>
                <w:sz w:val="17"/>
              </w:rPr>
              <w:t>Holder / metric</w:t>
            </w:r>
          </w:p>
        </w:tc>
        <w:tc>
          <w:tcPr>
            <w:tcW w:type="dxa" w:w="1656"/>
            <w:shd w:fill="D9E2F3"/>
          </w:tcPr>
          <w:p>
            <w:r>
              <w:rPr>
                <w:b/>
                <w:sz w:val="17"/>
              </w:rPr>
              <w:t>31 May</w:t>
            </w:r>
          </w:p>
        </w:tc>
        <w:tc>
          <w:tcPr>
            <w:tcW w:type="dxa" w:w="1656"/>
            <w:shd w:fill="D9E2F3"/>
          </w:tcPr>
          <w:p>
            <w:r>
              <w:rPr>
                <w:b/>
                <w:sz w:val="17"/>
              </w:rPr>
              <w:t>30 Jun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SCG Chemicals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30.57%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15.71%</w:t>
            </w:r>
          </w:p>
        </w:tc>
        <w:tc>
          <w:tcPr>
            <w:tcW w:type="dxa" w:w="2088"/>
          </w:tcPr>
          <w:p>
            <w:r>
              <w:rPr>
                <w:sz w:val="17"/>
              </w:rPr>
              <w:t>-14.86 pp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Barito Pacific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34.63%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34.63%</w:t>
            </w:r>
          </w:p>
        </w:tc>
        <w:tc>
          <w:tcPr>
            <w:tcW w:type="dxa" w:w="2088"/>
          </w:tcPr>
          <w:p>
            <w:r>
              <w:rPr>
                <w:sz w:val="17"/>
              </w:rPr>
              <w:t>Unchanged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Top Investment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15.00%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15.00%</w:t>
            </w:r>
          </w:p>
        </w:tc>
        <w:tc>
          <w:tcPr>
            <w:tcW w:type="dxa" w:w="2088"/>
          </w:tcPr>
          <w:p>
            <w:r>
              <w:rPr>
                <w:sz w:val="17"/>
              </w:rPr>
              <w:t>Unchanged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Prajogo Pangestu (direct)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5.03%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5.03%</w:t>
            </w:r>
          </w:p>
        </w:tc>
        <w:tc>
          <w:tcPr>
            <w:tcW w:type="dxa" w:w="2088"/>
          </w:tcPr>
          <w:p>
            <w:r>
              <w:rPr>
                <w:sz w:val="17"/>
              </w:rPr>
              <w:t>Unchanged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Regulatory free float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10.56%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25.41%</w:t>
            </w:r>
          </w:p>
        </w:tc>
        <w:tc>
          <w:tcPr>
            <w:tcW w:type="dxa" w:w="2088"/>
          </w:tcPr>
          <w:p>
            <w:r>
              <w:rPr>
                <w:sz w:val="17"/>
              </w:rPr>
              <w:t>+14.85 pp</w:t>
            </w:r>
          </w:p>
        </w:tc>
      </w:tr>
    </w:tbl>
    <w:p>
      <w:pPr>
        <w:spacing w:before="140" w:after="40"/>
      </w:pPr>
      <w:r>
        <w:rPr>
          <w:b/>
          <w:sz w:val="21"/>
        </w:rPr>
        <w:t>Manager read-through</w:t>
      </w:r>
    </w:p>
    <w:p>
      <w:pPr>
        <w:spacing w:after="60"/>
      </w:pPr>
      <w:r>
        <w:rPr>
          <w:b w:val="0"/>
        </w:rPr>
        <w:t xml:space="preserve">This is primarily a </w:t>
      </w:r>
      <w:r>
        <w:rPr>
          <w:b/>
        </w:rPr>
        <w:t>large strategic-holder sell-down / float-expansion story</w:t>
      </w:r>
      <w:r>
        <w:t>, not a change-of-control story. For transaction monitoring, the remaining 15.71% SCG stake is the most relevant potential future overhang / monetisation pool to watch.</w:t>
      </w:r>
    </w:p>
    <w:p>
      <w:pPr>
        <w:spacing w:before="120" w:after="0"/>
      </w:pPr>
      <w:r>
        <w:rPr>
          <w:b/>
          <w:sz w:val="15"/>
        </w:rPr>
        <w:t xml:space="preserve">Source note: </w:t>
      </w:r>
      <w:r>
        <w:rPr>
          <w:sz w:val="15"/>
        </w:rPr>
        <w:t>IDX-originated monthly ownership disclosures, Chandra Asri investor-relations materials and ownership-change notices reviewed through 17 Aug 2026. Latest fully verified month-end ownership snapshot: 30 Jun 2026.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>TPIA | Manager Summary | 17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