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1F4E79"/>
          <w:sz w:val="40"/>
        </w:rPr>
        <w:t>Alibaba: Execution of the US$25bn Buyback Upsize Announced in 2024</w:t>
      </w:r>
    </w:p>
    <w:p>
      <w:pPr>
        <w:spacing w:after="160"/>
      </w:pPr>
      <w:r>
        <w:rPr>
          <w:rFonts w:ascii="Aptos" w:hAnsi="Aptos"/>
          <w:b/>
          <w:color w:val="505050"/>
          <w:sz w:val="21"/>
        </w:rPr>
        <w:t>As of 20 August 2026</w:t>
      </w:r>
    </w:p>
    <w:tbl>
      <w:tblPr>
        <w:tblW w:type="auto" w:w="0"/>
        <w:jc w:val="center"/>
        <w:tblLayout w:type="fixed"/>
        <w:tblLook w:firstColumn="1" w:firstRow="1" w:lastColumn="0" w:lastRow="0" w:noHBand="0" w:noVBand="1" w:val="04A0"/>
      </w:tblPr>
      <w:tblGrid>
        <w:gridCol w:w="9936"/>
      </w:tblGrid>
      <w:tr>
        <w:trPr>
          <w:cantSplit/>
        </w:trPr>
        <w:tc>
          <w:tcPr>
            <w:tcW w:type="dxa" w:w="10080"/>
            <w:shd w:fill="EAF2F8"/>
            <w:tcMar>
              <w:top w:w="140" w:type="dxa"/>
              <w:start w:w="150" w:type="dxa"/>
              <w:bottom w:w="140" w:type="dxa"/>
              <w:end w:w="150" w:type="dxa"/>
            </w:tcMar>
          </w:tcPr>
          <w:p>
            <w:pPr>
              <w:spacing w:after="60"/>
            </w:pPr>
            <w:r>
              <w:rPr>
                <w:rFonts w:ascii="Aptos" w:hAnsi="Aptos"/>
                <w:b/>
                <w:color w:val="1F4E79"/>
                <w:sz w:val="22"/>
              </w:rPr>
              <w:t>Conclusion: ~US$6.3bn of the incremental US$25bn authorization has effectively been used (~25%), leaving ~US$18.7bn (~75%).</w:t>
            </w:r>
          </w:p>
          <w:p>
            <w:pPr>
              <w:spacing w:after="0"/>
            </w:pPr>
            <w:r>
              <w:rPr>
                <w:rFonts w:ascii="Aptos" w:hAnsi="Aptos"/>
                <w:color w:val="464646"/>
                <w:sz w:val="17"/>
              </w:rPr>
              <w:t>Alibaba itself does not separately tag repurchases to the pre-existing authorization versus the February 2024 incremental tranche. The US$6.3bn figure is therefore a derived “legacy capacity first” / FIFO interpretation, not a number separately reported by Alibaba.</w:t>
            </w:r>
          </w:p>
        </w:tc>
      </w:tr>
    </w:tbl>
    <w:p>
      <w:pPr>
        <w:pStyle w:val="Heading1"/>
      </w:pPr>
      <w:r>
        <w:t>1. Why the headline “US$25bn buyback” needs adjustment</w:t>
      </w:r>
    </w:p>
    <w:p>
      <w:r>
        <w:rPr>
          <w:rFonts w:ascii="Aptos" w:hAnsi="Aptos"/>
        </w:rPr>
        <w:t xml:space="preserve">On 7 February 2024, Alibaba did not launch a standalone US$25bn program. Its board </w:t>
      </w:r>
      <w:r>
        <w:rPr>
          <w:rFonts w:ascii="Aptos" w:hAnsi="Aptos"/>
          <w:b/>
        </w:rPr>
        <w:t>increased</w:t>
      </w:r>
      <w:r>
        <w:rPr>
          <w:rFonts w:ascii="Aptos" w:hAnsi="Aptos"/>
        </w:rPr>
        <w:t xml:space="preserve"> the existing share repurchase program by US$25bn through March 2027. Alibaba stated that, after the increase, it had </w:t>
      </w:r>
      <w:r>
        <w:rPr>
          <w:rFonts w:ascii="Aptos" w:hAnsi="Aptos"/>
          <w:b/>
        </w:rPr>
        <w:t>US$35.3bn available</w:t>
      </w:r>
      <w:r>
        <w:rPr>
          <w:rFonts w:ascii="Aptos" w:hAnsi="Aptos"/>
        </w:rPr>
        <w:t xml:space="preserve"> under the program. [1]</w:t>
      </w:r>
    </w:p>
    <w:p>
      <w:pPr>
        <w:jc w:val="center"/>
      </w:pPr>
      <w:r>
        <w:rPr>
          <w:rFonts w:ascii="Aptos" w:hAnsi="Aptos"/>
          <w:b/>
          <w:color w:val="1F4E79"/>
          <w:sz w:val="20"/>
        </w:rPr>
        <w:t>Pre-existing unused capacity = US$35.3bn − US$25.0bn = US$10.3bn</w:t>
      </w:r>
    </w:p>
    <w:p>
      <w:r>
        <w:rPr>
          <w:rFonts w:ascii="Aptos" w:hAnsi="Aptos"/>
        </w:rPr>
        <w:t>Therefore, the first approximately US$10.3bn of subsequent repurchases can be viewed as consuming the legacy authorization. Only repurchases beyond that amount economically consume the incremental US$25bn tranche. This is an analytical convention; Alibaba reports one combined authorization balance.</w:t>
      </w:r>
    </w:p>
    <w:p>
      <w:pPr>
        <w:pStyle w:val="Heading1"/>
      </w:pPr>
      <w:r>
        <w:t>2. Latest reported authorization balance and subsequent purchases</w:t>
      </w:r>
    </w:p>
    <w:p>
      <w:r>
        <w:rPr>
          <w:rFonts w:ascii="Aptos" w:hAnsi="Aptos"/>
        </w:rPr>
        <w:t xml:space="preserve">Alibaba reported that the remaining board authorization was </w:t>
      </w:r>
      <w:r>
        <w:rPr>
          <w:rFonts w:ascii="Aptos" w:hAnsi="Aptos"/>
          <w:b/>
        </w:rPr>
        <w:t>US$19.1bn as of 30 September 2025</w:t>
      </w:r>
      <w:r>
        <w:rPr>
          <w:rFonts w:ascii="Aptos" w:hAnsi="Aptos"/>
        </w:rPr>
        <w:t>, effective through March 2027. [2]</w:t>
      </w:r>
    </w:p>
    <w:p>
      <w:r>
        <w:rPr>
          <w:rFonts w:ascii="Aptos" w:hAnsi="Aptos"/>
        </w:rPr>
        <w:t>Alibaba’s FY2026 annual report shows US$1.046bn of repurchases during the year ended 31 March 2026, all occurring from April through August 2025. It reports no other purchases during that fiscal year, supporting that there were no additional buybacks from September 2025 through March 2026. [3]</w:t>
      </w:r>
    </w:p>
    <w:p>
      <w:r>
        <w:rPr>
          <w:rFonts w:ascii="Aptos" w:hAnsi="Aptos"/>
        </w:rPr>
        <w:t xml:space="preserve">Alibaba restarted repurchases on 22 June 2026. Summing the aggregate purchase consideration disclosed in the official next-day disclosure returns from 22 June through 9 July gives </w:t>
      </w:r>
      <w:r>
        <w:rPr>
          <w:rFonts w:ascii="Aptos" w:hAnsi="Aptos"/>
          <w:b/>
        </w:rPr>
        <w:t>US$383,438,673.13</w:t>
      </w:r>
      <w:r>
        <w:rPr>
          <w:rFonts w:ascii="Aptos" w:hAnsi="Aptos"/>
        </w:rPr>
        <w:t xml:space="preserve"> for 31,333,832 ordinary shares. [4]–[6] The 31 July monthly return, filed on 6 August, confirms that 31,333,832 repurchased shares had been cancelled during July. [7]</w:t>
      </w:r>
    </w:p>
    <w:p>
      <w:pPr>
        <w:pStyle w:val="Heading1"/>
      </w:pPr>
      <w:r>
        <w:t>3. Calculation</w:t>
      </w:r>
    </w:p>
    <w:tbl>
      <w:tblPr>
        <w:tblStyle w:val="TableGrid"/>
        <w:tblW w:type="auto" w:w="0"/>
        <w:jc w:val="center"/>
        <w:tblLayout w:type="fixed"/>
        <w:tblLook w:firstColumn="1" w:firstRow="1" w:lastColumn="0" w:lastRow="0" w:noHBand="0" w:noVBand="1" w:val="04A0"/>
      </w:tblPr>
      <w:tblGrid>
        <w:gridCol w:w="6552"/>
        <w:gridCol w:w="1728"/>
        <w:gridCol w:w="1584"/>
      </w:tblGrid>
      <w:tr>
        <w:trPr>
          <w:tblHeader w:val="true"/>
          <w:cantSplit/>
        </w:trPr>
        <w:tc>
          <w:tcPr>
            <w:tcW w:type="dxa" w:w="3360"/>
            <w:shd w:fill="D9EAF7"/>
            <w:tcMar>
              <w:top w:w="80" w:type="dxa"/>
              <w:start w:w="80" w:type="dxa"/>
              <w:bottom w:w="80" w:type="dxa"/>
              <w:end w:w="80" w:type="dxa"/>
            </w:tcMar>
          </w:tcPr>
          <w:p>
            <w:r>
              <w:rPr>
                <w:rFonts w:ascii="Aptos" w:hAnsi="Aptos"/>
                <w:b/>
                <w:color w:val="1F4E79"/>
                <w:sz w:val="17"/>
              </w:rPr>
              <w:t>Step</w:t>
            </w:r>
          </w:p>
        </w:tc>
        <w:tc>
          <w:tcPr>
            <w:tcW w:type="dxa" w:w="3360"/>
            <w:shd w:fill="D9EAF7"/>
            <w:tcMar>
              <w:top w:w="80" w:type="dxa"/>
              <w:start w:w="80" w:type="dxa"/>
              <w:bottom w:w="80" w:type="dxa"/>
              <w:end w:w="80" w:type="dxa"/>
            </w:tcMar>
          </w:tcPr>
          <w:p>
            <w:r>
              <w:rPr>
                <w:rFonts w:ascii="Aptos" w:hAnsi="Aptos"/>
                <w:b/>
                <w:color w:val="1F4E79"/>
                <w:sz w:val="17"/>
              </w:rPr>
              <w:t>US$bn</w:t>
            </w:r>
          </w:p>
        </w:tc>
        <w:tc>
          <w:tcPr>
            <w:tcW w:type="dxa" w:w="3360"/>
            <w:shd w:fill="D9EAF7"/>
            <w:tcMar>
              <w:top w:w="80" w:type="dxa"/>
              <w:start w:w="80" w:type="dxa"/>
              <w:bottom w:w="80" w:type="dxa"/>
              <w:end w:w="80" w:type="dxa"/>
            </w:tcMar>
          </w:tcPr>
          <w:p>
            <w:r>
              <w:rPr>
                <w:rFonts w:ascii="Aptos" w:hAnsi="Aptos"/>
                <w:b/>
                <w:color w:val="1F4E79"/>
                <w:sz w:val="17"/>
              </w:rPr>
              <w:t>Source / status</w:t>
            </w:r>
          </w:p>
        </w:tc>
      </w:tr>
      <w:tr>
        <w:trPr>
          <w:cantSplit/>
        </w:trPr>
        <w:tc>
          <w:tcPr>
            <w:tcW w:type="dxa" w:w="6552"/>
            <w:tcMar>
              <w:top w:w="70" w:type="dxa"/>
              <w:start w:w="75" w:type="dxa"/>
              <w:bottom w:w="70" w:type="dxa"/>
              <w:end w:w="75" w:type="dxa"/>
            </w:tcMar>
            <w:vAlign w:val="center"/>
          </w:tcPr>
          <w:p>
            <w:r>
              <w:rPr>
                <w:rFonts w:ascii="Aptos" w:hAnsi="Aptos"/>
                <w:b w:val="0"/>
                <w:sz w:val="17"/>
              </w:rPr>
              <w:t>Total unused authorization immediately after Feb-2024 upsize</w:t>
            </w:r>
          </w:p>
        </w:tc>
        <w:tc>
          <w:tcPr>
            <w:tcW w:type="dxa" w:w="1728"/>
            <w:tcMar>
              <w:top w:w="70" w:type="dxa"/>
              <w:start w:w="75" w:type="dxa"/>
              <w:bottom w:w="70" w:type="dxa"/>
              <w:end w:w="75" w:type="dxa"/>
            </w:tcMar>
            <w:vAlign w:val="center"/>
          </w:tcPr>
          <w:p>
            <w:pPr>
              <w:jc w:val="right"/>
            </w:pPr>
            <w:r>
              <w:rPr>
                <w:rFonts w:ascii="Aptos" w:hAnsi="Aptos"/>
                <w:b w:val="0"/>
                <w:sz w:val="17"/>
              </w:rPr>
              <w:t>35.300</w:t>
            </w:r>
          </w:p>
        </w:tc>
        <w:tc>
          <w:tcPr>
            <w:tcW w:type="dxa" w:w="1584"/>
            <w:tcMar>
              <w:top w:w="70" w:type="dxa"/>
              <w:start w:w="75" w:type="dxa"/>
              <w:bottom w:w="70" w:type="dxa"/>
              <w:end w:w="75" w:type="dxa"/>
            </w:tcMar>
            <w:vAlign w:val="center"/>
          </w:tcPr>
          <w:p>
            <w:r>
              <w:rPr>
                <w:rFonts w:ascii="Aptos" w:hAnsi="Aptos"/>
                <w:b w:val="0"/>
                <w:sz w:val="17"/>
              </w:rPr>
              <w:t>Alibaba reported [1]</w:t>
            </w:r>
          </w:p>
        </w:tc>
      </w:tr>
      <w:tr>
        <w:trPr>
          <w:cantSplit/>
        </w:trPr>
        <w:tc>
          <w:tcPr>
            <w:tcW w:type="dxa" w:w="6552"/>
            <w:tcMar>
              <w:top w:w="70" w:type="dxa"/>
              <w:start w:w="75" w:type="dxa"/>
              <w:bottom w:w="70" w:type="dxa"/>
              <w:end w:w="75" w:type="dxa"/>
            </w:tcMar>
            <w:vAlign w:val="center"/>
          </w:tcPr>
          <w:p>
            <w:r>
              <w:rPr>
                <w:rFonts w:ascii="Aptos" w:hAnsi="Aptos"/>
                <w:b w:val="0"/>
                <w:sz w:val="17"/>
              </w:rPr>
              <w:t>Less: incremental authorization announced in Feb-2024</w:t>
            </w:r>
          </w:p>
        </w:tc>
        <w:tc>
          <w:tcPr>
            <w:tcW w:type="dxa" w:w="1728"/>
            <w:tcMar>
              <w:top w:w="70" w:type="dxa"/>
              <w:start w:w="75" w:type="dxa"/>
              <w:bottom w:w="70" w:type="dxa"/>
              <w:end w:w="75" w:type="dxa"/>
            </w:tcMar>
            <w:vAlign w:val="center"/>
          </w:tcPr>
          <w:p>
            <w:pPr>
              <w:jc w:val="right"/>
            </w:pPr>
            <w:r>
              <w:rPr>
                <w:rFonts w:ascii="Aptos" w:hAnsi="Aptos"/>
                <w:b w:val="0"/>
                <w:sz w:val="17"/>
              </w:rPr>
              <w:t>(25.000)</w:t>
            </w:r>
          </w:p>
        </w:tc>
        <w:tc>
          <w:tcPr>
            <w:tcW w:type="dxa" w:w="1584"/>
            <w:tcMar>
              <w:top w:w="70" w:type="dxa"/>
              <w:start w:w="75" w:type="dxa"/>
              <w:bottom w:w="70" w:type="dxa"/>
              <w:end w:w="75" w:type="dxa"/>
            </w:tcMar>
            <w:vAlign w:val="center"/>
          </w:tcPr>
          <w:p>
            <w:r>
              <w:rPr>
                <w:rFonts w:ascii="Aptos" w:hAnsi="Aptos"/>
                <w:b w:val="0"/>
                <w:sz w:val="17"/>
              </w:rPr>
              <w:t>Alibaba reported [1]</w:t>
            </w:r>
          </w:p>
        </w:tc>
      </w:tr>
      <w:tr>
        <w:trPr>
          <w:cantSplit/>
        </w:trPr>
        <w:tc>
          <w:tcPr>
            <w:tcW w:type="dxa" w:w="6552"/>
            <w:tcMar>
              <w:top w:w="70" w:type="dxa"/>
              <w:start w:w="75" w:type="dxa"/>
              <w:bottom w:w="70" w:type="dxa"/>
              <w:end w:w="75" w:type="dxa"/>
            </w:tcMar>
            <w:vAlign w:val="center"/>
          </w:tcPr>
          <w:p>
            <w:r>
              <w:rPr>
                <w:rFonts w:ascii="Aptos" w:hAnsi="Aptos"/>
                <w:b w:val="0"/>
                <w:sz w:val="17"/>
              </w:rPr>
              <w:t>Implied pre-existing unused authorization</w:t>
            </w:r>
          </w:p>
        </w:tc>
        <w:tc>
          <w:tcPr>
            <w:tcW w:type="dxa" w:w="1728"/>
            <w:tcMar>
              <w:top w:w="70" w:type="dxa"/>
              <w:start w:w="75" w:type="dxa"/>
              <w:bottom w:w="70" w:type="dxa"/>
              <w:end w:w="75" w:type="dxa"/>
            </w:tcMar>
            <w:vAlign w:val="center"/>
          </w:tcPr>
          <w:p>
            <w:pPr>
              <w:jc w:val="right"/>
            </w:pPr>
            <w:r>
              <w:rPr>
                <w:rFonts w:ascii="Aptos" w:hAnsi="Aptos"/>
                <w:b w:val="0"/>
                <w:sz w:val="17"/>
              </w:rPr>
              <w:t>10.300</w:t>
            </w:r>
          </w:p>
        </w:tc>
        <w:tc>
          <w:tcPr>
            <w:tcW w:type="dxa" w:w="1584"/>
            <w:tcMar>
              <w:top w:w="70" w:type="dxa"/>
              <w:start w:w="75" w:type="dxa"/>
              <w:bottom w:w="70" w:type="dxa"/>
              <w:end w:w="75" w:type="dxa"/>
            </w:tcMar>
            <w:vAlign w:val="center"/>
          </w:tcPr>
          <w:p>
            <w:r>
              <w:rPr>
                <w:rFonts w:ascii="Aptos" w:hAnsi="Aptos"/>
                <w:b w:val="0"/>
                <w:sz w:val="17"/>
              </w:rPr>
              <w:t>Derived</w:t>
            </w:r>
          </w:p>
        </w:tc>
      </w:tr>
      <w:tr>
        <w:trPr>
          <w:cantSplit/>
        </w:trPr>
        <w:tc>
          <w:tcPr>
            <w:tcW w:type="dxa" w:w="6552"/>
            <w:tcMar>
              <w:top w:w="70" w:type="dxa"/>
              <w:start w:w="75" w:type="dxa"/>
              <w:bottom w:w="70" w:type="dxa"/>
              <w:end w:w="75" w:type="dxa"/>
            </w:tcMar>
            <w:vAlign w:val="center"/>
          </w:tcPr>
          <w:p>
            <w:r>
              <w:rPr>
                <w:rFonts w:ascii="Aptos" w:hAnsi="Aptos"/>
                <w:b w:val="0"/>
                <w:sz w:val="17"/>
              </w:rPr>
              <w:t>Reported remaining authorization at 30-Sep-2025</w:t>
            </w:r>
          </w:p>
        </w:tc>
        <w:tc>
          <w:tcPr>
            <w:tcW w:type="dxa" w:w="1728"/>
            <w:tcMar>
              <w:top w:w="70" w:type="dxa"/>
              <w:start w:w="75" w:type="dxa"/>
              <w:bottom w:w="70" w:type="dxa"/>
              <w:end w:w="75" w:type="dxa"/>
            </w:tcMar>
            <w:vAlign w:val="center"/>
          </w:tcPr>
          <w:p>
            <w:pPr>
              <w:jc w:val="right"/>
            </w:pPr>
            <w:r>
              <w:rPr>
                <w:rFonts w:ascii="Aptos" w:hAnsi="Aptos"/>
                <w:b w:val="0"/>
                <w:sz w:val="17"/>
              </w:rPr>
              <w:t>19.100</w:t>
            </w:r>
          </w:p>
        </w:tc>
        <w:tc>
          <w:tcPr>
            <w:tcW w:type="dxa" w:w="1584"/>
            <w:tcMar>
              <w:top w:w="70" w:type="dxa"/>
              <w:start w:w="75" w:type="dxa"/>
              <w:bottom w:w="70" w:type="dxa"/>
              <w:end w:w="75" w:type="dxa"/>
            </w:tcMar>
            <w:vAlign w:val="center"/>
          </w:tcPr>
          <w:p>
            <w:r>
              <w:rPr>
                <w:rFonts w:ascii="Aptos" w:hAnsi="Aptos"/>
                <w:b w:val="0"/>
                <w:sz w:val="17"/>
              </w:rPr>
              <w:t>Alibaba reported [2]</w:t>
            </w:r>
          </w:p>
        </w:tc>
      </w:tr>
      <w:tr>
        <w:trPr>
          <w:cantSplit/>
        </w:trPr>
        <w:tc>
          <w:tcPr>
            <w:tcW w:type="dxa" w:w="6552"/>
            <w:tcMar>
              <w:top w:w="70" w:type="dxa"/>
              <w:start w:w="75" w:type="dxa"/>
              <w:bottom w:w="70" w:type="dxa"/>
              <w:end w:w="75" w:type="dxa"/>
            </w:tcMar>
            <w:vAlign w:val="center"/>
          </w:tcPr>
          <w:p>
            <w:r>
              <w:rPr>
                <w:rFonts w:ascii="Aptos" w:hAnsi="Aptos"/>
                <w:b w:val="0"/>
                <w:sz w:val="17"/>
              </w:rPr>
              <w:t>Less: repurchases from 22-Jun to 9-Jul-2026</w:t>
            </w:r>
          </w:p>
        </w:tc>
        <w:tc>
          <w:tcPr>
            <w:tcW w:type="dxa" w:w="1728"/>
            <w:tcMar>
              <w:top w:w="70" w:type="dxa"/>
              <w:start w:w="75" w:type="dxa"/>
              <w:bottom w:w="70" w:type="dxa"/>
              <w:end w:w="75" w:type="dxa"/>
            </w:tcMar>
            <w:vAlign w:val="center"/>
          </w:tcPr>
          <w:p>
            <w:pPr>
              <w:jc w:val="right"/>
            </w:pPr>
            <w:r>
              <w:rPr>
                <w:rFonts w:ascii="Aptos" w:hAnsi="Aptos"/>
                <w:b w:val="0"/>
                <w:sz w:val="17"/>
              </w:rPr>
              <w:t>(0.383)</w:t>
            </w:r>
          </w:p>
        </w:tc>
        <w:tc>
          <w:tcPr>
            <w:tcW w:type="dxa" w:w="1584"/>
            <w:tcMar>
              <w:top w:w="70" w:type="dxa"/>
              <w:start w:w="75" w:type="dxa"/>
              <w:bottom w:w="70" w:type="dxa"/>
              <w:end w:w="75" w:type="dxa"/>
            </w:tcMar>
            <w:vAlign w:val="center"/>
          </w:tcPr>
          <w:p>
            <w:r>
              <w:rPr>
                <w:rFonts w:ascii="Aptos" w:hAnsi="Aptos"/>
                <w:b w:val="0"/>
                <w:sz w:val="17"/>
              </w:rPr>
              <w:t>Official filings [4]–[6]</w:t>
            </w:r>
          </w:p>
        </w:tc>
      </w:tr>
      <w:tr>
        <w:trPr>
          <w:cantSplit/>
        </w:trPr>
        <w:tc>
          <w:tcPr>
            <w:tcW w:type="dxa" w:w="6552"/>
            <w:tcMar>
              <w:top w:w="70" w:type="dxa"/>
              <w:start w:w="75" w:type="dxa"/>
              <w:bottom w:w="70" w:type="dxa"/>
              <w:end w:w="75" w:type="dxa"/>
            </w:tcMar>
            <w:vAlign w:val="center"/>
            <w:shd w:fill="F4F8FB"/>
          </w:tcPr>
          <w:p>
            <w:r>
              <w:rPr>
                <w:rFonts w:ascii="Aptos" w:hAnsi="Aptos"/>
                <w:b/>
                <w:sz w:val="17"/>
              </w:rPr>
              <w:t>Estimated authorization remaining at 20-Aug-2026</w:t>
            </w:r>
          </w:p>
        </w:tc>
        <w:tc>
          <w:tcPr>
            <w:tcW w:type="dxa" w:w="1728"/>
            <w:tcMar>
              <w:top w:w="70" w:type="dxa"/>
              <w:start w:w="75" w:type="dxa"/>
              <w:bottom w:w="70" w:type="dxa"/>
              <w:end w:w="75" w:type="dxa"/>
            </w:tcMar>
            <w:vAlign w:val="center"/>
            <w:shd w:fill="F4F8FB"/>
          </w:tcPr>
          <w:p>
            <w:pPr>
              <w:jc w:val="right"/>
            </w:pPr>
            <w:r>
              <w:rPr>
                <w:rFonts w:ascii="Aptos" w:hAnsi="Aptos"/>
                <w:b/>
                <w:sz w:val="17"/>
              </w:rPr>
              <w:t>18.717</w:t>
            </w:r>
          </w:p>
        </w:tc>
        <w:tc>
          <w:tcPr>
            <w:tcW w:type="dxa" w:w="1584"/>
            <w:tcMar>
              <w:top w:w="70" w:type="dxa"/>
              <w:start w:w="75" w:type="dxa"/>
              <w:bottom w:w="70" w:type="dxa"/>
              <w:end w:w="75" w:type="dxa"/>
            </w:tcMar>
            <w:vAlign w:val="center"/>
            <w:shd w:fill="F4F8FB"/>
          </w:tcPr>
          <w:p>
            <w:r>
              <w:rPr>
                <w:rFonts w:ascii="Aptos" w:hAnsi="Aptos"/>
                <w:b/>
                <w:sz w:val="17"/>
              </w:rPr>
              <w:t>Derived</w:t>
            </w:r>
          </w:p>
        </w:tc>
      </w:tr>
      <w:tr>
        <w:trPr>
          <w:cantSplit/>
        </w:trPr>
        <w:tc>
          <w:tcPr>
            <w:tcW w:type="dxa" w:w="6552"/>
            <w:tcMar>
              <w:top w:w="70" w:type="dxa"/>
              <w:start w:w="75" w:type="dxa"/>
              <w:bottom w:w="70" w:type="dxa"/>
              <w:end w:w="75" w:type="dxa"/>
            </w:tcMar>
            <w:vAlign w:val="center"/>
            <w:shd w:fill="F4F8FB"/>
          </w:tcPr>
          <w:p>
            <w:r>
              <w:rPr>
                <w:rFonts w:ascii="Aptos" w:hAnsi="Aptos"/>
                <w:b/>
                <w:sz w:val="17"/>
              </w:rPr>
              <w:t>Incremental US$25bn effectively consumed: 25.000 − 18.717</w:t>
            </w:r>
          </w:p>
        </w:tc>
        <w:tc>
          <w:tcPr>
            <w:tcW w:type="dxa" w:w="1728"/>
            <w:tcMar>
              <w:top w:w="70" w:type="dxa"/>
              <w:start w:w="75" w:type="dxa"/>
              <w:bottom w:w="70" w:type="dxa"/>
              <w:end w:w="75" w:type="dxa"/>
            </w:tcMar>
            <w:vAlign w:val="center"/>
            <w:shd w:fill="F4F8FB"/>
          </w:tcPr>
          <w:p>
            <w:pPr>
              <w:jc w:val="right"/>
            </w:pPr>
            <w:r>
              <w:rPr>
                <w:rFonts w:ascii="Aptos" w:hAnsi="Aptos"/>
                <w:b/>
                <w:sz w:val="17"/>
              </w:rPr>
              <w:t>6.283</w:t>
            </w:r>
          </w:p>
        </w:tc>
        <w:tc>
          <w:tcPr>
            <w:tcW w:type="dxa" w:w="1584"/>
            <w:tcMar>
              <w:top w:w="70" w:type="dxa"/>
              <w:start w:w="75" w:type="dxa"/>
              <w:bottom w:w="70" w:type="dxa"/>
              <w:end w:w="75" w:type="dxa"/>
            </w:tcMar>
            <w:vAlign w:val="center"/>
            <w:shd w:fill="F4F8FB"/>
          </w:tcPr>
          <w:p>
            <w:r>
              <w:rPr>
                <w:rFonts w:ascii="Aptos" w:hAnsi="Aptos"/>
                <w:b/>
                <w:sz w:val="17"/>
              </w:rPr>
              <w:t>Derived</w:t>
            </w:r>
          </w:p>
        </w:tc>
      </w:tr>
      <w:tr>
        <w:trPr>
          <w:cantSplit/>
        </w:trPr>
        <w:tc>
          <w:tcPr>
            <w:tcW w:type="dxa" w:w="6552"/>
            <w:tcMar>
              <w:top w:w="70" w:type="dxa"/>
              <w:start w:w="75" w:type="dxa"/>
              <w:bottom w:w="70" w:type="dxa"/>
              <w:end w:w="75" w:type="dxa"/>
            </w:tcMar>
            <w:vAlign w:val="center"/>
            <w:shd w:fill="F4F8FB"/>
          </w:tcPr>
          <w:p>
            <w:r>
              <w:rPr>
                <w:rFonts w:ascii="Aptos" w:hAnsi="Aptos"/>
                <w:b/>
                <w:sz w:val="17"/>
              </w:rPr>
              <w:t>Execution percentage: 6.283 / 25.000</w:t>
            </w:r>
          </w:p>
        </w:tc>
        <w:tc>
          <w:tcPr>
            <w:tcW w:type="dxa" w:w="1728"/>
            <w:tcMar>
              <w:top w:w="70" w:type="dxa"/>
              <w:start w:w="75" w:type="dxa"/>
              <w:bottom w:w="70" w:type="dxa"/>
              <w:end w:w="75" w:type="dxa"/>
            </w:tcMar>
            <w:vAlign w:val="center"/>
            <w:shd w:fill="F4F8FB"/>
          </w:tcPr>
          <w:p>
            <w:pPr>
              <w:jc w:val="right"/>
            </w:pPr>
            <w:r>
              <w:rPr>
                <w:rFonts w:ascii="Aptos" w:hAnsi="Aptos"/>
                <w:b/>
                <w:sz w:val="17"/>
              </w:rPr>
              <w:t>25.1%</w:t>
            </w:r>
          </w:p>
        </w:tc>
        <w:tc>
          <w:tcPr>
            <w:tcW w:type="dxa" w:w="1584"/>
            <w:tcMar>
              <w:top w:w="70" w:type="dxa"/>
              <w:start w:w="75" w:type="dxa"/>
              <w:bottom w:w="70" w:type="dxa"/>
              <w:end w:w="75" w:type="dxa"/>
            </w:tcMar>
            <w:vAlign w:val="center"/>
            <w:shd w:fill="F4F8FB"/>
          </w:tcPr>
          <w:p>
            <w:r>
              <w:rPr>
                <w:rFonts w:ascii="Aptos" w:hAnsi="Aptos"/>
                <w:b/>
                <w:sz w:val="17"/>
              </w:rPr>
              <w:t>Derived</w:t>
            </w:r>
          </w:p>
        </w:tc>
      </w:tr>
    </w:tbl>
    <w:p>
      <w:pPr>
        <w:spacing w:before="100"/>
      </w:pPr>
      <w:r>
        <w:rPr>
          <w:rFonts w:ascii="Aptos" w:hAnsi="Aptos"/>
          <w:b/>
          <w:sz w:val="19"/>
        </w:rPr>
        <w:t xml:space="preserve">Rounded answer: </w:t>
      </w:r>
      <w:r>
        <w:rPr>
          <w:rFonts w:ascii="Aptos" w:hAnsi="Aptos"/>
          <w:b/>
          <w:color w:val="1F4E79"/>
          <w:sz w:val="19"/>
        </w:rPr>
        <w:t>~US$6.3bn of the incremental US$25bn has been executed, leaving ~US$18.7bn.</w:t>
      </w:r>
    </w:p>
    <w:p>
      <w:r>
        <w:rPr>
          <w:rFonts w:ascii="Aptos" w:hAnsi="Aptos"/>
          <w:i/>
          <w:color w:val="505050"/>
          <w:sz w:val="17"/>
        </w:rPr>
        <w:t>Precision note: Alibaba reports the US$19.1bn remaining balance rounded to one decimal place, so US$6.283bn should not be treated as exact to the nearest million. The appropriate external-facing figure is approximately US$6.3bn / 25%.</w:t>
      </w:r>
    </w:p>
    <w:p>
      <w:pPr>
        <w:pStyle w:val="Heading1"/>
      </w:pPr>
      <w:r>
        <w:t>4. What has been spent since the February 2024 upsize?</w:t>
      </w:r>
    </w:p>
    <w:p>
      <w:r>
        <w:rPr>
          <w:rFonts w:ascii="Aptos" w:hAnsi="Aptos"/>
        </w:rPr>
        <w:t>A different but also useful number is total repurchases against the combined program since the upsize. Using the same authorization-balance method:</w:t>
      </w:r>
    </w:p>
    <w:p>
      <w:pPr>
        <w:jc w:val="center"/>
      </w:pPr>
      <w:r>
        <w:rPr>
          <w:rFonts w:ascii="Aptos" w:hAnsi="Aptos"/>
          <w:b/>
          <w:color w:val="1F4E79"/>
          <w:sz w:val="20"/>
        </w:rPr>
        <w:t>US$35.3bn − US$18.717bn = ~US$16.6bn</w:t>
      </w:r>
    </w:p>
    <w:p>
      <w:r>
        <w:rPr>
          <w:rFonts w:ascii="Aptos" w:hAnsi="Aptos"/>
        </w:rPr>
        <w:t xml:space="preserve">Thus, approximately </w:t>
      </w:r>
      <w:r>
        <w:rPr>
          <w:rFonts w:ascii="Aptos" w:hAnsi="Aptos"/>
          <w:b/>
        </w:rPr>
        <w:t>US$16.6bn has been used from the combined authorization pool</w:t>
      </w:r>
      <w:r>
        <w:rPr>
          <w:rFonts w:ascii="Aptos" w:hAnsi="Aptos"/>
        </w:rPr>
        <w:t xml:space="preserve"> since the February 2024 upsize, while approximately </w:t>
      </w:r>
      <w:r>
        <w:rPr>
          <w:rFonts w:ascii="Aptos" w:hAnsi="Aptos"/>
          <w:b/>
        </w:rPr>
        <w:t>US$6.3bn</w:t>
      </w:r>
      <w:r>
        <w:rPr>
          <w:rFonts w:ascii="Aptos" w:hAnsi="Aptos"/>
        </w:rPr>
        <w:t xml:space="preserve"> represents the portion that exceeds the implied US$10.3bn legacy capacity and therefore effectively uses the new US$25bn tranche.</w:t>
      </w:r>
    </w:p>
    <w:p>
      <w:pPr>
        <w:pStyle w:val="Heading1"/>
      </w:pPr>
      <w:r>
        <w:t>5. Currentness check as of 20 August 2026</w:t>
      </w:r>
    </w:p>
    <w:p>
      <w:r>
        <w:rPr>
          <w:rFonts w:ascii="Aptos" w:hAnsi="Aptos"/>
        </w:rPr>
        <w:t>The HKEX filing index for Alibaba shows the latest “Next Day Disclosure Return – Share Buyback” dated 10 July 2026. Subsequent filings through 20 August include the July monthly return and other corporate announcements, but no later share-buyback disclosure. [7]–[8] Accordingly, there is no public filing evidence of additional repurchases after the 9 July trading-date purchase as of this research cutoff.</w:t>
      </w:r>
    </w:p>
    <w:p>
      <w:r>
        <w:rPr>
          <w:rFonts w:ascii="Aptos" w:hAnsi="Aptos"/>
          <w:i/>
          <w:color w:val="505050"/>
          <w:sz w:val="17"/>
        </w:rPr>
        <w:t>This memo intentionally uses only information publicly available by 20 August 2026 and does not incorporate any later results release or subsequent repurchase activity.</w:t>
      </w:r>
    </w:p>
    <w:p>
      <w:pPr>
        <w:pStyle w:val="Heading1"/>
      </w:pPr>
      <w:r>
        <w:t>6. Source trail</w:t>
      </w:r>
    </w:p>
    <w:p>
      <w:pPr>
        <w:spacing w:after="80"/>
        <w:ind w:left="216" w:hanging="216"/>
      </w:pPr>
      <w:r>
        <w:rPr>
          <w:rFonts w:ascii="Aptos" w:hAnsi="Aptos"/>
          <w:b/>
          <w:color w:val="1F4E79"/>
          <w:sz w:val="17"/>
        </w:rPr>
        <w:t xml:space="preserve">[1] </w:t>
      </w:r>
      <w:r>
        <w:rPr>
          <w:rFonts w:ascii="Aptos" w:hAnsi="Aptos"/>
          <w:b/>
          <w:sz w:val="17"/>
        </w:rPr>
        <w:t xml:space="preserve">Alibaba / SEC, Form 6-K Exhibit 99.1, 7 Feb 2024. </w:t>
      </w:r>
      <w:r>
        <w:rPr>
          <w:rFonts w:ascii="Aptos" w:hAnsi="Aptos"/>
          <w:sz w:val="17"/>
        </w:rPr>
        <w:t xml:space="preserve">Board approved a US$25bn increase; US$35.3bn available after the upsize. </w:t>
      </w:r>
      <w:hyperlink r:id="rId10">
        <w:r>
          <w:rPr>
            <w:color w:val="0563C1"/>
            <w:u w:val="single"/>
            <w:rFonts w:ascii="Aptos" w:hAnsi="Aptos"/>
            <w:sz w:val="18"/>
          </w:rPr>
          <w:t>Open source</w:t>
        </w:r>
      </w:hyperlink>
    </w:p>
    <w:p>
      <w:pPr>
        <w:spacing w:after="80"/>
        <w:ind w:left="216" w:hanging="216"/>
      </w:pPr>
      <w:r>
        <w:rPr>
          <w:rFonts w:ascii="Aptos" w:hAnsi="Aptos"/>
          <w:b/>
          <w:color w:val="1F4E79"/>
          <w:sz w:val="17"/>
        </w:rPr>
        <w:t xml:space="preserve">[2] </w:t>
      </w:r>
      <w:r>
        <w:rPr>
          <w:rFonts w:ascii="Aptos" w:hAnsi="Aptos"/>
          <w:b/>
          <w:sz w:val="17"/>
        </w:rPr>
        <w:t xml:space="preserve">Alibaba Group, Share Repurchase Update as of 30 Sep 2025, 2 Oct 2025. </w:t>
      </w:r>
      <w:r>
        <w:rPr>
          <w:rFonts w:ascii="Aptos" w:hAnsi="Aptos"/>
          <w:sz w:val="17"/>
        </w:rPr>
        <w:t xml:space="preserve">US$241m repurchased in the quarter; US$19.1bn remaining authorization. </w:t>
      </w:r>
      <w:hyperlink r:id="rId11">
        <w:r>
          <w:rPr>
            <w:color w:val="0563C1"/>
            <w:u w:val="single"/>
            <w:rFonts w:ascii="Aptos" w:hAnsi="Aptos"/>
            <w:sz w:val="18"/>
          </w:rPr>
          <w:t>Open source</w:t>
        </w:r>
      </w:hyperlink>
    </w:p>
    <w:p>
      <w:pPr>
        <w:spacing w:after="80"/>
        <w:ind w:left="216" w:hanging="216"/>
      </w:pPr>
      <w:r>
        <w:rPr>
          <w:rFonts w:ascii="Aptos" w:hAnsi="Aptos"/>
          <w:b/>
          <w:color w:val="1F4E79"/>
          <w:sz w:val="17"/>
        </w:rPr>
        <w:t xml:space="preserve">[3] </w:t>
      </w:r>
      <w:r>
        <w:rPr>
          <w:rFonts w:ascii="Aptos" w:hAnsi="Aptos"/>
          <w:b/>
          <w:sz w:val="17"/>
        </w:rPr>
        <w:t xml:space="preserve">Alibaba FY2026 Annual Report / SEC Exhibit 99.1. </w:t>
      </w:r>
      <w:r>
        <w:rPr>
          <w:rFonts w:ascii="Aptos" w:hAnsi="Aptos"/>
          <w:sz w:val="17"/>
        </w:rPr>
        <w:t xml:space="preserve">US$1.046bn repurchased in FY2026, with monthly purchases only from Apr–Aug 2025; no other FY2026 purchases. </w:t>
      </w:r>
      <w:hyperlink r:id="rId12">
        <w:r>
          <w:rPr>
            <w:color w:val="0563C1"/>
            <w:u w:val="single"/>
            <w:rFonts w:ascii="Aptos" w:hAnsi="Aptos"/>
            <w:sz w:val="18"/>
          </w:rPr>
          <w:t>Open source</w:t>
        </w:r>
      </w:hyperlink>
    </w:p>
    <w:p>
      <w:pPr>
        <w:spacing w:after="80"/>
        <w:ind w:left="216" w:hanging="216"/>
      </w:pPr>
      <w:r>
        <w:rPr>
          <w:rFonts w:ascii="Aptos" w:hAnsi="Aptos"/>
          <w:b/>
          <w:color w:val="1F4E79"/>
          <w:sz w:val="17"/>
        </w:rPr>
        <w:t xml:space="preserve">[4] </w:t>
      </w:r>
      <w:r>
        <w:rPr>
          <w:rFonts w:ascii="Aptos" w:hAnsi="Aptos"/>
          <w:b/>
          <w:sz w:val="17"/>
        </w:rPr>
        <w:t xml:space="preserve">Alibaba / SEC, 6-K filed 26 Jun 2026. </w:t>
      </w:r>
      <w:r>
        <w:rPr>
          <w:rFonts w:ascii="Aptos" w:hAnsi="Aptos"/>
          <w:sz w:val="17"/>
        </w:rPr>
        <w:t xml:space="preserve">Official next-day disclosure returns covering the initial June repurchases. </w:t>
      </w:r>
      <w:hyperlink r:id="rId13">
        <w:r>
          <w:rPr>
            <w:color w:val="0563C1"/>
            <w:u w:val="single"/>
            <w:rFonts w:ascii="Aptos" w:hAnsi="Aptos"/>
            <w:sz w:val="18"/>
          </w:rPr>
          <w:t>Open source</w:t>
        </w:r>
      </w:hyperlink>
    </w:p>
    <w:p>
      <w:pPr>
        <w:spacing w:after="80"/>
        <w:ind w:left="216" w:hanging="216"/>
      </w:pPr>
      <w:r>
        <w:rPr>
          <w:rFonts w:ascii="Aptos" w:hAnsi="Aptos"/>
          <w:b/>
          <w:color w:val="1F4E79"/>
          <w:sz w:val="17"/>
        </w:rPr>
        <w:t xml:space="preserve">[5] </w:t>
      </w:r>
      <w:r>
        <w:rPr>
          <w:rFonts w:ascii="Aptos" w:hAnsi="Aptos"/>
          <w:b/>
          <w:sz w:val="17"/>
        </w:rPr>
        <w:t xml:space="preserve">Alibaba / SEC, 6-K filed 6 Jul 2026. </w:t>
      </w:r>
      <w:r>
        <w:rPr>
          <w:rFonts w:ascii="Aptos" w:hAnsi="Aptos"/>
          <w:sz w:val="17"/>
        </w:rPr>
        <w:t xml:space="preserve">Official next-day disclosure returns covering repurchases through 2 Jul 2026. </w:t>
      </w:r>
      <w:hyperlink r:id="rId14">
        <w:r>
          <w:rPr>
            <w:color w:val="0563C1"/>
            <w:u w:val="single"/>
            <w:rFonts w:ascii="Aptos" w:hAnsi="Aptos"/>
            <w:sz w:val="18"/>
          </w:rPr>
          <w:t>Open source</w:t>
        </w:r>
      </w:hyperlink>
    </w:p>
    <w:p>
      <w:pPr>
        <w:spacing w:after="80"/>
        <w:ind w:left="216" w:hanging="216"/>
      </w:pPr>
      <w:r>
        <w:rPr>
          <w:rFonts w:ascii="Aptos" w:hAnsi="Aptos"/>
          <w:b/>
          <w:color w:val="1F4E79"/>
          <w:sz w:val="17"/>
        </w:rPr>
        <w:t xml:space="preserve">[6] </w:t>
      </w:r>
      <w:r>
        <w:rPr>
          <w:rFonts w:ascii="Aptos" w:hAnsi="Aptos"/>
          <w:b/>
          <w:sz w:val="17"/>
        </w:rPr>
        <w:t xml:space="preserve">Alibaba / SEC, 6-K filed 10 Jul 2026. </w:t>
      </w:r>
      <w:r>
        <w:rPr>
          <w:rFonts w:ascii="Aptos" w:hAnsi="Aptos"/>
          <w:sz w:val="17"/>
        </w:rPr>
        <w:t xml:space="preserve">Official next-day disclosure returns covering 6–9 Jul; cumulative 31,333,832 shares under the mandate as of 10 Jul filing. </w:t>
      </w:r>
      <w:hyperlink r:id="rId15">
        <w:r>
          <w:rPr>
            <w:color w:val="0563C1"/>
            <w:u w:val="single"/>
            <w:rFonts w:ascii="Aptos" w:hAnsi="Aptos"/>
            <w:sz w:val="18"/>
          </w:rPr>
          <w:t>Open source</w:t>
        </w:r>
      </w:hyperlink>
    </w:p>
    <w:p>
      <w:pPr>
        <w:spacing w:after="80"/>
        <w:ind w:left="216" w:hanging="216"/>
      </w:pPr>
      <w:r>
        <w:rPr>
          <w:rFonts w:ascii="Aptos" w:hAnsi="Aptos"/>
          <w:b/>
          <w:color w:val="1F4E79"/>
          <w:sz w:val="17"/>
        </w:rPr>
        <w:t xml:space="preserve">[7] </w:t>
      </w:r>
      <w:r>
        <w:rPr>
          <w:rFonts w:ascii="Aptos" w:hAnsi="Aptos"/>
          <w:b/>
          <w:sz w:val="17"/>
        </w:rPr>
        <w:t xml:space="preserve">HKEX, Monthly Return for month ended 31 Jul 2026, filed 6 Aug 2026. </w:t>
      </w:r>
      <w:r>
        <w:rPr>
          <w:rFonts w:ascii="Aptos" w:hAnsi="Aptos"/>
          <w:sz w:val="17"/>
        </w:rPr>
        <w:t xml:space="preserve">Confirms cancellation of 31,333,832 repurchased shares during July. </w:t>
      </w:r>
      <w:hyperlink r:id="rId16">
        <w:r>
          <w:rPr>
            <w:color w:val="0563C1"/>
            <w:u w:val="single"/>
            <w:rFonts w:ascii="Aptos" w:hAnsi="Aptos"/>
            <w:sz w:val="18"/>
          </w:rPr>
          <w:t>Open source</w:t>
        </w:r>
      </w:hyperlink>
    </w:p>
    <w:p>
      <w:pPr>
        <w:spacing w:after="80"/>
        <w:ind w:left="216" w:hanging="216"/>
      </w:pPr>
      <w:r>
        <w:rPr>
          <w:rFonts w:ascii="Aptos" w:hAnsi="Aptos"/>
          <w:b/>
          <w:color w:val="1F4E79"/>
          <w:sz w:val="17"/>
        </w:rPr>
        <w:t xml:space="preserve">[8] </w:t>
      </w:r>
      <w:r>
        <w:rPr>
          <w:rFonts w:ascii="Aptos" w:hAnsi="Aptos"/>
          <w:b/>
          <w:sz w:val="17"/>
        </w:rPr>
        <w:t xml:space="preserve">HKEX, Alibaba filing index (09988). </w:t>
      </w:r>
      <w:r>
        <w:rPr>
          <w:rFonts w:ascii="Aptos" w:hAnsi="Aptos"/>
          <w:sz w:val="17"/>
        </w:rPr>
        <w:t xml:space="preserve">Used to verify that no later share-buyback disclosure appeared after the 10 Jul 2026 next-day return through the research cutoff. </w:t>
      </w:r>
      <w:hyperlink r:id="rId17">
        <w:r>
          <w:rPr>
            <w:color w:val="0563C1"/>
            <w:u w:val="single"/>
            <w:rFonts w:ascii="Aptos" w:hAnsi="Aptos"/>
            <w:sz w:val="18"/>
          </w:rPr>
          <w:t>Open source</w:t>
        </w:r>
      </w:hyperlink>
    </w:p>
    <w:p>
      <w:pPr>
        <w:pStyle w:val="Heading1"/>
      </w:pPr>
      <w:r>
        <w:t>Appendix: 2026 repurchase spend used in the calculation</w:t>
      </w:r>
    </w:p>
    <w:p>
      <w:r>
        <w:rPr>
          <w:rFonts w:ascii="Aptos" w:hAnsi="Aptos"/>
          <w:sz w:val="17"/>
        </w:rPr>
        <w:t>The exact US$383,438,673.13 total below is the sum of aggregate consideration in Alibaba’s official next-day disclosure returns.</w:t>
      </w:r>
    </w:p>
    <w:tbl>
      <w:tblPr>
        <w:tblStyle w:val="TableGrid"/>
        <w:tblW w:type="auto" w:w="0"/>
        <w:jc w:val="center"/>
        <w:tblLayout w:type="fixed"/>
        <w:tblLook w:firstColumn="1" w:firstRow="1" w:lastColumn="0" w:lastRow="0" w:noHBand="0" w:noVBand="1" w:val="04A0"/>
      </w:tblPr>
      <w:tblGrid>
        <w:gridCol w:w="2232"/>
        <w:gridCol w:w="3168"/>
        <w:gridCol w:w="3672"/>
      </w:tblGrid>
      <w:tr>
        <w:trPr>
          <w:tblHeader w:val="true"/>
          <w:cantSplit/>
        </w:trPr>
        <w:tc>
          <w:tcPr>
            <w:tcW w:type="dxa" w:w="3360"/>
            <w:shd w:fill="D9EAF7"/>
            <w:tcMar>
              <w:top w:w="65" w:type="dxa"/>
              <w:start w:w="65" w:type="dxa"/>
              <w:bottom w:w="65" w:type="dxa"/>
              <w:end w:w="65" w:type="dxa"/>
            </w:tcMar>
          </w:tcPr>
          <w:p>
            <w:r>
              <w:rPr>
                <w:rFonts w:ascii="Aptos" w:hAnsi="Aptos"/>
                <w:b/>
                <w:color w:val="1F4E79"/>
                <w:sz w:val="16"/>
              </w:rPr>
              <w:t>Trading date</w:t>
            </w:r>
          </w:p>
        </w:tc>
        <w:tc>
          <w:tcPr>
            <w:tcW w:type="dxa" w:w="3360"/>
            <w:shd w:fill="D9EAF7"/>
            <w:tcMar>
              <w:top w:w="65" w:type="dxa"/>
              <w:start w:w="65" w:type="dxa"/>
              <w:bottom w:w="65" w:type="dxa"/>
              <w:end w:w="65" w:type="dxa"/>
            </w:tcMar>
          </w:tcPr>
          <w:p>
            <w:r>
              <w:rPr>
                <w:rFonts w:ascii="Aptos" w:hAnsi="Aptos"/>
                <w:b/>
                <w:color w:val="1F4E79"/>
                <w:sz w:val="16"/>
              </w:rPr>
              <w:t>Ordinary shares</w:t>
            </w:r>
          </w:p>
        </w:tc>
        <w:tc>
          <w:tcPr>
            <w:tcW w:type="dxa" w:w="3360"/>
            <w:shd w:fill="D9EAF7"/>
            <w:tcMar>
              <w:top w:w="65" w:type="dxa"/>
              <w:start w:w="65" w:type="dxa"/>
              <w:bottom w:w="65" w:type="dxa"/>
              <w:end w:w="65" w:type="dxa"/>
            </w:tcMar>
          </w:tcPr>
          <w:p>
            <w:r>
              <w:rPr>
                <w:rFonts w:ascii="Aptos" w:hAnsi="Aptos"/>
                <w:b/>
                <w:color w:val="1F4E79"/>
                <w:sz w:val="16"/>
              </w:rPr>
              <w:t>Aggregate consideration (US$)</w:t>
            </w:r>
          </w:p>
        </w:tc>
      </w:tr>
      <w:tr>
        <w:trPr>
          <w:cantSplit/>
        </w:trPr>
        <w:tc>
          <w:tcPr>
            <w:tcW w:type="dxa" w:w="2232"/>
            <w:tcMar>
              <w:top w:w="55" w:type="dxa"/>
              <w:start w:w="65" w:type="dxa"/>
              <w:bottom w:w="55" w:type="dxa"/>
              <w:end w:w="65" w:type="dxa"/>
            </w:tcMar>
          </w:tcPr>
          <w:p>
            <w:r>
              <w:rPr>
                <w:rFonts w:ascii="Aptos" w:hAnsi="Aptos"/>
                <w:sz w:val="15"/>
              </w:rPr>
              <w:t>22 Jun 2026</w:t>
            </w:r>
          </w:p>
        </w:tc>
        <w:tc>
          <w:tcPr>
            <w:tcW w:type="dxa" w:w="3168"/>
            <w:tcMar>
              <w:top w:w="55" w:type="dxa"/>
              <w:start w:w="65" w:type="dxa"/>
              <w:bottom w:w="55" w:type="dxa"/>
              <w:end w:w="65" w:type="dxa"/>
            </w:tcMar>
          </w:tcPr>
          <w:p>
            <w:pPr>
              <w:jc w:val="right"/>
            </w:pPr>
            <w:r>
              <w:rPr>
                <w:rFonts w:ascii="Aptos" w:hAnsi="Aptos"/>
                <w:sz w:val="15"/>
              </w:rPr>
              <w:t>952,488</w:t>
            </w:r>
          </w:p>
        </w:tc>
        <w:tc>
          <w:tcPr>
            <w:tcW w:type="dxa" w:w="3672"/>
            <w:tcMar>
              <w:top w:w="55" w:type="dxa"/>
              <w:start w:w="65" w:type="dxa"/>
              <w:bottom w:w="55" w:type="dxa"/>
              <w:end w:w="65" w:type="dxa"/>
            </w:tcMar>
          </w:tcPr>
          <w:p>
            <w:pPr>
              <w:jc w:val="right"/>
            </w:pPr>
            <w:r>
              <w:rPr>
                <w:rFonts w:ascii="Aptos" w:hAnsi="Aptos"/>
                <w:sz w:val="15"/>
              </w:rPr>
              <w:t>12,498,476.10</w:t>
            </w:r>
          </w:p>
        </w:tc>
      </w:tr>
      <w:tr>
        <w:trPr>
          <w:cantSplit/>
        </w:trPr>
        <w:tc>
          <w:tcPr>
            <w:tcW w:type="dxa" w:w="2232"/>
            <w:tcMar>
              <w:top w:w="55" w:type="dxa"/>
              <w:start w:w="65" w:type="dxa"/>
              <w:bottom w:w="55" w:type="dxa"/>
              <w:end w:w="65" w:type="dxa"/>
            </w:tcMar>
          </w:tcPr>
          <w:p>
            <w:r>
              <w:rPr>
                <w:rFonts w:ascii="Aptos" w:hAnsi="Aptos"/>
                <w:sz w:val="15"/>
              </w:rPr>
              <w:t>23 Jun 2026</w:t>
            </w:r>
          </w:p>
        </w:tc>
        <w:tc>
          <w:tcPr>
            <w:tcW w:type="dxa" w:w="3168"/>
            <w:tcMar>
              <w:top w:w="55" w:type="dxa"/>
              <w:start w:w="65" w:type="dxa"/>
              <w:bottom w:w="55" w:type="dxa"/>
              <w:end w:w="65" w:type="dxa"/>
            </w:tcMar>
          </w:tcPr>
          <w:p>
            <w:pPr>
              <w:jc w:val="right"/>
            </w:pPr>
            <w:r>
              <w:rPr>
                <w:rFonts w:ascii="Aptos" w:hAnsi="Aptos"/>
                <w:sz w:val="15"/>
              </w:rPr>
              <w:t>974,536</w:t>
            </w:r>
          </w:p>
        </w:tc>
        <w:tc>
          <w:tcPr>
            <w:tcW w:type="dxa" w:w="3672"/>
            <w:tcMar>
              <w:top w:w="55" w:type="dxa"/>
              <w:start w:w="65" w:type="dxa"/>
              <w:bottom w:w="55" w:type="dxa"/>
              <w:end w:w="65" w:type="dxa"/>
            </w:tcMar>
          </w:tcPr>
          <w:p>
            <w:pPr>
              <w:jc w:val="right"/>
            </w:pPr>
            <w:r>
              <w:rPr>
                <w:rFonts w:ascii="Aptos" w:hAnsi="Aptos"/>
                <w:sz w:val="15"/>
              </w:rPr>
              <w:t>12,498,229.29</w:t>
            </w:r>
          </w:p>
        </w:tc>
      </w:tr>
      <w:tr>
        <w:trPr>
          <w:cantSplit/>
        </w:trPr>
        <w:tc>
          <w:tcPr>
            <w:tcW w:type="dxa" w:w="2232"/>
            <w:tcMar>
              <w:top w:w="55" w:type="dxa"/>
              <w:start w:w="65" w:type="dxa"/>
              <w:bottom w:w="55" w:type="dxa"/>
              <w:end w:w="65" w:type="dxa"/>
            </w:tcMar>
          </w:tcPr>
          <w:p>
            <w:r>
              <w:rPr>
                <w:rFonts w:ascii="Aptos" w:hAnsi="Aptos"/>
                <w:sz w:val="15"/>
              </w:rPr>
              <w:t>24 Jun 2026</w:t>
            </w:r>
          </w:p>
        </w:tc>
        <w:tc>
          <w:tcPr>
            <w:tcW w:type="dxa" w:w="3168"/>
            <w:tcMar>
              <w:top w:w="55" w:type="dxa"/>
              <w:start w:w="65" w:type="dxa"/>
              <w:bottom w:w="55" w:type="dxa"/>
              <w:end w:w="65" w:type="dxa"/>
            </w:tcMar>
          </w:tcPr>
          <w:p>
            <w:pPr>
              <w:jc w:val="right"/>
            </w:pPr>
            <w:r>
              <w:rPr>
                <w:rFonts w:ascii="Aptos" w:hAnsi="Aptos"/>
                <w:sz w:val="15"/>
              </w:rPr>
              <w:t>992,000</w:t>
            </w:r>
          </w:p>
        </w:tc>
        <w:tc>
          <w:tcPr>
            <w:tcW w:type="dxa" w:w="3672"/>
            <w:tcMar>
              <w:top w:w="55" w:type="dxa"/>
              <w:start w:w="65" w:type="dxa"/>
              <w:bottom w:w="55" w:type="dxa"/>
              <w:end w:w="65" w:type="dxa"/>
            </w:tcMar>
          </w:tcPr>
          <w:p>
            <w:pPr>
              <w:jc w:val="right"/>
            </w:pPr>
            <w:r>
              <w:rPr>
                <w:rFonts w:ascii="Aptos" w:hAnsi="Aptos"/>
                <w:sz w:val="15"/>
              </w:rPr>
              <w:t>12,497,898.00</w:t>
            </w:r>
          </w:p>
        </w:tc>
      </w:tr>
      <w:tr>
        <w:trPr>
          <w:cantSplit/>
        </w:trPr>
        <w:tc>
          <w:tcPr>
            <w:tcW w:type="dxa" w:w="2232"/>
            <w:tcMar>
              <w:top w:w="55" w:type="dxa"/>
              <w:start w:w="65" w:type="dxa"/>
              <w:bottom w:w="55" w:type="dxa"/>
              <w:end w:w="65" w:type="dxa"/>
            </w:tcMar>
          </w:tcPr>
          <w:p>
            <w:r>
              <w:rPr>
                <w:rFonts w:ascii="Aptos" w:hAnsi="Aptos"/>
                <w:sz w:val="15"/>
              </w:rPr>
              <w:t>25 Jun 2026</w:t>
            </w:r>
          </w:p>
        </w:tc>
        <w:tc>
          <w:tcPr>
            <w:tcW w:type="dxa" w:w="3168"/>
            <w:tcMar>
              <w:top w:w="55" w:type="dxa"/>
              <w:start w:w="65" w:type="dxa"/>
              <w:bottom w:w="55" w:type="dxa"/>
              <w:end w:w="65" w:type="dxa"/>
            </w:tcMar>
          </w:tcPr>
          <w:p>
            <w:pPr>
              <w:jc w:val="right"/>
            </w:pPr>
            <w:r>
              <w:rPr>
                <w:rFonts w:ascii="Aptos" w:hAnsi="Aptos"/>
                <w:sz w:val="15"/>
              </w:rPr>
              <w:t>1,046,400</w:t>
            </w:r>
          </w:p>
        </w:tc>
        <w:tc>
          <w:tcPr>
            <w:tcW w:type="dxa" w:w="3672"/>
            <w:tcMar>
              <w:top w:w="55" w:type="dxa"/>
              <w:start w:w="65" w:type="dxa"/>
              <w:bottom w:w="55" w:type="dxa"/>
              <w:end w:w="65" w:type="dxa"/>
            </w:tcMar>
          </w:tcPr>
          <w:p>
            <w:pPr>
              <w:jc w:val="right"/>
            </w:pPr>
            <w:r>
              <w:rPr>
                <w:rFonts w:ascii="Aptos" w:hAnsi="Aptos"/>
                <w:sz w:val="15"/>
              </w:rPr>
              <w:t>12,497,756.88</w:t>
            </w:r>
          </w:p>
        </w:tc>
      </w:tr>
      <w:tr>
        <w:trPr>
          <w:cantSplit/>
        </w:trPr>
        <w:tc>
          <w:tcPr>
            <w:tcW w:type="dxa" w:w="2232"/>
            <w:tcMar>
              <w:top w:w="55" w:type="dxa"/>
              <w:start w:w="65" w:type="dxa"/>
              <w:bottom w:w="55" w:type="dxa"/>
              <w:end w:w="65" w:type="dxa"/>
            </w:tcMar>
          </w:tcPr>
          <w:p>
            <w:r>
              <w:rPr>
                <w:rFonts w:ascii="Aptos" w:hAnsi="Aptos"/>
                <w:sz w:val="15"/>
              </w:rPr>
              <w:t>26 Jun 2026</w:t>
            </w:r>
          </w:p>
        </w:tc>
        <w:tc>
          <w:tcPr>
            <w:tcW w:type="dxa" w:w="3168"/>
            <w:tcMar>
              <w:top w:w="55" w:type="dxa"/>
              <w:start w:w="65" w:type="dxa"/>
              <w:bottom w:w="55" w:type="dxa"/>
              <w:end w:w="65" w:type="dxa"/>
            </w:tcMar>
          </w:tcPr>
          <w:p>
            <w:pPr>
              <w:jc w:val="right"/>
            </w:pPr>
            <w:r>
              <w:rPr>
                <w:rFonts w:ascii="Aptos" w:hAnsi="Aptos"/>
                <w:sz w:val="15"/>
              </w:rPr>
              <w:t>1,055,360</w:t>
            </w:r>
          </w:p>
        </w:tc>
        <w:tc>
          <w:tcPr>
            <w:tcW w:type="dxa" w:w="3672"/>
            <w:tcMar>
              <w:top w:w="55" w:type="dxa"/>
              <w:start w:w="65" w:type="dxa"/>
              <w:bottom w:w="55" w:type="dxa"/>
              <w:end w:w="65" w:type="dxa"/>
            </w:tcMar>
          </w:tcPr>
          <w:p>
            <w:pPr>
              <w:jc w:val="right"/>
            </w:pPr>
            <w:r>
              <w:rPr>
                <w:rFonts w:ascii="Aptos" w:hAnsi="Aptos"/>
                <w:sz w:val="15"/>
              </w:rPr>
              <w:t>12,497,784.19</w:t>
            </w:r>
          </w:p>
        </w:tc>
      </w:tr>
      <w:tr>
        <w:trPr>
          <w:cantSplit/>
        </w:trPr>
        <w:tc>
          <w:tcPr>
            <w:tcW w:type="dxa" w:w="2232"/>
            <w:tcMar>
              <w:top w:w="55" w:type="dxa"/>
              <w:start w:w="65" w:type="dxa"/>
              <w:bottom w:w="55" w:type="dxa"/>
              <w:end w:w="65" w:type="dxa"/>
            </w:tcMar>
          </w:tcPr>
          <w:p>
            <w:r>
              <w:rPr>
                <w:rFonts w:ascii="Aptos" w:hAnsi="Aptos"/>
                <w:sz w:val="15"/>
              </w:rPr>
              <w:t>29 Jun 2026</w:t>
            </w:r>
          </w:p>
        </w:tc>
        <w:tc>
          <w:tcPr>
            <w:tcW w:type="dxa" w:w="3168"/>
            <w:tcMar>
              <w:top w:w="55" w:type="dxa"/>
              <w:start w:w="65" w:type="dxa"/>
              <w:bottom w:w="55" w:type="dxa"/>
              <w:end w:w="65" w:type="dxa"/>
            </w:tcMar>
          </w:tcPr>
          <w:p>
            <w:pPr>
              <w:jc w:val="right"/>
            </w:pPr>
            <w:r>
              <w:rPr>
                <w:rFonts w:ascii="Aptos" w:hAnsi="Aptos"/>
                <w:sz w:val="15"/>
              </w:rPr>
              <w:t>4,203,480</w:t>
            </w:r>
          </w:p>
        </w:tc>
        <w:tc>
          <w:tcPr>
            <w:tcW w:type="dxa" w:w="3672"/>
            <w:tcMar>
              <w:top w:w="55" w:type="dxa"/>
              <w:start w:w="65" w:type="dxa"/>
              <w:bottom w:w="55" w:type="dxa"/>
              <w:end w:w="65" w:type="dxa"/>
            </w:tcMar>
          </w:tcPr>
          <w:p>
            <w:pPr>
              <w:jc w:val="right"/>
            </w:pPr>
            <w:r>
              <w:rPr>
                <w:rFonts w:ascii="Aptos" w:hAnsi="Aptos"/>
                <w:sz w:val="15"/>
              </w:rPr>
              <w:t>49,993,984.29</w:t>
            </w:r>
          </w:p>
        </w:tc>
      </w:tr>
      <w:tr>
        <w:trPr>
          <w:cantSplit/>
        </w:trPr>
        <w:tc>
          <w:tcPr>
            <w:tcW w:type="dxa" w:w="2232"/>
            <w:tcMar>
              <w:top w:w="55" w:type="dxa"/>
              <w:start w:w="65" w:type="dxa"/>
              <w:bottom w:w="55" w:type="dxa"/>
              <w:end w:w="65" w:type="dxa"/>
            </w:tcMar>
          </w:tcPr>
          <w:p>
            <w:r>
              <w:rPr>
                <w:rFonts w:ascii="Aptos" w:hAnsi="Aptos"/>
                <w:sz w:val="15"/>
              </w:rPr>
              <w:t>30 Jun 2026</w:t>
            </w:r>
          </w:p>
        </w:tc>
        <w:tc>
          <w:tcPr>
            <w:tcW w:type="dxa" w:w="3168"/>
            <w:tcMar>
              <w:top w:w="55" w:type="dxa"/>
              <w:start w:w="65" w:type="dxa"/>
              <w:bottom w:w="55" w:type="dxa"/>
              <w:end w:w="65" w:type="dxa"/>
            </w:tcMar>
          </w:tcPr>
          <w:p>
            <w:pPr>
              <w:jc w:val="right"/>
            </w:pPr>
            <w:r>
              <w:rPr>
                <w:rFonts w:ascii="Aptos" w:hAnsi="Aptos"/>
                <w:sz w:val="15"/>
              </w:rPr>
              <w:t>4,163,248</w:t>
            </w:r>
          </w:p>
        </w:tc>
        <w:tc>
          <w:tcPr>
            <w:tcW w:type="dxa" w:w="3672"/>
            <w:tcMar>
              <w:top w:w="55" w:type="dxa"/>
              <w:start w:w="65" w:type="dxa"/>
              <w:bottom w:w="55" w:type="dxa"/>
              <w:end w:w="65" w:type="dxa"/>
            </w:tcMar>
          </w:tcPr>
          <w:p>
            <w:pPr>
              <w:jc w:val="right"/>
            </w:pPr>
            <w:r>
              <w:rPr>
                <w:rFonts w:ascii="Aptos" w:hAnsi="Aptos"/>
                <w:sz w:val="15"/>
              </w:rPr>
              <w:t>49,993,895.24</w:t>
            </w:r>
          </w:p>
        </w:tc>
      </w:tr>
      <w:tr>
        <w:trPr>
          <w:cantSplit/>
        </w:trPr>
        <w:tc>
          <w:tcPr>
            <w:tcW w:type="dxa" w:w="2232"/>
            <w:tcMar>
              <w:top w:w="55" w:type="dxa"/>
              <w:start w:w="65" w:type="dxa"/>
              <w:bottom w:w="55" w:type="dxa"/>
              <w:end w:w="65" w:type="dxa"/>
            </w:tcMar>
          </w:tcPr>
          <w:p>
            <w:r>
              <w:rPr>
                <w:rFonts w:ascii="Aptos" w:hAnsi="Aptos"/>
                <w:sz w:val="15"/>
              </w:rPr>
              <w:t>1 Jul 2026</w:t>
            </w:r>
          </w:p>
        </w:tc>
        <w:tc>
          <w:tcPr>
            <w:tcW w:type="dxa" w:w="3168"/>
            <w:tcMar>
              <w:top w:w="55" w:type="dxa"/>
              <w:start w:w="65" w:type="dxa"/>
              <w:bottom w:w="55" w:type="dxa"/>
              <w:end w:w="65" w:type="dxa"/>
            </w:tcMar>
          </w:tcPr>
          <w:p>
            <w:pPr>
              <w:jc w:val="right"/>
            </w:pPr>
            <w:r>
              <w:rPr>
                <w:rFonts w:ascii="Aptos" w:hAnsi="Aptos"/>
                <w:sz w:val="15"/>
              </w:rPr>
              <w:t>4,057,320</w:t>
            </w:r>
          </w:p>
        </w:tc>
        <w:tc>
          <w:tcPr>
            <w:tcW w:type="dxa" w:w="3672"/>
            <w:tcMar>
              <w:top w:w="55" w:type="dxa"/>
              <w:start w:w="65" w:type="dxa"/>
              <w:bottom w:w="55" w:type="dxa"/>
              <w:end w:w="65" w:type="dxa"/>
            </w:tcMar>
          </w:tcPr>
          <w:p>
            <w:pPr>
              <w:jc w:val="right"/>
            </w:pPr>
            <w:r>
              <w:rPr>
                <w:rFonts w:ascii="Aptos" w:hAnsi="Aptos"/>
                <w:sz w:val="15"/>
              </w:rPr>
              <w:t>49,993,942.02</w:t>
            </w:r>
          </w:p>
        </w:tc>
      </w:tr>
      <w:tr>
        <w:trPr>
          <w:cantSplit/>
        </w:trPr>
        <w:tc>
          <w:tcPr>
            <w:tcW w:type="dxa" w:w="2232"/>
            <w:tcMar>
              <w:top w:w="55" w:type="dxa"/>
              <w:start w:w="65" w:type="dxa"/>
              <w:bottom w:w="55" w:type="dxa"/>
              <w:end w:w="65" w:type="dxa"/>
            </w:tcMar>
          </w:tcPr>
          <w:p>
            <w:r>
              <w:rPr>
                <w:rFonts w:ascii="Aptos" w:hAnsi="Aptos"/>
                <w:sz w:val="15"/>
              </w:rPr>
              <w:t>2 Jul 2026</w:t>
            </w:r>
          </w:p>
        </w:tc>
        <w:tc>
          <w:tcPr>
            <w:tcW w:type="dxa" w:w="3168"/>
            <w:tcMar>
              <w:top w:w="55" w:type="dxa"/>
              <w:start w:w="65" w:type="dxa"/>
              <w:bottom w:w="55" w:type="dxa"/>
              <w:end w:w="65" w:type="dxa"/>
            </w:tcMar>
          </w:tcPr>
          <w:p>
            <w:pPr>
              <w:jc w:val="right"/>
            </w:pPr>
            <w:r>
              <w:rPr>
                <w:rFonts w:ascii="Aptos" w:hAnsi="Aptos"/>
                <w:sz w:val="15"/>
              </w:rPr>
              <w:t>4,161,600</w:t>
            </w:r>
          </w:p>
        </w:tc>
        <w:tc>
          <w:tcPr>
            <w:tcW w:type="dxa" w:w="3672"/>
            <w:tcMar>
              <w:top w:w="55" w:type="dxa"/>
              <w:start w:w="65" w:type="dxa"/>
              <w:bottom w:w="55" w:type="dxa"/>
              <w:end w:w="65" w:type="dxa"/>
            </w:tcMar>
          </w:tcPr>
          <w:p>
            <w:pPr>
              <w:jc w:val="right"/>
            </w:pPr>
            <w:r>
              <w:rPr>
                <w:rFonts w:ascii="Aptos" w:hAnsi="Aptos"/>
                <w:sz w:val="15"/>
              </w:rPr>
              <w:t>49,993,144.74</w:t>
            </w:r>
          </w:p>
        </w:tc>
      </w:tr>
      <w:tr>
        <w:trPr>
          <w:cantSplit/>
        </w:trPr>
        <w:tc>
          <w:tcPr>
            <w:tcW w:type="dxa" w:w="2232"/>
            <w:tcMar>
              <w:top w:w="55" w:type="dxa"/>
              <w:start w:w="65" w:type="dxa"/>
              <w:bottom w:w="55" w:type="dxa"/>
              <w:end w:w="65" w:type="dxa"/>
            </w:tcMar>
          </w:tcPr>
          <w:p>
            <w:r>
              <w:rPr>
                <w:rFonts w:ascii="Aptos" w:hAnsi="Aptos"/>
                <w:sz w:val="15"/>
              </w:rPr>
              <w:t>6 Jul 2026</w:t>
            </w:r>
          </w:p>
        </w:tc>
        <w:tc>
          <w:tcPr>
            <w:tcW w:type="dxa" w:w="3168"/>
            <w:tcMar>
              <w:top w:w="55" w:type="dxa"/>
              <w:start w:w="65" w:type="dxa"/>
              <w:bottom w:w="55" w:type="dxa"/>
              <w:end w:w="65" w:type="dxa"/>
            </w:tcMar>
          </w:tcPr>
          <w:p>
            <w:pPr>
              <w:jc w:val="right"/>
            </w:pPr>
            <w:r>
              <w:rPr>
                <w:rFonts w:ascii="Aptos" w:hAnsi="Aptos"/>
                <w:sz w:val="15"/>
              </w:rPr>
              <w:t>4,108,720</w:t>
            </w:r>
          </w:p>
        </w:tc>
        <w:tc>
          <w:tcPr>
            <w:tcW w:type="dxa" w:w="3672"/>
            <w:tcMar>
              <w:top w:w="55" w:type="dxa"/>
              <w:start w:w="65" w:type="dxa"/>
              <w:bottom w:w="55" w:type="dxa"/>
              <w:end w:w="65" w:type="dxa"/>
            </w:tcMar>
          </w:tcPr>
          <w:p>
            <w:pPr>
              <w:jc w:val="right"/>
            </w:pPr>
            <w:r>
              <w:rPr>
                <w:rFonts w:ascii="Aptos" w:hAnsi="Aptos"/>
                <w:sz w:val="15"/>
              </w:rPr>
              <w:t>49,993,158.75</w:t>
            </w:r>
          </w:p>
        </w:tc>
      </w:tr>
      <w:tr>
        <w:trPr>
          <w:cantSplit/>
        </w:trPr>
        <w:tc>
          <w:tcPr>
            <w:tcW w:type="dxa" w:w="2232"/>
            <w:tcMar>
              <w:top w:w="55" w:type="dxa"/>
              <w:start w:w="65" w:type="dxa"/>
              <w:bottom w:w="55" w:type="dxa"/>
              <w:end w:w="65" w:type="dxa"/>
            </w:tcMar>
          </w:tcPr>
          <w:p>
            <w:r>
              <w:rPr>
                <w:rFonts w:ascii="Aptos" w:hAnsi="Aptos"/>
                <w:sz w:val="15"/>
              </w:rPr>
              <w:t>7 Jul 2026</w:t>
            </w:r>
          </w:p>
        </w:tc>
        <w:tc>
          <w:tcPr>
            <w:tcW w:type="dxa" w:w="3168"/>
            <w:tcMar>
              <w:top w:w="55" w:type="dxa"/>
              <w:start w:w="65" w:type="dxa"/>
              <w:bottom w:w="55" w:type="dxa"/>
              <w:end w:w="65" w:type="dxa"/>
            </w:tcMar>
          </w:tcPr>
          <w:p>
            <w:pPr>
              <w:jc w:val="right"/>
            </w:pPr>
            <w:r>
              <w:rPr>
                <w:rFonts w:ascii="Aptos" w:hAnsi="Aptos"/>
                <w:sz w:val="15"/>
              </w:rPr>
              <w:t>4,076,280</w:t>
            </w:r>
          </w:p>
        </w:tc>
        <w:tc>
          <w:tcPr>
            <w:tcW w:type="dxa" w:w="3672"/>
            <w:tcMar>
              <w:top w:w="55" w:type="dxa"/>
              <w:start w:w="65" w:type="dxa"/>
              <w:bottom w:w="55" w:type="dxa"/>
              <w:end w:w="65" w:type="dxa"/>
            </w:tcMar>
          </w:tcPr>
          <w:p>
            <w:pPr>
              <w:jc w:val="right"/>
            </w:pPr>
            <w:r>
              <w:rPr>
                <w:rFonts w:ascii="Aptos" w:hAnsi="Aptos"/>
                <w:sz w:val="15"/>
              </w:rPr>
              <w:t>49,993,128.43</w:t>
            </w:r>
          </w:p>
        </w:tc>
      </w:tr>
      <w:tr>
        <w:trPr>
          <w:cantSplit/>
        </w:trPr>
        <w:tc>
          <w:tcPr>
            <w:tcW w:type="dxa" w:w="2232"/>
            <w:tcMar>
              <w:top w:w="55" w:type="dxa"/>
              <w:start w:w="65" w:type="dxa"/>
              <w:bottom w:w="55" w:type="dxa"/>
              <w:end w:w="65" w:type="dxa"/>
            </w:tcMar>
          </w:tcPr>
          <w:p>
            <w:r>
              <w:rPr>
                <w:rFonts w:ascii="Aptos" w:hAnsi="Aptos"/>
                <w:sz w:val="15"/>
              </w:rPr>
              <w:t>8 Jul 2026</w:t>
            </w:r>
          </w:p>
        </w:tc>
        <w:tc>
          <w:tcPr>
            <w:tcW w:type="dxa" w:w="3168"/>
            <w:tcMar>
              <w:top w:w="55" w:type="dxa"/>
              <w:start w:w="65" w:type="dxa"/>
              <w:bottom w:w="55" w:type="dxa"/>
              <w:end w:w="65" w:type="dxa"/>
            </w:tcMar>
          </w:tcPr>
          <w:p>
            <w:pPr>
              <w:jc w:val="right"/>
            </w:pPr>
            <w:r>
              <w:rPr>
                <w:rFonts w:ascii="Aptos" w:hAnsi="Aptos"/>
                <w:sz w:val="15"/>
              </w:rPr>
              <w:t>1,469,600</w:t>
            </w:r>
          </w:p>
        </w:tc>
        <w:tc>
          <w:tcPr>
            <w:tcW w:type="dxa" w:w="3672"/>
            <w:tcMar>
              <w:top w:w="55" w:type="dxa"/>
              <w:start w:w="65" w:type="dxa"/>
              <w:bottom w:w="55" w:type="dxa"/>
              <w:end w:w="65" w:type="dxa"/>
            </w:tcMar>
          </w:tcPr>
          <w:p>
            <w:pPr>
              <w:jc w:val="right"/>
            </w:pPr>
            <w:r>
              <w:rPr>
                <w:rFonts w:ascii="Aptos" w:hAnsi="Aptos"/>
                <w:sz w:val="15"/>
              </w:rPr>
              <w:t>19,990,693.25</w:t>
            </w:r>
          </w:p>
        </w:tc>
      </w:tr>
      <w:tr>
        <w:trPr>
          <w:cantSplit/>
        </w:trPr>
        <w:tc>
          <w:tcPr>
            <w:tcW w:type="dxa" w:w="2232"/>
            <w:tcMar>
              <w:top w:w="55" w:type="dxa"/>
              <w:start w:w="65" w:type="dxa"/>
              <w:bottom w:w="55" w:type="dxa"/>
              <w:end w:w="65" w:type="dxa"/>
            </w:tcMar>
          </w:tcPr>
          <w:p>
            <w:r>
              <w:rPr>
                <w:rFonts w:ascii="Aptos" w:hAnsi="Aptos"/>
                <w:sz w:val="15"/>
              </w:rPr>
              <w:t>9 Jul 2026</w:t>
            </w:r>
          </w:p>
        </w:tc>
        <w:tc>
          <w:tcPr>
            <w:tcW w:type="dxa" w:w="3168"/>
            <w:tcMar>
              <w:top w:w="55" w:type="dxa"/>
              <w:start w:w="65" w:type="dxa"/>
              <w:bottom w:w="55" w:type="dxa"/>
              <w:end w:w="65" w:type="dxa"/>
            </w:tcMar>
          </w:tcPr>
          <w:p>
            <w:pPr>
              <w:jc w:val="right"/>
            </w:pPr>
            <w:r>
              <w:rPr>
                <w:rFonts w:ascii="Aptos" w:hAnsi="Aptos"/>
                <w:sz w:val="15"/>
              </w:rPr>
              <w:t>72,800</w:t>
            </w:r>
          </w:p>
        </w:tc>
        <w:tc>
          <w:tcPr>
            <w:tcW w:type="dxa" w:w="3672"/>
            <w:tcMar>
              <w:top w:w="55" w:type="dxa"/>
              <w:start w:w="65" w:type="dxa"/>
              <w:bottom w:w="55" w:type="dxa"/>
              <w:end w:w="65" w:type="dxa"/>
            </w:tcMar>
          </w:tcPr>
          <w:p>
            <w:pPr>
              <w:jc w:val="right"/>
            </w:pPr>
            <w:r>
              <w:rPr>
                <w:rFonts w:ascii="Aptos" w:hAnsi="Aptos"/>
                <w:sz w:val="15"/>
              </w:rPr>
              <w:t>996,581.95</w:t>
            </w:r>
          </w:p>
        </w:tc>
      </w:tr>
      <w:tr>
        <w:trPr>
          <w:cantSplit/>
        </w:trPr>
        <w:tc>
          <w:tcPr>
            <w:tcW w:type="dxa" w:w="2232"/>
            <w:shd w:fill="F4F8FB"/>
            <w:tcMar>
              <w:top w:w="65" w:type="dxa"/>
              <w:start w:w="65" w:type="dxa"/>
              <w:bottom w:w="65" w:type="dxa"/>
              <w:end w:w="65" w:type="dxa"/>
            </w:tcMar>
          </w:tcPr>
          <w:p>
            <w:r>
              <w:rPr>
                <w:rFonts w:ascii="Aptos" w:hAnsi="Aptos"/>
                <w:b/>
                <w:sz w:val="16"/>
              </w:rPr>
              <w:t>Total</w:t>
            </w:r>
          </w:p>
        </w:tc>
        <w:tc>
          <w:tcPr>
            <w:tcW w:type="dxa" w:w="3168"/>
            <w:shd w:fill="F4F8FB"/>
            <w:tcMar>
              <w:top w:w="65" w:type="dxa"/>
              <w:start w:w="65" w:type="dxa"/>
              <w:bottom w:w="65" w:type="dxa"/>
              <w:end w:w="65" w:type="dxa"/>
            </w:tcMar>
          </w:tcPr>
          <w:p>
            <w:pPr>
              <w:jc w:val="right"/>
            </w:pPr>
            <w:r>
              <w:rPr>
                <w:rFonts w:ascii="Aptos" w:hAnsi="Aptos"/>
                <w:b/>
                <w:sz w:val="16"/>
              </w:rPr>
              <w:t>31,333,832</w:t>
            </w:r>
          </w:p>
        </w:tc>
        <w:tc>
          <w:tcPr>
            <w:tcW w:type="dxa" w:w="3672"/>
            <w:shd w:fill="F4F8FB"/>
            <w:tcMar>
              <w:top w:w="65" w:type="dxa"/>
              <w:start w:w="65" w:type="dxa"/>
              <w:bottom w:w="65" w:type="dxa"/>
              <w:end w:w="65" w:type="dxa"/>
            </w:tcMar>
          </w:tcPr>
          <w:p>
            <w:pPr>
              <w:jc w:val="right"/>
            </w:pPr>
            <w:r>
              <w:rPr>
                <w:rFonts w:ascii="Aptos" w:hAnsi="Aptos"/>
                <w:b/>
                <w:sz w:val="16"/>
              </w:rPr>
              <w:t>383,438,673.13</w:t>
            </w:r>
          </w:p>
        </w:tc>
      </w:tr>
    </w:tbl>
    <w:p>
      <w:pPr>
        <w:spacing w:before="100"/>
      </w:pPr>
      <w:r>
        <w:rPr>
          <w:rFonts w:ascii="Aptos" w:hAnsi="Aptos"/>
          <w:i/>
          <w:color w:val="505050"/>
          <w:sz w:val="16"/>
        </w:rPr>
        <w:t>Source mapping for appendix: 22–25 Jun [4]; 26 Jun–2 Jul [5]; 6–9 Jul [6].</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Alibaba share repurchase analysis | Research cutoff: 20 August 2026 | Public filings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c.gov/Archives/edgar/data/1577552/000110465924011604/tm245446d1_ex99-1.htm" TargetMode="External"/><Relationship Id="rId11" Type="http://schemas.openxmlformats.org/officeDocument/2006/relationships/hyperlink" Target="https://home.alibabagroup.com/en-US/document-1910550772471300096" TargetMode="External"/><Relationship Id="rId12" Type="http://schemas.openxmlformats.org/officeDocument/2006/relationships/hyperlink" Target="https://www.sec.gov/Archives/edgar/data/1577552/000119312526274928/d133513dex991.pdf" TargetMode="External"/><Relationship Id="rId13" Type="http://schemas.openxmlformats.org/officeDocument/2006/relationships/hyperlink" Target="https://www.sec.gov/Archives/edgar/data/1577552/000110465926078252/0001104659-26-078252-index.htm" TargetMode="External"/><Relationship Id="rId14" Type="http://schemas.openxmlformats.org/officeDocument/2006/relationships/hyperlink" Target="https://www.sec.gov/Archives/edgar/data/1577552/000110465926080528/0001104659-26-080528-index.htm" TargetMode="External"/><Relationship Id="rId15" Type="http://schemas.openxmlformats.org/officeDocument/2006/relationships/hyperlink" Target="https://www.sec.gov/Archives/edgar/data/1577552/000110465926082647/0001104659-26-082647-index.htm" TargetMode="External"/><Relationship Id="rId16" Type="http://schemas.openxmlformats.org/officeDocument/2006/relationships/hyperlink" Target="https://www1.hkexnews.hk/listedco/listconews/sehk/2026/0806/2026080601521.pdf" TargetMode="External"/><Relationship Id="rId17" Type="http://schemas.openxmlformats.org/officeDocument/2006/relationships/hyperlink" Target="https://www1.hkexnews.hk/search/titlesearch.xhtml?category=0&amp;lang=EN&amp;market=SEHK&amp;stockId=1000195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