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AI-Linked Equity Crash Stress Model</w:t>
      </w:r>
    </w:p>
    <w:p>
      <w:pPr>
        <w:jc w:val="center"/>
      </w:pPr>
      <w:r>
        <w:rPr>
          <w:b/>
          <w:color w:val="2F5496"/>
          <w:sz w:val="34"/>
        </w:rPr>
        <w:t>MD Q&amp;A Preparation Guide</w:t>
      </w:r>
    </w:p>
    <w:p>
      <w:pPr>
        <w:jc w:val="center"/>
      </w:pPr>
      <w:r>
        <w:rPr>
          <w:i/>
          <w:sz w:val="22"/>
        </w:rPr>
        <w:t>For the full theory presentation</w:t>
      </w:r>
    </w:p>
    <w:p>
      <w:pPr>
        <w:spacing w:before="360"/>
        <w:ind w:left="936" w:right="936"/>
      </w:pPr>
      <w:r>
        <w:rPr>
          <w:b/>
        </w:rPr>
        <w:t xml:space="preserve">How to use this: </w:t>
      </w:r>
      <w:r>
        <w:t>Give the “MD answer” first. Stop there unless they ask a follow-up. The “If they push” paragraph is your technical backup, not your opening response.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CE4D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7F6000"/>
              </w:rPr>
              <w:t xml:space="preserve">Pre-meeting consistency check: </w:t>
            </w:r>
            <w:r>
              <w:t>The current theory deck and final model paper use a 60% statistical / 40% economic blend. An earlier original V5 handoff used 45% / 55%. If anyone has seen the older version, describe 60/40 as a governed specification update; do not imply every V5 artifact always used 60/40.</w:t>
            </w:r>
          </w:p>
        </w:tc>
      </w:tr>
    </w:tbl>
    <w:p>
      <w:pPr>
        <w:spacing w:after="0"/>
      </w:pPr>
    </w:p>
    <w:p>
      <w:pPr>
        <w:pStyle w:val="Heading1"/>
      </w:pPr>
      <w:r>
        <w:t>1. The eight answers to have memorized</w:t>
      </w:r>
    </w:p>
    <w:p>
      <w:pPr>
        <w:spacing w:after="80"/>
      </w:pPr>
      <w:r>
        <w:rPr>
          <w:b/>
          <w:color w:val="1F4E79"/>
        </w:rPr>
        <w:t xml:space="preserve">1. What does the model do? </w:t>
      </w:r>
      <w:r>
        <w:t>It is a conditional stress engine: if an AI/TMT unwind occurs, it estimates position and portfolio losses across severity cases and horizons. It is not a market-timing model.</w:t>
      </w:r>
    </w:p>
    <w:p>
      <w:pPr>
        <w:spacing w:after="80"/>
      </w:pPr>
      <w:r>
        <w:rPr>
          <w:b/>
          <w:color w:val="1F4E79"/>
        </w:rPr>
        <w:t xml:space="preserve">2. What is the core equation? </w:t>
      </w:r>
      <w:r>
        <w:t>Stress is broad-market beta × market shock + AI-excess intensity × AI/TMT-excess shock, with size fragility added separately where applicable.</w:t>
      </w:r>
    </w:p>
    <w:p>
      <w:pPr>
        <w:spacing w:after="80"/>
      </w:pPr>
      <w:r>
        <w:rPr>
          <w:b/>
          <w:color w:val="1F4E79"/>
        </w:rPr>
        <w:t xml:space="preserve">3. Why orthogonalize AI? </w:t>
      </w:r>
      <w:r>
        <w:t>Because the raw AI basket already contains ordinary equity beta. Removing the market component prevents the same broad selloff from being counted twice.</w:t>
      </w:r>
    </w:p>
    <w:p>
      <w:pPr>
        <w:spacing w:after="80"/>
      </w:pPr>
      <w:r>
        <w:rPr>
          <w:b/>
          <w:color w:val="1F4E79"/>
        </w:rPr>
        <w:t xml:space="preserve">4. Why mix statistics and economics? </w:t>
      </w:r>
      <w:r>
        <w:t>The empirical signal is primary, but AI return history and local proxies can be short or noisy. The 60/40 blend keeps market evidence dominant while using structural relevance as a stabilizer.</w:t>
      </w:r>
    </w:p>
    <w:p>
      <w:pPr>
        <w:spacing w:after="80"/>
      </w:pPr>
      <w:r>
        <w:rPr>
          <w:b/>
          <w:color w:val="1F4E79"/>
        </w:rPr>
        <w:t xml:space="preserve">5. Why dot-com? </w:t>
      </w:r>
      <w:r>
        <w:t>It is the clearest modern technology-led bubble unwind with observable broad-market and TMT components. We use it as a conditional shock anchor, not as a claim that today must replay 2000.</w:t>
      </w:r>
    </w:p>
    <w:p>
      <w:pPr>
        <w:spacing w:after="80"/>
      </w:pPr>
      <w:r>
        <w:rPr>
          <w:b/>
          <w:color w:val="1F4E79"/>
        </w:rPr>
        <w:t xml:space="preserve">6. Why Base is not full dot-com? </w:t>
      </w:r>
      <w:r>
        <w:t>Base scales the dot-com AI/TMT-excess leg by the current relative valuation premium; Severe is the full historical excess analogue.</w:t>
      </w:r>
    </w:p>
    <w:p>
      <w:pPr>
        <w:spacing w:after="80"/>
      </w:pPr>
      <w:r>
        <w:rPr>
          <w:b/>
          <w:color w:val="1F4E79"/>
        </w:rPr>
        <w:t xml:space="preserve">7. What do the probabilities mean? </w:t>
      </w:r>
      <w:r>
        <w:t>They are P(severity case | a qualifying burst has happened), not the chance that the AI bubble bursts.</w:t>
      </w:r>
    </w:p>
    <w:p>
      <w:pPr>
        <w:spacing w:after="80"/>
      </w:pPr>
      <w:r>
        <w:rPr>
          <w:b/>
          <w:color w:val="1F4E79"/>
        </w:rPr>
        <w:t xml:space="preserve">8. Biggest model risk? </w:t>
      </w:r>
      <w:r>
        <w:t>Historical analogue and proxy/basis risk. The framework controls those by separating channels, tempering proxy lifts, using stock overrides, exposing governed inputs, and showing sensitivity rather than pretending to eliminate model risk.</w:t>
      </w:r>
    </w:p>
    <w:p>
      <w:pPr>
        <w:pStyle w:val="Heading1"/>
      </w:pPr>
      <w:r>
        <w:t>2. Numbers worth knowing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168"/>
            <w:shd w:fill="D9EAF7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304"/>
            <w:shd w:fill="D9EAF7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4752"/>
            <w:shd w:fill="D9EAF7"/>
          </w:tcPr>
          <w:p>
            <w:r>
              <w:rPr>
                <w:b/>
              </w:rPr>
              <w:t>What it means</w:t>
            </w:r>
          </w:p>
        </w:tc>
      </w:tr>
      <w:tr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Statistical / economic blend</w:t>
            </w:r>
          </w:p>
        </w:tc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60% / 40%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Empirical signal remains dominant</w:t>
            </w:r>
          </w:p>
        </w:tc>
      </w:tr>
      <w:tr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Economic country / industry weights</w:t>
            </w:r>
          </w:p>
        </w:tc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35% / 65%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Industry is the more direct transmission channel</w:t>
            </w:r>
          </w:p>
        </w:tc>
      </w:tr>
      <w:tr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Industry tilt λ</w:t>
            </w:r>
          </w:p>
        </w:tc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0.50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Square-root tempering of global industry proxy</w:t>
            </w:r>
          </w:p>
        </w:tc>
      </w:tr>
      <w:tr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AI intensity range</w:t>
            </w:r>
          </w:p>
        </w:tc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0 to 1.50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Zero adverse floor; cap noisy leverage</w:t>
            </w:r>
          </w:p>
        </w:tc>
      </w:tr>
      <w:tr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Coherence trigger / margin</w:t>
            </w:r>
          </w:p>
        </w:tc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e_g ≥ 0.50; +0.05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Only explicitly AI-linked industries get narrow floor</w:t>
            </w:r>
          </w:p>
        </w:tc>
      </w:tr>
      <w:tr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Base κ</w:t>
            </w:r>
          </w:p>
        </w:tc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0.670739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Current valuation-scaled share of dot-com excess</w:t>
            </w:r>
          </w:p>
        </w:tc>
      </w:tr>
      <w:tr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Scenario κ</w:t>
            </w:r>
          </w:p>
        </w:tc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0.335 / 0.671 / 1.0 / 1.5 / 2.0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Mild through Worst</w:t>
            </w:r>
          </w:p>
        </w:tc>
      </w:tr>
      <w:tr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Horizon endpoints</w:t>
            </w:r>
          </w:p>
        </w:tc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5 / 10 / 21 / 42 days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Actual post-peak historical endpoints</w:t>
            </w:r>
          </w:p>
        </w:tc>
      </w:tr>
      <w:tr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Probability sample</w:t>
            </w:r>
          </w:p>
        </w:tc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21 episodes; D ≥ 40%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Conditional crash-severity sample</w:t>
            </w:r>
          </w:p>
        </w:tc>
      </w:tr>
      <w:tr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Conditional probabilities</w:t>
            </w:r>
          </w:p>
        </w:tc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1.3 / 46.5 / 37.6 / 12.5 / 2.1%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Mild / Base / Severe / Extreme / Worst</w:t>
            </w:r>
          </w:p>
        </w:tc>
      </w:tr>
    </w:tbl>
    <w:p>
      <w:r>
        <w:br w:type="page"/>
      </w:r>
    </w:p>
    <w:p>
      <w:pPr>
        <w:pStyle w:val="Heading1"/>
      </w:pPr>
      <w:r>
        <w:t>3. Model object and architecture</w:t>
      </w:r>
    </w:p>
    <w:p>
      <w:pPr>
        <w:pStyle w:val="Heading3"/>
      </w:pPr>
      <w:r>
        <w:t>Q1. So in one sentence, what problem are you actually solving?</w:t>
      </w:r>
    </w:p>
    <w:p>
      <w:pPr>
        <w:spacing w:after="80"/>
        <w:ind w:left="173"/>
      </w:pPr>
      <w:r>
        <w:rPr>
          <w:rStyle w:val="AnswerLabel"/>
        </w:rPr>
        <w:t xml:space="preserve">MD answer: </w:t>
      </w:r>
      <w:r>
        <w:t>Given an AI-led equity unwind, the model maps that shock into position-level and portfolio-level losses over fixed risk horizons.</w:t>
      </w:r>
    </w:p>
    <w:p>
      <w:pPr>
        <w:spacing w:after="80"/>
        <w:ind w:left="173"/>
      </w:pPr>
      <w:r>
        <w:rPr>
          <w:rStyle w:val="PushLabel"/>
        </w:rPr>
        <w:t xml:space="preserve">If they push: </w:t>
      </w:r>
      <w:r>
        <w:t>The architecture separates four objects: cross-sectional exposure, scenario severity, conditional severity probability, and portfolio accounting. That separation is deliberate so one module cannot silently determine another.</w:t>
      </w:r>
    </w:p>
    <w:p>
      <w:pPr>
        <w:spacing w:after="80"/>
        <w:ind w:left="173"/>
      </w:pPr>
      <w:r>
        <w:rPr>
          <w:rStyle w:val="AvoidLabel"/>
        </w:rPr>
        <w:t xml:space="preserve">Avoid: </w:t>
      </w:r>
      <w:r>
        <w:t>Do not say the model predicts when the AI bubble will burst.</w:t>
      </w:r>
    </w:p>
    <w:p>
      <w:pPr>
        <w:pStyle w:val="Heading3"/>
      </w:pPr>
      <w:r>
        <w:t>Q2. Why make it conditional instead of trying to predict the crash?</w:t>
      </w:r>
    </w:p>
    <w:p>
      <w:pPr>
        <w:spacing w:after="80"/>
        <w:ind w:left="173"/>
      </w:pPr>
      <w:r>
        <w:rPr>
          <w:rStyle w:val="AnswerLabel"/>
        </w:rPr>
        <w:t xml:space="preserve">MD answer: </w:t>
      </w:r>
      <w:r>
        <w:t>Because stress testing and market timing are different problems. We can make a useful risk statement about loss severity without claiming we can reliably forecast the date of a break.</w:t>
      </w:r>
    </w:p>
    <w:p>
      <w:pPr>
        <w:spacing w:after="80"/>
        <w:ind w:left="173"/>
      </w:pPr>
      <w:r>
        <w:rPr>
          <w:rStyle w:val="PushLabel"/>
        </w:rPr>
        <w:t xml:space="preserve">If they push: </w:t>
      </w:r>
      <w:r>
        <w:t>An unconditional probability would require a separate hazard model, e.g. using run-up magnitude, volatility, turnover, issuance, valuation, breadth or options data. I kept that outside this framework so a weak timing model cannot contaminate the severity engine.</w:t>
      </w:r>
    </w:p>
    <w:p>
      <w:pPr>
        <w:pStyle w:val="Heading3"/>
      </w:pPr>
      <w:r>
        <w:t>Q3. What is the single most important design choice?</w:t>
      </w:r>
    </w:p>
    <w:p>
      <w:pPr>
        <w:spacing w:after="80"/>
        <w:ind w:left="173"/>
      </w:pPr>
      <w:r>
        <w:rPr>
          <w:rStyle w:val="AnswerLabel"/>
        </w:rPr>
        <w:t xml:space="preserve">MD answer: </w:t>
      </w:r>
      <w:r>
        <w:t>Separating ordinary market de-risking from incremental AI/TMT repricing. That is what prevents technology exposure from being double counted.</w:t>
      </w:r>
    </w:p>
    <w:p>
      <w:pPr>
        <w:spacing w:after="80"/>
        <w:ind w:left="173"/>
      </w:pPr>
      <w:r>
        <w:rPr>
          <w:rStyle w:val="PushLabel"/>
        </w:rPr>
        <w:t xml:space="preserve">If they push: </w:t>
      </w:r>
      <w:r>
        <w:t>The same separation appears on both sides: the AI return factor is residualized against the broad market, and the historical dot-com shock is decomposed into broad-market and TMT-excess legs.</w:t>
      </w:r>
    </w:p>
    <w:p>
      <w:pPr>
        <w:pStyle w:val="Heading3"/>
      </w:pPr>
      <w:r>
        <w:t>Q4. Why not just shock every AI name by the same percentage?</w:t>
      </w:r>
    </w:p>
    <w:p>
      <w:pPr>
        <w:spacing w:after="80"/>
        <w:ind w:left="173"/>
      </w:pPr>
      <w:r>
        <w:rPr>
          <w:rStyle w:val="AnswerLabel"/>
        </w:rPr>
        <w:t xml:space="preserve">MD answer: </w:t>
      </w:r>
      <w:r>
        <w:t>Because client risk is cross-sectional. A semiconductor name, a utility, a country index and a cloud platform do not have the same incremental AI sensitivity even if they share a broad market selloff.</w:t>
      </w:r>
    </w:p>
    <w:p>
      <w:pPr>
        <w:spacing w:after="80"/>
        <w:ind w:left="173"/>
      </w:pPr>
      <w:r>
        <w:rPr>
          <w:rStyle w:val="PushLabel"/>
        </w:rPr>
        <w:t xml:space="preserve">If they push: </w:t>
      </w:r>
      <w:r>
        <w:t>The model estimates market beta and AI-excess intensity separately, then allows approved single-stock overrides where a generic country-industry row is too coarse.</w:t>
      </w:r>
    </w:p>
    <w:p>
      <w:pPr>
        <w:pStyle w:val="Heading1"/>
      </w:pPr>
      <w:r>
        <w:t>4. Stress operator and log-return framework</w:t>
      </w:r>
    </w:p>
    <w:p>
      <w:pPr>
        <w:pStyle w:val="Heading3"/>
      </w:pPr>
      <w:r>
        <w:t>Q5. Why are you using log returns rather than simple returns?</w:t>
      </w:r>
    </w:p>
    <w:p>
      <w:pPr>
        <w:spacing w:after="80"/>
        <w:ind w:left="173"/>
      </w:pPr>
      <w:r>
        <w:rPr>
          <w:rStyle w:val="AnswerLabel"/>
        </w:rPr>
        <w:t xml:space="preserve">MD answer: </w:t>
      </w:r>
      <w:r>
        <w:t>Because independent price effects multiply in price space but add in log space. That lets the market, AI-excess and size channels enter exactly once and keeps attribution clean.</w:t>
      </w:r>
    </w:p>
    <w:p>
      <w:pPr>
        <w:spacing w:after="80"/>
        <w:ind w:left="173"/>
      </w:pPr>
      <w:r>
        <w:rPr>
          <w:rStyle w:val="PushLabel"/>
        </w:rPr>
        <w:t xml:space="preserve">If they push: </w:t>
      </w:r>
      <w:r>
        <w:t>The model converts back to simple returns only at the end using q = exp(R) - 1, then computes signed P&amp;L from market value. This also avoids adding large simple-return shocks in a way that can become mechanically inconsistent.</w:t>
      </w:r>
    </w:p>
    <w:p>
      <w:pPr>
        <w:pStyle w:val="Heading3"/>
      </w:pPr>
      <w:r>
        <w:t>Q6. Could the model produce losses below -100%?</w:t>
      </w:r>
    </w:p>
    <w:p>
      <w:pPr>
        <w:spacing w:after="80"/>
        <w:ind w:left="173"/>
      </w:pPr>
      <w:r>
        <w:rPr>
          <w:rStyle w:val="AnswerLabel"/>
        </w:rPr>
        <w:t xml:space="preserve">MD answer: </w:t>
      </w:r>
      <w:r>
        <w:t>No. The stress is additive in log-return space, but the final simple return is exp(R) - 1, which is bounded below by -100%.</w:t>
      </w:r>
    </w:p>
    <w:p>
      <w:pPr>
        <w:spacing w:after="80"/>
        <w:ind w:left="173"/>
      </w:pPr>
      <w:r>
        <w:rPr>
          <w:rStyle w:val="PushLabel"/>
        </w:rPr>
        <w:t xml:space="preserve">If they push: </w:t>
      </w:r>
      <w:r>
        <w:t>That is one reason the log-space implementation is mechanically safer for large tail shocks.</w:t>
      </w:r>
    </w:p>
    <w:p>
      <w:pPr>
        <w:pStyle w:val="Heading3"/>
      </w:pPr>
      <w:r>
        <w:t>Q7. How do longs and shorts behave?</w:t>
      </w:r>
    </w:p>
    <w:p>
      <w:pPr>
        <w:spacing w:after="80"/>
        <w:ind w:left="173"/>
      </w:pPr>
      <w:r>
        <w:rPr>
          <w:rStyle w:val="AnswerLabel"/>
        </w:rPr>
        <w:t xml:space="preserve">MD answer: </w:t>
      </w:r>
      <w:r>
        <w:t>The same stressed return is applied to the instrument; signed market value determines whether that move is a gain or loss for the client. The risk output then clips to adverse loss where needed.</w:t>
      </w:r>
    </w:p>
    <w:p>
      <w:pPr>
        <w:spacing w:after="80"/>
        <w:ind w:left="173"/>
      </w:pPr>
      <w:r>
        <w:rPr>
          <w:rStyle w:val="PushLabel"/>
        </w:rPr>
        <w:t xml:space="preserve">If they push: </w:t>
      </w:r>
      <w:r>
        <w:t>The factor model does not change because a client is long or short; position direction belongs in portfolio accounting, not in the asset shock.</w:t>
      </w:r>
    </w:p>
    <w:p>
      <w:pPr>
        <w:pStyle w:val="Heading1"/>
      </w:pPr>
      <w:r>
        <w:t>5. Return estimation and AI orthogonalization</w:t>
      </w:r>
    </w:p>
    <w:p>
      <w:pPr>
        <w:pStyle w:val="Heading3"/>
      </w:pPr>
      <w:r>
        <w:t>Q8. Why does the AI basket need to be orthogonalized?</w:t>
      </w:r>
    </w:p>
    <w:p>
      <w:pPr>
        <w:spacing w:after="80"/>
        <w:ind w:left="173"/>
      </w:pPr>
      <w:r>
        <w:rPr>
          <w:rStyle w:val="AnswerLabel"/>
        </w:rPr>
        <w:t xml:space="preserve">MD answer: </w:t>
      </w:r>
      <w:r>
        <w:t>Because an AI basket is still an equity basket. If the market falls 20%, part of the AI basket fall is just ordinary beta. Orthogonalization isolates the incremental AI/TMT component before we estimate thematic exposure.</w:t>
      </w:r>
    </w:p>
    <w:p>
      <w:pPr>
        <w:spacing w:after="80"/>
        <w:ind w:left="173"/>
      </w:pPr>
      <w:r>
        <w:rPr>
          <w:rStyle w:val="PushLabel"/>
        </w:rPr>
        <w:t xml:space="preserve">If they push: </w:t>
      </w:r>
      <w:r>
        <w:t>OLS projects the raw AI basket on the broad market. The residual is sample-orthogonal to the market factor, so the thematic leg represents what is left after ordinary market co-movement.</w:t>
      </w:r>
    </w:p>
    <w:p>
      <w:pPr>
        <w:pStyle w:val="Heading3"/>
      </w:pPr>
      <w:r>
        <w:t>Q9. Does orthogonalization throw away useful information?</w:t>
      </w:r>
    </w:p>
    <w:p>
      <w:pPr>
        <w:spacing w:after="80"/>
        <w:ind w:left="173"/>
      </w:pPr>
      <w:r>
        <w:rPr>
          <w:rStyle w:val="AnswerLabel"/>
        </w:rPr>
        <w:t xml:space="preserve">MD answer: </w:t>
      </w:r>
      <w:r>
        <w:t>No. It is an invertible change of factor basis. We are re-expressing the same return space as “market + AI residual” instead of “market + raw AI basket.”</w:t>
      </w:r>
    </w:p>
    <w:p>
      <w:pPr>
        <w:spacing w:after="80"/>
        <w:ind w:left="173"/>
      </w:pPr>
      <w:r>
        <w:rPr>
          <w:rStyle w:val="PushLabel"/>
        </w:rPr>
        <w:t xml:space="preserve">If they push: </w:t>
      </w:r>
      <w:r>
        <w:t>That is why the factor-basis slide shows an invertible transformation matrix. The purpose is attribution and non-double-counting, not data deletion.</w:t>
      </w:r>
    </w:p>
    <w:p>
      <w:pPr>
        <w:pStyle w:val="Heading3"/>
      </w:pPr>
      <w:r>
        <w:t>Q10. Why not simply run a two-factor regression and use the residual-factor beta directly?</w:t>
      </w:r>
    </w:p>
    <w:p>
      <w:pPr>
        <w:spacing w:after="80"/>
        <w:ind w:left="173"/>
      </w:pPr>
      <w:r>
        <w:rPr>
          <w:rStyle w:val="AnswerLabel"/>
        </w:rPr>
        <w:t xml:space="preserve">MD answer: </w:t>
      </w:r>
      <w:r>
        <w:t>A two-factor regression is useful diagnostically, but a negative residual beta does not mean an asset should receive a positive thematic shock in a joint market-and-AI selloff. The production score is designed as a one-sided adverse vulnerability measure.</w:t>
      </w:r>
    </w:p>
    <w:p>
      <w:pPr>
        <w:spacing w:after="80"/>
        <w:ind w:left="173"/>
      </w:pPr>
      <w:r>
        <w:rPr>
          <w:rStyle w:val="PushLabel"/>
        </w:rPr>
        <w:t xml:space="preserve">If they push: </w:t>
      </w:r>
      <w:r>
        <w:t>The beta-adjusted intensity preserves relative thematic information but floors the adverse AI channel at zero and caps unstable leverage. That is a stress convention, not a claim that negative factor betas do not exist statistically.</w:t>
      </w:r>
    </w:p>
    <w:p>
      <w:pPr>
        <w:pStyle w:val="Heading3"/>
      </w:pPr>
      <w:r>
        <w:t>Q11. Why monthly returns?</w:t>
      </w:r>
    </w:p>
    <w:p>
      <w:pPr>
        <w:spacing w:after="80"/>
        <w:ind w:left="173"/>
      </w:pPr>
      <w:r>
        <w:rPr>
          <w:rStyle w:val="AnswerLabel"/>
        </w:rPr>
        <w:t xml:space="preserve">MD answer: </w:t>
      </w:r>
      <w:r>
        <w:t>The exposure block is trying to estimate persistent cross-sectional co-movement, not intraday timing. Monthly data reduces microstructure noise and short-lived daily correlation effects while still providing enough observations for broad country and industry proxies.</w:t>
      </w:r>
    </w:p>
    <w:p>
      <w:pPr>
        <w:spacing w:after="80"/>
        <w:ind w:left="173"/>
      </w:pPr>
      <w:r>
        <w:rPr>
          <w:rStyle w:val="PushLabel"/>
        </w:rPr>
        <w:t xml:space="preserve">If they push: </w:t>
      </w:r>
      <w:r>
        <w:t>The scenario speed is handled separately using daily fixed-horizon post-peak paths. So monthly data estimates who is exposed; daily history determines how quickly losses arrive.</w:t>
      </w:r>
    </w:p>
    <w:p>
      <w:pPr>
        <w:pStyle w:val="Heading1"/>
      </w:pPr>
      <w:r>
        <w:t>6. Statistical AI-excess intensity</w:t>
      </w:r>
    </w:p>
    <w:p>
      <w:pPr>
        <w:pStyle w:val="Heading3"/>
      </w:pPr>
      <w:r>
        <w:t>Q12. Can you explain the AI-excess intensity formula without the algebra?</w:t>
      </w:r>
    </w:p>
    <w:p>
      <w:pPr>
        <w:spacing w:after="80"/>
        <w:ind w:left="173"/>
      </w:pPr>
      <w:r>
        <w:rPr>
          <w:rStyle w:val="AnswerLabel"/>
        </w:rPr>
        <w:t xml:space="preserve">MD answer: </w:t>
      </w:r>
      <w:r>
        <w:t>Start with how much the asset co-moves with the raw AI basket. Subtract the part we would expect purely from its market beta. What remains is normalized into an incremental AI exposure score.</w:t>
      </w:r>
    </w:p>
    <w:p>
      <w:pPr>
        <w:spacing w:after="80"/>
        <w:ind w:left="173"/>
      </w:pPr>
      <w:r>
        <w:rPr>
          <w:rStyle w:val="PushLabel"/>
        </w:rPr>
        <w:t xml:space="preserve">If they push: </w:t>
      </w:r>
      <w:r>
        <w:t>The formula solves the decomposition θ_abs ≈ β_W·θ_W^AI + I·(1-θ_W^AI) for I. So I = 0 means the observed AI co-movement is fully explained by market beta; I around 1 means AI-epicenter-like incremental exposure.</w:t>
      </w:r>
    </w:p>
    <w:p>
      <w:pPr>
        <w:pStyle w:val="Heading3"/>
      </w:pPr>
      <w:r>
        <w:t>Q13. Why floor the statistical score at zero?</w:t>
      </w:r>
    </w:p>
    <w:p>
      <w:pPr>
        <w:spacing w:after="80"/>
        <w:ind w:left="173"/>
      </w:pPr>
      <w:r>
        <w:rPr>
          <w:rStyle w:val="AnswerLabel"/>
        </w:rPr>
        <w:t xml:space="preserve">MD answer: </w:t>
      </w:r>
      <w:r>
        <w:t>Because this is an adverse stress loading, not a long-short factor forecast. A negative relative AI loading should not create a thematic crash benefit that offsets the broad selloff.</w:t>
      </w:r>
    </w:p>
    <w:p>
      <w:pPr>
        <w:spacing w:after="80"/>
        <w:ind w:left="173"/>
      </w:pPr>
      <w:r>
        <w:rPr>
          <w:rStyle w:val="PushLabel"/>
        </w:rPr>
        <w:t xml:space="preserve">If they push: </w:t>
      </w:r>
      <w:r>
        <w:t>Negative raw values are still useful diagnostics. The zero floor is a production stress convention applied only to the adverse AI-excess channel.</w:t>
      </w:r>
    </w:p>
    <w:p>
      <w:pPr>
        <w:pStyle w:val="Heading3"/>
      </w:pPr>
      <w:r>
        <w:t>Q14. Why cap AI intensity at 1.5?</w:t>
      </w:r>
    </w:p>
    <w:p>
      <w:pPr>
        <w:spacing w:after="80"/>
        <w:ind w:left="173"/>
      </w:pPr>
      <w:r>
        <w:rPr>
          <w:rStyle w:val="AnswerLabel"/>
        </w:rPr>
        <w:t xml:space="preserve">MD answer: </w:t>
      </w:r>
      <w:r>
        <w:t>To prevent a noisy regression or imperfect proxy from creating unbounded thematic leverage. The cap is a model-governance limit on outliers.</w:t>
      </w:r>
    </w:p>
    <w:p>
      <w:pPr>
        <w:spacing w:after="80"/>
        <w:ind w:left="173"/>
      </w:pPr>
      <w:r>
        <w:rPr>
          <w:rStyle w:val="PushLabel"/>
        </w:rPr>
        <w:t xml:space="preserve">If they push: </w:t>
      </w:r>
      <w:r>
        <w:t>It is not estimated as a natural law. The right governance test is sensitivity: if results are highly dependent on a few capped rows, those rows need direct review or stock-level treatment.</w:t>
      </w:r>
    </w:p>
    <w:p>
      <w:pPr>
        <w:pStyle w:val="Heading1"/>
      </w:pPr>
      <w:r>
        <w:t>7. Economic score and 60/40 blend</w:t>
      </w:r>
    </w:p>
    <w:p>
      <w:pPr>
        <w:pStyle w:val="Heading3"/>
      </w:pPr>
      <w:r>
        <w:t>Q15. Why do you need a subjective economic score at all?</w:t>
      </w:r>
    </w:p>
    <w:p>
      <w:pPr>
        <w:spacing w:after="80"/>
        <w:ind w:left="173"/>
      </w:pPr>
      <w:r>
        <w:rPr>
          <w:rStyle w:val="AnswerLabel"/>
        </w:rPr>
        <w:t xml:space="preserve">MD answer: </w:t>
      </w:r>
      <w:r>
        <w:t>Because the clean AI factor has a short history and some country/industry proxies are imperfect. A structurally AI-linked business can be underidentified statistically, so the economic score acts as a stabilizer.</w:t>
      </w:r>
    </w:p>
    <w:p>
      <w:pPr>
        <w:spacing w:after="80"/>
        <w:ind w:left="173"/>
      </w:pPr>
      <w:r>
        <w:rPr>
          <w:rStyle w:val="PushLabel"/>
        </w:rPr>
        <w:t xml:space="preserve">If they push: </w:t>
      </w:r>
      <w:r>
        <w:t>It is explicitly governed input, not hidden calibration. It should be version-controlled and changed only when the transmission mechanism changes, not to engineer a desired loss number.</w:t>
      </w:r>
    </w:p>
    <w:p>
      <w:pPr>
        <w:pStyle w:val="Heading3"/>
      </w:pPr>
      <w:r>
        <w:t>Q16. Why 60% statistical and 40% economic?</w:t>
      </w:r>
    </w:p>
    <w:p>
      <w:pPr>
        <w:spacing w:after="80"/>
        <w:ind w:left="173"/>
      </w:pPr>
      <w:r>
        <w:rPr>
          <w:rStyle w:val="AnswerLabel"/>
        </w:rPr>
        <w:t xml:space="preserve">MD answer: </w:t>
      </w:r>
      <w:r>
        <w:t>The current specification deliberately keeps observed market evidence dominant while giving enough weight to structural relevance to stabilize short or noisy histories.</w:t>
      </w:r>
    </w:p>
    <w:p>
      <w:pPr>
        <w:spacing w:after="80"/>
        <w:ind w:left="173"/>
      </w:pPr>
      <w:r>
        <w:rPr>
          <w:rStyle w:val="PushLabel"/>
        </w:rPr>
        <w:t xml:space="preserve">If they push: </w:t>
      </w:r>
      <w:r>
        <w:t>The exact 60/40 split is a governed model choice, not a maximum-likelihood estimate. It should be defended through sensitivity and output stability, not by pretending the number is uniquely identified by the data.</w:t>
      </w:r>
    </w:p>
    <w:p>
      <w:pPr>
        <w:spacing w:after="80"/>
        <w:ind w:left="173"/>
      </w:pPr>
      <w:r>
        <w:rPr>
          <w:rStyle w:val="AvoidLabel"/>
        </w:rPr>
        <w:t xml:space="preserve">Avoid: </w:t>
      </w:r>
      <w:r>
        <w:t>Do not say 60/40 was statistically optimized unless you have a separate documented optimization study.</w:t>
      </w:r>
    </w:p>
    <w:p>
      <w:pPr>
        <w:pStyle w:val="Heading3"/>
      </w:pPr>
      <w:r>
        <w:t>Q17. Why is the economic score 35% country and 65% industry?</w:t>
      </w:r>
    </w:p>
    <w:p>
      <w:pPr>
        <w:spacing w:after="80"/>
        <w:ind w:left="173"/>
      </w:pPr>
      <w:r>
        <w:rPr>
          <w:rStyle w:val="AnswerLabel"/>
        </w:rPr>
        <w:t xml:space="preserve">MD answer: </w:t>
      </w:r>
      <w:r>
        <w:t>Industry is usually the more direct AI transmission channel: semiconductors, cloud, data centers, networking, power equipment, software. Country still matters through index composition, supply chains, financing and local market structure.</w:t>
      </w:r>
    </w:p>
    <w:p>
      <w:pPr>
        <w:spacing w:after="80"/>
        <w:ind w:left="173"/>
      </w:pPr>
      <w:r>
        <w:rPr>
          <w:rStyle w:val="PushLabel"/>
        </w:rPr>
        <w:t xml:space="preserve">If they push: </w:t>
      </w:r>
      <w:r>
        <w:t>Again, these are governed structural weights. Their purpose is to encode an economically interpretable prior, not to replace the empirical signal.</w:t>
      </w:r>
    </w:p>
    <w:p>
      <w:pPr>
        <w:pStyle w:val="Heading3"/>
      </w:pPr>
      <w:r>
        <w:t>Q18. I thought V5 used 45/55. Which is it?</w:t>
      </w:r>
    </w:p>
    <w:p>
      <w:pPr>
        <w:spacing w:after="80"/>
        <w:ind w:left="173"/>
      </w:pPr>
      <w:r>
        <w:rPr>
          <w:rStyle w:val="AnswerLabel"/>
        </w:rPr>
        <w:t xml:space="preserve">MD answer: </w:t>
      </w:r>
      <w:r>
        <w:t>The current presentation and final model use 60% statistical / 40% economic. An earlier original V5 implementation used 45% / 55%; the later 60/40 specification is a governed update that makes the empirical signal primary.</w:t>
      </w:r>
    </w:p>
    <w:p>
      <w:pPr>
        <w:spacing w:after="80"/>
        <w:ind w:left="173"/>
      </w:pPr>
      <w:r>
        <w:rPr>
          <w:rStyle w:val="PushLabel"/>
        </w:rPr>
        <w:t xml:space="preserve">If they push: </w:t>
      </w:r>
      <w:r>
        <w:t>If this comes up, frame it as model lineage: same architecture, changed governed parameter. Any production change should be versioned and accompanied by output-comparison and sensitivity analysis.</w:t>
      </w:r>
    </w:p>
    <w:p>
      <w:pPr>
        <w:pStyle w:val="Heading1"/>
      </w:pPr>
      <w:r>
        <w:t>8. Country-industry construction and coherence</w:t>
      </w:r>
    </w:p>
    <w:p>
      <w:pPr>
        <w:pStyle w:val="Heading3"/>
      </w:pPr>
      <w:r>
        <w:t>Q19. Why not estimate every country-industry pair directly?</w:t>
      </w:r>
    </w:p>
    <w:p>
      <w:pPr>
        <w:spacing w:after="80"/>
        <w:ind w:left="173"/>
      </w:pPr>
      <w:r>
        <w:rPr>
          <w:rStyle w:val="AnswerLabel"/>
        </w:rPr>
        <w:t xml:space="preserve">MD answer: </w:t>
      </w:r>
      <w:r>
        <w:t>Because many local country-industry pairs do not have a liquid, long-history proxy. The scalable approach starts from the local country baseline and applies a tempered global industry tilt.</w:t>
      </w:r>
    </w:p>
    <w:p>
      <w:pPr>
        <w:spacing w:after="80"/>
        <w:ind w:left="173"/>
      </w:pPr>
      <w:r>
        <w:rPr>
          <w:rStyle w:val="PushLabel"/>
        </w:rPr>
        <w:t xml:space="preserve">If they push: </w:t>
      </w:r>
      <w:r>
        <w:t>Important single stocks can bypass this generic construction through explicit stock overrides. The grid is for coverage; overrides are for material names where better data exists.</w:t>
      </w:r>
    </w:p>
    <w:p>
      <w:pPr>
        <w:pStyle w:val="Heading3"/>
      </w:pPr>
      <w:r>
        <w:t>Q20. Why is the industry tilt a square root, λ = 0.5?</w:t>
      </w:r>
    </w:p>
    <w:p>
      <w:pPr>
        <w:spacing w:after="80"/>
        <w:ind w:left="173"/>
      </w:pPr>
      <w:r>
        <w:rPr>
          <w:rStyle w:val="AnswerLabel"/>
        </w:rPr>
        <w:t xml:space="preserve">MD answer: </w:t>
      </w:r>
      <w:r>
        <w:t>It deliberately gives the global industry proxy influence without allowing it to replace the local country structure one-for-one.</w:t>
      </w:r>
    </w:p>
    <w:p>
      <w:pPr>
        <w:spacing w:after="80"/>
        <w:ind w:left="173"/>
      </w:pPr>
      <w:r>
        <w:rPr>
          <w:rStyle w:val="PushLabel"/>
        </w:rPr>
        <w:t xml:space="preserve">If they push: </w:t>
      </w:r>
      <w:r>
        <w:t>λ = 0 would ignore industry information; λ = 1 would apply the global industry relationship fully. The 0.5 setting is a tempered middle ground and should be viewed as a governed interpolation parameter, with sensitivity around it.</w:t>
      </w:r>
    </w:p>
    <w:p>
      <w:pPr>
        <w:pStyle w:val="Heading3"/>
      </w:pPr>
      <w:r>
        <w:t>Q21. What is the coherence floor doing?</w:t>
      </w:r>
    </w:p>
    <w:p>
      <w:pPr>
        <w:spacing w:after="80"/>
        <w:ind w:left="173"/>
      </w:pPr>
      <w:r>
        <w:rPr>
          <w:rStyle w:val="AnswerLabel"/>
        </w:rPr>
        <w:t xml:space="preserve">MD answer: </w:t>
      </w:r>
      <w:r>
        <w:t>It prevents an explicitly AI-linked industry from ending up less AI-sensitive than its own broad country index purely because the proxy layer is noisy.</w:t>
      </w:r>
    </w:p>
    <w:p>
      <w:pPr>
        <w:spacing w:after="80"/>
        <w:ind w:left="173"/>
      </w:pPr>
      <w:r>
        <w:rPr>
          <w:rStyle w:val="PushLabel"/>
        </w:rPr>
        <w:t xml:space="preserve">If they push: </w:t>
      </w:r>
      <w:r>
        <w:t>It only triggers for high-AI industries, adds a narrow country-index-plus-0.05 floor, and remains subject to the 1.5 cap. Every triggered row is auditable. If the floor affects too many rows, that is a sign to revisit the underlying proxy model, not expand the floor.</w:t>
      </w:r>
    </w:p>
    <w:p>
      <w:pPr>
        <w:pStyle w:val="Heading3"/>
      </w:pPr>
      <w:r>
        <w:t>Q22. Isn’t the coherence rule just manually forcing the answer?</w:t>
      </w:r>
    </w:p>
    <w:p>
      <w:pPr>
        <w:spacing w:after="80"/>
        <w:ind w:left="173"/>
      </w:pPr>
      <w:r>
        <w:rPr>
          <w:rStyle w:val="AnswerLabel"/>
        </w:rPr>
        <w:t xml:space="preserve">MD answer: </w:t>
      </w:r>
      <w:r>
        <w:t>It is a transparent monotonicity constraint, not a hidden override. Its purpose is to prevent an economically nonsensical local ordering caused by sparse proxy data.</w:t>
      </w:r>
    </w:p>
    <w:p>
      <w:pPr>
        <w:spacing w:after="80"/>
        <w:ind w:left="173"/>
      </w:pPr>
      <w:r>
        <w:rPr>
          <w:rStyle w:val="PushLabel"/>
        </w:rPr>
        <w:t xml:space="preserve">If they push: </w:t>
      </w:r>
      <w:r>
        <w:t>The constraint is deliberately narrow, rule-based, and auditable. I would be more concerned if it were broad or if it were tuned after seeing portfolio losses.</w:t>
      </w:r>
    </w:p>
    <w:p>
      <w:pPr>
        <w:pStyle w:val="Heading1"/>
      </w:pPr>
      <w:r>
        <w:t>9. Dot-com shock decomposition and valuation calibration</w:t>
      </w:r>
    </w:p>
    <w:p>
      <w:pPr>
        <w:pStyle w:val="Heading3"/>
      </w:pPr>
      <w:r>
        <w:t>Q23. Why use dot-com at all? AI companies today are very different.</w:t>
      </w:r>
    </w:p>
    <w:p>
      <w:pPr>
        <w:spacing w:after="80"/>
        <w:ind w:left="173"/>
      </w:pPr>
      <w:r>
        <w:rPr>
          <w:rStyle w:val="AnswerLabel"/>
        </w:rPr>
        <w:t xml:space="preserve">MD answer: </w:t>
      </w:r>
      <w:r>
        <w:t>I agree the regimes are different. Dot-com is used because it is the clearest modern technology-led bubble unwind with a long observable path; we decompose and scale it rather than replaying it mechanically.</w:t>
      </w:r>
    </w:p>
    <w:p>
      <w:pPr>
        <w:spacing w:after="80"/>
        <w:ind w:left="173"/>
      </w:pPr>
      <w:r>
        <w:rPr>
          <w:rStyle w:val="PushLabel"/>
        </w:rPr>
        <w:t xml:space="preserve">If they push: </w:t>
      </w:r>
      <w:r>
        <w:t>The model explicitly acknowledges differences in profitability, index concentration, capex intensity, financing and supply chains. Severe is the full historical TMT-excess analogue; Base scales that excess using current relative valuation. So the analogue anchors severity, not identity of regimes.</w:t>
      </w:r>
    </w:p>
    <w:p>
      <w:pPr>
        <w:pStyle w:val="Heading3"/>
      </w:pPr>
      <w:r>
        <w:t>Q24. Why split the historical shock into market and TMT excess?</w:t>
      </w:r>
    </w:p>
    <w:p>
      <w:pPr>
        <w:spacing w:after="80"/>
        <w:ind w:left="173"/>
      </w:pPr>
      <w:r>
        <w:rPr>
          <w:rStyle w:val="AnswerLabel"/>
        </w:rPr>
        <w:t xml:space="preserve">MD answer: </w:t>
      </w:r>
      <w:r>
        <w:t>For the same reason we orthogonalize the AI factor today: a technology crash contains both a general market selloff and an incremental technology repricing. We want each channel once, not twice.</w:t>
      </w:r>
    </w:p>
    <w:p>
      <w:pPr>
        <w:spacing w:after="80"/>
        <w:ind w:left="173"/>
      </w:pPr>
      <w:r>
        <w:rPr>
          <w:rStyle w:val="PushLabel"/>
        </w:rPr>
        <w:t xml:space="preserve">If they push: </w:t>
      </w:r>
      <w:r>
        <w:t>In log space S_X = S_E - S_W, so the technology epicenter shock is exactly reconstructed as market plus excess.</w:t>
      </w:r>
    </w:p>
    <w:p>
      <w:pPr>
        <w:pStyle w:val="Heading3"/>
      </w:pPr>
      <w:r>
        <w:t>Q25. Why use relative valuation premium rather than absolute P/E?</w:t>
      </w:r>
    </w:p>
    <w:p>
      <w:pPr>
        <w:spacing w:after="80"/>
        <w:ind w:left="173"/>
      </w:pPr>
      <w:r>
        <w:rPr>
          <w:rStyle w:val="AnswerLabel"/>
        </w:rPr>
        <w:t xml:space="preserve">MD answer: </w:t>
      </w:r>
      <w:r>
        <w:t>The scenario is trying to scale the incremental technology excess, so the relevant comparison is how expensive TMT is relative to the broad market, not the market’s absolute multiple.</w:t>
      </w:r>
    </w:p>
    <w:p>
      <w:pPr>
        <w:spacing w:after="80"/>
        <w:ind w:left="173"/>
      </w:pPr>
      <w:r>
        <w:rPr>
          <w:rStyle w:val="PushLabel"/>
        </w:rPr>
        <w:t xml:space="preserve">If they push: </w:t>
      </w:r>
      <w:r>
        <w:t>Using log(PE_TMT / PE_market) makes the calibration consistent across valuation regimes and treats proportional valuation gaps symmetrically.</w:t>
      </w:r>
    </w:p>
    <w:p>
      <w:pPr>
        <w:pStyle w:val="Heading3"/>
      </w:pPr>
      <w:r>
        <w:t>Q26. Why the 50% forward, 25% spot, 25% trailing valuation blend?</w:t>
      </w:r>
    </w:p>
    <w:p>
      <w:pPr>
        <w:spacing w:after="80"/>
        <w:ind w:left="173"/>
      </w:pPr>
      <w:r>
        <w:rPr>
          <w:rStyle w:val="AnswerLabel"/>
        </w:rPr>
        <w:t xml:space="preserve">MD answer: </w:t>
      </w:r>
      <w:r>
        <w:t>Forward valuation gets the largest weight because it is closer to the market’s current earnings expectations, while spot and trailing measures reduce dependence on any single noisy denominator.</w:t>
      </w:r>
    </w:p>
    <w:p>
      <w:pPr>
        <w:spacing w:after="80"/>
        <w:ind w:left="173"/>
      </w:pPr>
      <w:r>
        <w:rPr>
          <w:rStyle w:val="PushLabel"/>
        </w:rPr>
        <w:t xml:space="preserve">If they push: </w:t>
      </w:r>
      <w:r>
        <w:t>This is a governed robustness blend rather than an estimated coefficient. The defense is that no single earnings convention drives Base severity.</w:t>
      </w:r>
    </w:p>
    <w:p>
      <w:pPr>
        <w:pStyle w:val="Heading3"/>
      </w:pPr>
      <w:r>
        <w:t>Q27. Why constrain Base κ between 0.5 and 1.0?</w:t>
      </w:r>
    </w:p>
    <w:p>
      <w:pPr>
        <w:spacing w:after="80"/>
        <w:ind w:left="173"/>
      </w:pPr>
      <w:r>
        <w:rPr>
          <w:rStyle w:val="AnswerLabel"/>
        </w:rPr>
        <w:t xml:space="preserve">MD answer: </w:t>
      </w:r>
      <w:r>
        <w:t>The upper bound keeps Base from becoming more severe than the full dot-com excess analogue, which is reserved for Severe. The lower bound prevents a transitory valuation reading from making the central adverse case implausibly weak.</w:t>
      </w:r>
    </w:p>
    <w:p>
      <w:pPr>
        <w:spacing w:after="80"/>
        <w:ind w:left="173"/>
      </w:pPr>
      <w:r>
        <w:rPr>
          <w:rStyle w:val="PushLabel"/>
        </w:rPr>
        <w:t xml:space="preserve">If they push: </w:t>
      </w:r>
      <w:r>
        <w:t>Those bounds are scenario-governance choices, not statistical confidence intervals. They should be visible and sensitivity-tested.</w:t>
      </w:r>
    </w:p>
    <w:p>
      <w:pPr>
        <w:pStyle w:val="Heading1"/>
      </w:pPr>
      <w:r>
        <w:t>10. Scenario ladder and fixed horizons</w:t>
      </w:r>
    </w:p>
    <w:p>
      <w:pPr>
        <w:pStyle w:val="Heading3"/>
      </w:pPr>
      <w:r>
        <w:t>Q28. Where do Mild, Base, Severe, Extreme and Worst come from?</w:t>
      </w:r>
    </w:p>
    <w:p>
      <w:pPr>
        <w:spacing w:after="80"/>
        <w:ind w:left="173"/>
      </w:pPr>
      <w:r>
        <w:rPr>
          <w:rStyle w:val="AnswerLabel"/>
        </w:rPr>
        <w:t xml:space="preserve">MD answer: </w:t>
      </w:r>
      <w:r>
        <w:t>They are five points on the same structural model, not five unrelated narratives. Base is valuation-calibrated, Severe is the full dot-com TMT-excess analogue, and Extreme/Worst extend the excess leg to test deeper tail outcomes.</w:t>
      </w:r>
    </w:p>
    <w:p>
      <w:pPr>
        <w:spacing w:after="80"/>
        <w:ind w:left="173"/>
      </w:pPr>
      <w:r>
        <w:rPr>
          <w:rStyle w:val="PushLabel"/>
        </w:rPr>
        <w:t xml:space="preserve">If they push: </w:t>
      </w:r>
      <w:r>
        <w:t>Mild uses half the broad-market leg and half of Base AI-excess severity; Extreme and Worst use 1.5× and 2.0× the historical excess leg. Those tail multipliers are deliberate stress-design choices, not forecasts.</w:t>
      </w:r>
    </w:p>
    <w:p>
      <w:pPr>
        <w:pStyle w:val="Heading3"/>
      </w:pPr>
      <w:r>
        <w:t>Q29. Why are Extreme and Worst 1.5× and 2×? Isn’t that arbitrary?</w:t>
      </w:r>
    </w:p>
    <w:p>
      <w:pPr>
        <w:spacing w:after="80"/>
        <w:ind w:left="173"/>
      </w:pPr>
      <w:r>
        <w:rPr>
          <w:rStyle w:val="AnswerLabel"/>
        </w:rPr>
        <w:t xml:space="preserve">MD answer: </w:t>
      </w:r>
      <w:r>
        <w:t>They are explicit tail extensions, so they are necessarily scenario-design parameters rather than point estimates. Their job is to expose nonlinear concentration, liquidity and margin consequences beyond the historical analogue.</w:t>
      </w:r>
    </w:p>
    <w:p>
      <w:pPr>
        <w:spacing w:after="80"/>
        <w:ind w:left="173"/>
      </w:pPr>
      <w:r>
        <w:rPr>
          <w:rStyle w:val="PushLabel"/>
        </w:rPr>
        <w:t xml:space="preserve">If they push: </w:t>
      </w:r>
      <w:r>
        <w:t>I would not defend 1.5 and 2.0 as uniquely correct. I would defend the transparency: Severe is historically anchored; the deeper tails are clearly labeled extrapolations and can be sensitivity-tested.</w:t>
      </w:r>
    </w:p>
    <w:p>
      <w:pPr>
        <w:pStyle w:val="Heading3"/>
      </w:pPr>
      <w:r>
        <w:t>Q30. Why does Mild only use half the market shock?</w:t>
      </w:r>
    </w:p>
    <w:p>
      <w:pPr>
        <w:spacing w:after="80"/>
        <w:ind w:left="173"/>
      </w:pPr>
      <w:r>
        <w:rPr>
          <w:rStyle w:val="AnswerLabel"/>
        </w:rPr>
        <w:t xml:space="preserve">MD answer: </w:t>
      </w:r>
      <w:r>
        <w:t>Mild is designed as a partial de-risking state: half the broad-market leg and half of Base’s thematic excess. Base and worse use the full market leg.</w:t>
      </w:r>
    </w:p>
    <w:p>
      <w:pPr>
        <w:spacing w:after="80"/>
        <w:ind w:left="173"/>
      </w:pPr>
      <w:r>
        <w:rPr>
          <w:rStyle w:val="PushLabel"/>
        </w:rPr>
        <w:t xml:space="preserve">If they push: </w:t>
      </w:r>
      <w:r>
        <w:t>That is a scenario construction choice. If management prefers the broad-market leg to remain fixed across all cases, it is straightforward to show that alternative sensitivity.</w:t>
      </w:r>
    </w:p>
    <w:p>
      <w:pPr>
        <w:pStyle w:val="Heading3"/>
      </w:pPr>
      <w:r>
        <w:t>Q31. Why not linearly scale the two-month crash down to one week or two weeks?</w:t>
      </w:r>
    </w:p>
    <w:p>
      <w:pPr>
        <w:spacing w:after="80"/>
        <w:ind w:left="173"/>
      </w:pPr>
      <w:r>
        <w:rPr>
          <w:rStyle w:val="AnswerLabel"/>
        </w:rPr>
        <w:t xml:space="preserve">MD answer: </w:t>
      </w:r>
      <w:r>
        <w:t>Because real crashes are path-dependent. The model uses the actual 5-, 10-, 21- and 42-trading-day losses after the historical TMT peak instead of assuming losses arrive smoothly.</w:t>
      </w:r>
    </w:p>
    <w:p>
      <w:pPr>
        <w:spacing w:after="80"/>
        <w:ind w:left="173"/>
      </w:pPr>
      <w:r>
        <w:rPr>
          <w:rStyle w:val="PushLabel"/>
        </w:rPr>
        <w:t xml:space="preserve">If they push: </w:t>
      </w:r>
      <w:r>
        <w:t>That is why one week can occasionally look slightly worse than two weeks in one component: the historical market partially retraced. Preserving that shape is more realistic for margin and liquidity risk than mechanical time scaling.</w:t>
      </w:r>
    </w:p>
    <w:p>
      <w:pPr>
        <w:pStyle w:val="Heading1"/>
      </w:pPr>
      <w:r>
        <w:t>11. Stock overrides and market-cap fragility</w:t>
      </w:r>
    </w:p>
    <w:p>
      <w:pPr>
        <w:pStyle w:val="Heading3"/>
      </w:pPr>
      <w:r>
        <w:t>Q32. When do you use a stock override instead of the country-industry row?</w:t>
      </w:r>
    </w:p>
    <w:p>
      <w:pPr>
        <w:spacing w:after="80"/>
        <w:ind w:left="173"/>
      </w:pPr>
      <w:r>
        <w:rPr>
          <w:rStyle w:val="AnswerLabel"/>
        </w:rPr>
        <w:t xml:space="preserve">MD answer: </w:t>
      </w:r>
      <w:r>
        <w:t>For material names where direct stock history provides better evidence than the generic cell. The stock still uses the same market-plus-AI-excess equation; only the exposure coefficients are name-specific.</w:t>
      </w:r>
    </w:p>
    <w:p>
      <w:pPr>
        <w:spacing w:after="80"/>
        <w:ind w:left="173"/>
      </w:pPr>
      <w:r>
        <w:rPr>
          <w:rStyle w:val="PushLabel"/>
        </w:rPr>
        <w:t xml:space="preserve">If they push: </w:t>
      </w:r>
      <w:r>
        <w:t>The override replaces the generic row. It is not added on top, which avoids double counting.</w:t>
      </w:r>
    </w:p>
    <w:p>
      <w:pPr>
        <w:pStyle w:val="Heading3"/>
      </w:pPr>
      <w:r>
        <w:t>Q33. Why is market cap a separate overlay rather than part of AI intensity?</w:t>
      </w:r>
    </w:p>
    <w:p>
      <w:pPr>
        <w:spacing w:after="80"/>
        <w:ind w:left="173"/>
      </w:pPr>
      <w:r>
        <w:rPr>
          <w:rStyle w:val="AnswerLabel"/>
        </w:rPr>
        <w:t xml:space="preserve">MD answer: </w:t>
      </w:r>
      <w:r>
        <w:t>Because small-cap fragility is a liquidity and funding mechanism, not evidence that the company is more AI-exposed.</w:t>
      </w:r>
    </w:p>
    <w:p>
      <w:pPr>
        <w:spacing w:after="80"/>
        <w:ind w:left="173"/>
      </w:pPr>
      <w:r>
        <w:rPr>
          <w:rStyle w:val="PushLabel"/>
        </w:rPr>
        <w:t xml:space="preserve">If they push: </w:t>
      </w:r>
      <w:r>
        <w:t>The overlay is calibrated from relative size-portfolio performance in broad-market stress windows and is adverse-only. Large/mega cap is the zero reference; smaller-cap fragility is added as a separate log-return channel.</w:t>
      </w:r>
    </w:p>
    <w:p>
      <w:pPr>
        <w:pStyle w:val="Heading3"/>
      </w:pPr>
      <w:r>
        <w:t>Q34. Aren’t you double counting small tech names through AI and size?</w:t>
      </w:r>
    </w:p>
    <w:p>
      <w:pPr>
        <w:spacing w:after="80"/>
        <w:ind w:left="173"/>
      </w:pPr>
      <w:r>
        <w:rPr>
          <w:rStyle w:val="AnswerLabel"/>
        </w:rPr>
        <w:t xml:space="preserve">MD answer: </w:t>
      </w:r>
      <w:r>
        <w:t>No, because the two terms represent different mechanisms. AI intensity measures thematic repricing; the size overlay measures relative liquidity/funding fragility during stressed markets.</w:t>
      </w:r>
    </w:p>
    <w:p>
      <w:pPr>
        <w:spacing w:after="80"/>
        <w:ind w:left="173"/>
      </w:pPr>
      <w:r>
        <w:rPr>
          <w:rStyle w:val="PushLabel"/>
        </w:rPr>
        <w:t xml:space="preserve">If they push: </w:t>
      </w:r>
      <w:r>
        <w:t>The separation is explicit in the equation and can be attributed independently. If the size term becomes material, we can show the portfolio loss with and without it.</w:t>
      </w:r>
    </w:p>
    <w:p>
      <w:pPr>
        <w:pStyle w:val="Heading1"/>
      </w:pPr>
      <w:r>
        <w:t>12. Probability model</w:t>
      </w:r>
    </w:p>
    <w:p>
      <w:pPr>
        <w:pStyle w:val="Heading3"/>
      </w:pPr>
      <w:r>
        <w:t>Q35. Are these probabilities the probability of an AI crash?</w:t>
      </w:r>
    </w:p>
    <w:p>
      <w:pPr>
        <w:spacing w:after="80"/>
        <w:ind w:left="173"/>
      </w:pPr>
      <w:r>
        <w:rPr>
          <w:rStyle w:val="AnswerLabel"/>
        </w:rPr>
        <w:t xml:space="preserve">MD answer: </w:t>
      </w:r>
      <w:r>
        <w:t>No. They are conditional severity weights: P(case s | a qualifying burst has occurred). The model does not estimate the probability or timing of the burst itself.</w:t>
      </w:r>
    </w:p>
    <w:p>
      <w:pPr>
        <w:spacing w:after="80"/>
        <w:ind w:left="173"/>
      </w:pPr>
      <w:r>
        <w:rPr>
          <w:rStyle w:val="PushLabel"/>
        </w:rPr>
        <w:t xml:space="preserve">If they push: </w:t>
      </w:r>
      <w:r>
        <w:t>An unconditional scenario probability would be P(burst) × P(severity | burst). Only the second term is estimated here.</w:t>
      </w:r>
    </w:p>
    <w:p>
      <w:pPr>
        <w:pStyle w:val="Heading3"/>
      </w:pPr>
      <w:r>
        <w:t>Q36. Why define a qualifying burst as a 40% drawdown?</w:t>
      </w:r>
    </w:p>
    <w:p>
      <w:pPr>
        <w:spacing w:after="80"/>
        <w:ind w:left="173"/>
      </w:pPr>
      <w:r>
        <w:rPr>
          <w:rStyle w:val="AnswerLabel"/>
        </w:rPr>
        <w:t xml:space="preserve">MD answer: </w:t>
      </w:r>
      <w:r>
        <w:t>Because the historical event sample is defined consistently around material post-run-up crashes of at least 40%. The threshold defines the conditioning event; it is not inferred from today’s market.</w:t>
      </w:r>
    </w:p>
    <w:p>
      <w:pPr>
        <w:spacing w:after="80"/>
        <w:ind w:left="173"/>
      </w:pPr>
      <w:r>
        <w:rPr>
          <w:rStyle w:val="PushLabel"/>
        </w:rPr>
        <w:t xml:space="preserve">If they push: </w:t>
      </w:r>
      <w:r>
        <w:t>Changing the threshold would change the sample and should be treated as a design sensitivity rather than quietly re-estimating the same model.</w:t>
      </w:r>
    </w:p>
    <w:p>
      <w:pPr>
        <w:pStyle w:val="Heading3"/>
      </w:pPr>
      <w:r>
        <w:t>Q37. Why does Mild represent a 40–44% crash region when its anchor is only about 32%?</w:t>
      </w:r>
    </w:p>
    <w:p>
      <w:pPr>
        <w:spacing w:after="80"/>
        <w:ind w:left="173"/>
      </w:pPr>
      <w:r>
        <w:rPr>
          <w:rStyle w:val="AnswerLabel"/>
        </w:rPr>
        <w:t xml:space="preserve">MD answer: </w:t>
      </w:r>
      <w:r>
        <w:t>Because the five scenarios are representative points of a continuous severity distribution, not literal exact outcomes. Once we condition on a ≥40% burst, Mild becomes the representative for the least-severe burst region.</w:t>
      </w:r>
    </w:p>
    <w:p>
      <w:pPr>
        <w:spacing w:after="80"/>
        <w:ind w:left="173"/>
      </w:pPr>
      <w:r>
        <w:rPr>
          <w:rStyle w:val="PushLabel"/>
        </w:rPr>
        <w:t xml:space="preserve">If they push: </w:t>
      </w:r>
      <w:r>
        <w:t>The assignment uses nearest-scenario cells in positive log-loss space. The scenario anchor can lie below the conditioning threshold while still representing the first admissible cell.</w:t>
      </w:r>
    </w:p>
    <w:p>
      <w:pPr>
        <w:pStyle w:val="Heading3"/>
      </w:pPr>
      <w:r>
        <w:t>Q38. Why use log-loss space for the scenario cells?</w:t>
      </w:r>
    </w:p>
    <w:p>
      <w:pPr>
        <w:spacing w:after="80"/>
        <w:ind w:left="173"/>
      </w:pPr>
      <w:r>
        <w:rPr>
          <w:rStyle w:val="AnswerLabel"/>
        </w:rPr>
        <w:t xml:space="preserve">MD answer: </w:t>
      </w:r>
      <w:r>
        <w:t>Because the stress engine itself is additive in log returns. Defining nearest-scenario regions in the same geometry keeps the probability discretization consistent with the deterministic stress model.</w:t>
      </w:r>
    </w:p>
    <w:p>
      <w:pPr>
        <w:spacing w:after="80"/>
        <w:ind w:left="173"/>
      </w:pPr>
      <w:r>
        <w:rPr>
          <w:rStyle w:val="PushLabel"/>
        </w:rPr>
        <w:t xml:space="preserve">If they push: </w:t>
      </w:r>
      <w:r>
        <w:t>The transformation is monotonic, so ordering is unchanged; it simply gives the right distance notion for large proportional losses.</w:t>
      </w:r>
    </w:p>
    <w:p>
      <w:pPr>
        <w:pStyle w:val="Heading3"/>
      </w:pPr>
      <w:r>
        <w:t>Q39. Twenty-one crash episodes sounds tiny. Is that enough?</w:t>
      </w:r>
    </w:p>
    <w:p>
      <w:pPr>
        <w:spacing w:after="80"/>
        <w:ind w:left="173"/>
      </w:pPr>
      <w:r>
        <w:rPr>
          <w:rStyle w:val="AnswerLabel"/>
        </w:rPr>
        <w:t xml:space="preserve">MD answer: </w:t>
      </w:r>
      <w:r>
        <w:t>It is enough to estimate a broad conditional severity mix, but not enough for precise tail inference. The model is intentionally modest about that limitation.</w:t>
      </w:r>
    </w:p>
    <w:p>
      <w:pPr>
        <w:spacing w:after="80"/>
        <w:ind w:left="173"/>
      </w:pPr>
      <w:r>
        <w:rPr>
          <w:rStyle w:val="PushLabel"/>
        </w:rPr>
        <w:t xml:space="preserve">If they push: </w:t>
      </w:r>
      <w:r>
        <w:t>That is why it uses four parsimonious two-parameter families, AICc model averaging, 5,000 episode-level bootstrap refits, and a low-assumption Dirichlet cross-check. Wide tail intervals are treated as information, not hidden.</w:t>
      </w:r>
    </w:p>
    <w:p>
      <w:pPr>
        <w:pStyle w:val="Heading3"/>
      </w:pPr>
      <w:r>
        <w:t>Q40. Why not just use the raw historical frequencies: 0, 9, 9, 3, 0?</w:t>
      </w:r>
    </w:p>
    <w:p>
      <w:pPr>
        <w:spacing w:after="80"/>
        <w:ind w:left="173"/>
      </w:pPr>
      <w:r>
        <w:rPr>
          <w:rStyle w:val="AnswerLabel"/>
        </w:rPr>
        <w:t xml:space="preserve">MD answer: </w:t>
      </w:r>
      <w:r>
        <w:t>Raw frequencies are a useful cross-check, but zero observations in a tail cell should not be interpreted as literally zero tail probability with only 21 events.</w:t>
      </w:r>
    </w:p>
    <w:p>
      <w:pPr>
        <w:spacing w:after="80"/>
        <w:ind w:left="173"/>
      </w:pPr>
      <w:r>
        <w:rPr>
          <w:rStyle w:val="PushLabel"/>
        </w:rPr>
        <w:t xml:space="preserve">If they push: </w:t>
      </w:r>
      <w:r>
        <w:t>The continuous model smooths across the severity distribution while remaining close to the empirical counts. The raw frequencies and Jeffreys-Dirichlet estimate are shown specifically so the parametric layer cannot hide what the data directly says.</w:t>
      </w:r>
    </w:p>
    <w:p>
      <w:pPr>
        <w:pStyle w:val="Heading3"/>
      </w:pPr>
      <w:r>
        <w:t>Q41. Why fit Beta, Gamma, Weibull and Lognormal?</w:t>
      </w:r>
    </w:p>
    <w:p>
      <w:pPr>
        <w:spacing w:after="80"/>
        <w:ind w:left="173"/>
      </w:pPr>
      <w:r>
        <w:rPr>
          <w:rStyle w:val="AnswerLabel"/>
        </w:rPr>
        <w:t xml:space="preserve">MD answer: </w:t>
      </w:r>
      <w:r>
        <w:t>They are simple, parsimonious shapes that can represent bounded or right-skewed crash severity after the appropriate transformation. The goal is not to claim one family is “true.”</w:t>
      </w:r>
    </w:p>
    <w:p>
      <w:pPr>
        <w:spacing w:after="80"/>
        <w:ind w:left="173"/>
      </w:pPr>
      <w:r>
        <w:rPr>
          <w:rStyle w:val="PushLabel"/>
        </w:rPr>
        <w:t xml:space="preserve">If they push: </w:t>
      </w:r>
      <w:r>
        <w:t>All have two parameters and likelihoods are evaluated on a common drawdown scale including the Jacobian, so AICc comparisons are coherent.</w:t>
      </w:r>
    </w:p>
    <w:p>
      <w:pPr>
        <w:pStyle w:val="Heading3"/>
      </w:pPr>
      <w:r>
        <w:t>Q42. Why AICc rather than picking the best model?</w:t>
      </w:r>
    </w:p>
    <w:p>
      <w:pPr>
        <w:spacing w:after="80"/>
        <w:ind w:left="173"/>
      </w:pPr>
      <w:r>
        <w:rPr>
          <w:rStyle w:val="AnswerLabel"/>
        </w:rPr>
        <w:t xml:space="preserve">MD answer: </w:t>
      </w:r>
      <w:r>
        <w:t>With only 21 observations, the data does not strongly distinguish among plausible shapes. AICc penalizes small-sample complexity, and model averaging avoids pretending one fragile tail family is certainly correct.</w:t>
      </w:r>
    </w:p>
    <w:p>
      <w:pPr>
        <w:spacing w:after="80"/>
        <w:ind w:left="173"/>
      </w:pPr>
      <w:r>
        <w:rPr>
          <w:rStyle w:val="PushLabel"/>
        </w:rPr>
        <w:t xml:space="preserve">If they push: </w:t>
      </w:r>
      <w:r>
        <w:t>The AICc weights are evidence weights inside the candidate set, not Bayesian posterior probabilities.</w:t>
      </w:r>
    </w:p>
    <w:p>
      <w:pPr>
        <w:pStyle w:val="Heading3"/>
      </w:pPr>
      <w:r>
        <w:t>Q43. Why bootstrap episodes rather than daily returns?</w:t>
      </w:r>
    </w:p>
    <w:p>
      <w:pPr>
        <w:spacing w:after="80"/>
        <w:ind w:left="173"/>
      </w:pPr>
      <w:r>
        <w:rPr>
          <w:rStyle w:val="AnswerLabel"/>
        </w:rPr>
        <w:t xml:space="preserve">MD answer: </w:t>
      </w:r>
      <w:r>
        <w:t>Because the statistical unit is the crash episode. Resampling days would create fake precision by treating observations inside the same event as independent.</w:t>
      </w:r>
    </w:p>
    <w:p>
      <w:pPr>
        <w:spacing w:after="80"/>
        <w:ind w:left="173"/>
      </w:pPr>
      <w:r>
        <w:rPr>
          <w:rStyle w:val="PushLabel"/>
        </w:rPr>
        <w:t xml:space="preserve">If they push: </w:t>
      </w:r>
      <w:r>
        <w:t>Each of 5,000 bootstrap samples resamples the 21 episodes and refits the full ensemble, including model weights and cell probabilities, so sampling and part of functional-form uncertainty propagate together.</w:t>
      </w:r>
    </w:p>
    <w:p>
      <w:pPr>
        <w:pStyle w:val="Heading3"/>
      </w:pPr>
      <w:r>
        <w:t>Q44. How should I interpret the 1.3%, 46.5%, 37.6%, 12.5%, 2.1%?</w:t>
      </w:r>
    </w:p>
    <w:p>
      <w:pPr>
        <w:spacing w:after="80"/>
        <w:ind w:left="173"/>
      </w:pPr>
      <w:r>
        <w:rPr>
          <w:rStyle w:val="AnswerLabel"/>
        </w:rPr>
        <w:t xml:space="preserve">MD answer: </w:t>
      </w:r>
      <w:r>
        <w:t>Conditional on a qualifying burst, most severity mass sits in Base and Severe—about 84% combined. Extreme is meaningful but secondary; Mild and Worst are tail regions.</w:t>
      </w:r>
    </w:p>
    <w:p>
      <w:pPr>
        <w:spacing w:after="80"/>
        <w:ind w:left="173"/>
      </w:pPr>
      <w:r>
        <w:rPr>
          <w:rStyle w:val="PushLabel"/>
        </w:rPr>
        <w:t xml:space="preserve">If they push: </w:t>
      </w:r>
      <w:r>
        <w:t>A useful validation is that the probability-weighted representative drawdown is about 60.6%, very close to the historical sample mean of about 60.3%, even though the model was not forced to match that mean.</w:t>
      </w:r>
    </w:p>
    <w:p>
      <w:pPr>
        <w:pStyle w:val="Heading3"/>
      </w:pPr>
      <w:r>
        <w:t>Q45. Can we use the probability-weighted expected loss as the risk number?</w:t>
      </w:r>
    </w:p>
    <w:p>
      <w:pPr>
        <w:spacing w:after="80"/>
        <w:ind w:left="173"/>
      </w:pPr>
      <w:r>
        <w:rPr>
          <w:rStyle w:val="AnswerLabel"/>
        </w:rPr>
        <w:t xml:space="preserve">MD answer: </w:t>
      </w:r>
      <w:r>
        <w:t>It can be a useful conditional summary for comparing portfolios, but it should not replace the standalone Severe, Extreme and Worst stress cases.</w:t>
      </w:r>
    </w:p>
    <w:p>
      <w:pPr>
        <w:spacing w:after="80"/>
        <w:ind w:left="173"/>
      </w:pPr>
      <w:r>
        <w:rPr>
          <w:rStyle w:val="PushLabel"/>
        </w:rPr>
        <w:t xml:space="preserve">If they push: </w:t>
      </w:r>
      <w:r>
        <w:t>Weight completed scenario P&amp;Ls or simple-return outcomes, not average log shocks first. The conversion from log return to P&amp;L is nonlinear.</w:t>
      </w:r>
    </w:p>
    <w:p>
      <w:pPr>
        <w:pStyle w:val="Heading1"/>
      </w:pPr>
      <w:r>
        <w:t>13. Harder MD / model-risk questions</w:t>
      </w:r>
    </w:p>
    <w:p>
      <w:pPr>
        <w:pStyle w:val="Heading3"/>
      </w:pPr>
      <w:r>
        <w:t>Q46. What would make you least confident in the output?</w:t>
      </w:r>
    </w:p>
    <w:p>
      <w:pPr>
        <w:spacing w:after="80"/>
        <w:ind w:left="173"/>
      </w:pPr>
      <w:r>
        <w:rPr>
          <w:rStyle w:val="AnswerLabel"/>
        </w:rPr>
        <w:t xml:space="preserve">MD answer: </w:t>
      </w:r>
      <w:r>
        <w:t>A portfolio dominated by names with weak proxies, short histories, or exposures outside the modeled AI transmission channels. In that case I would rely more on direct overrides and sensitivity ranges than on a single point estimate.</w:t>
      </w:r>
    </w:p>
    <w:p>
      <w:pPr>
        <w:spacing w:after="80"/>
        <w:ind w:left="173"/>
      </w:pPr>
      <w:r>
        <w:rPr>
          <w:rStyle w:val="PushLabel"/>
        </w:rPr>
        <w:t xml:space="preserve">If they push: </w:t>
      </w:r>
      <w:r>
        <w:t>The main structural risks are analogue risk, proxy/basis risk, economic-score specification, tail extrapolation, and small probability sample size.</w:t>
      </w:r>
    </w:p>
    <w:p>
      <w:pPr>
        <w:pStyle w:val="Heading3"/>
      </w:pPr>
      <w:r>
        <w:t>Q47. How do you know you are not just fitting the answer you want?</w:t>
      </w:r>
    </w:p>
    <w:p>
      <w:pPr>
        <w:spacing w:after="80"/>
        <w:ind w:left="173"/>
      </w:pPr>
      <w:r>
        <w:rPr>
          <w:rStyle w:val="AnswerLabel"/>
        </w:rPr>
        <w:t xml:space="preserve">MD answer: </w:t>
      </w:r>
      <w:r>
        <w:t>The important blocks are separated and auditable: exposure is estimated independently from scenario severity; economic scores are governed inputs; probability does not change the deterministic shocks; and stock overrides replace rather than stack on generic rows.</w:t>
      </w:r>
    </w:p>
    <w:p>
      <w:pPr>
        <w:spacing w:after="80"/>
        <w:ind w:left="173"/>
      </w:pPr>
      <w:r>
        <w:rPr>
          <w:rStyle w:val="PushLabel"/>
        </w:rPr>
        <w:t xml:space="preserve">If they push: </w:t>
      </w:r>
      <w:r>
        <w:t>The code also checks mechanical invariants—orthogonality, component arithmetic, bounds, coherence, mapping rules and probability sums. The right governance test is whether assumptions are stable before looking at client losses.</w:t>
      </w:r>
    </w:p>
    <w:p>
      <w:pPr>
        <w:pStyle w:val="Heading3"/>
      </w:pPr>
      <w:r>
        <w:t>Q48. What parts are estimated versus judgemental?</w:t>
      </w:r>
    </w:p>
    <w:p>
      <w:pPr>
        <w:spacing w:after="80"/>
        <w:ind w:left="173"/>
      </w:pPr>
      <w:r>
        <w:rPr>
          <w:rStyle w:val="AnswerLabel"/>
        </w:rPr>
        <w:t xml:space="preserve">MD answer: </w:t>
      </w:r>
      <w:r>
        <w:t>Estimated: return betas/co-movement, the residualized AI factor, historical market/TMT shock paths, valuation premium, size stress statistics and conditional severity distribution. Governed: the 60/40 blend, 35/65 economic mix, λ=0.5 tilt, 1.5 cap, coherence threshold/margin, Base floor/cap and Extreme/Worst multipliers.</w:t>
      </w:r>
    </w:p>
    <w:p>
      <w:pPr>
        <w:spacing w:after="80"/>
        <w:ind w:left="173"/>
      </w:pPr>
      <w:r>
        <w:rPr>
          <w:rStyle w:val="PushLabel"/>
        </w:rPr>
        <w:t xml:space="preserve">If they push: </w:t>
      </w:r>
      <w:r>
        <w:t>Being explicit about that split is a feature. It tells us exactly where sensitivity and governance belong.</w:t>
      </w:r>
    </w:p>
    <w:p>
      <w:pPr>
        <w:pStyle w:val="Heading3"/>
      </w:pPr>
      <w:r>
        <w:t>Q49. What sensitivity would you show first if challenged?</w:t>
      </w:r>
    </w:p>
    <w:p>
      <w:pPr>
        <w:spacing w:after="80"/>
        <w:ind w:left="173"/>
      </w:pPr>
      <w:r>
        <w:rPr>
          <w:rStyle w:val="AnswerLabel"/>
        </w:rPr>
        <w:t xml:space="preserve">MD answer: </w:t>
      </w:r>
      <w:r>
        <w:t>I would vary the high-impact governed assumptions one at a time: statistical/economic weight, industry tilt, Base κ bounds, tail multipliers and size overlay. Then I would show whether client ranking and aggregate loss conclusions are stable.</w:t>
      </w:r>
    </w:p>
    <w:p>
      <w:pPr>
        <w:spacing w:after="80"/>
        <w:ind w:left="173"/>
      </w:pPr>
      <w:r>
        <w:rPr>
          <w:rStyle w:val="PushLabel"/>
        </w:rPr>
        <w:t xml:space="preserve">If they push: </w:t>
      </w:r>
      <w:r>
        <w:t>For a material single name, I would also compare generic cell versus direct stock override and show component attribution: market, AI-excess and size.</w:t>
      </w:r>
    </w:p>
    <w:p>
      <w:pPr>
        <w:pStyle w:val="Heading3"/>
      </w:pPr>
      <w:r>
        <w:t>Q50. Why should management trust a model built around one historical analogue?</w:t>
      </w:r>
    </w:p>
    <w:p>
      <w:pPr>
        <w:spacing w:after="80"/>
        <w:ind w:left="173"/>
      </w:pPr>
      <w:r>
        <w:rPr>
          <w:rStyle w:val="AnswerLabel"/>
        </w:rPr>
        <w:t xml:space="preserve">MD answer: </w:t>
      </w:r>
      <w:r>
        <w:t>Management should not treat it as a forecast. The value is that it gives a transparent, decomposable and reproducible conditional stress anchored to a real technology unwind rather than an arbitrary flat shock.</w:t>
      </w:r>
    </w:p>
    <w:p>
      <w:pPr>
        <w:spacing w:after="80"/>
        <w:ind w:left="173"/>
      </w:pPr>
      <w:r>
        <w:rPr>
          <w:rStyle w:val="PushLabel"/>
        </w:rPr>
        <w:t xml:space="preserve">If they push: </w:t>
      </w:r>
      <w:r>
        <w:t>The framework is modular: a different historical analogue or blended analogue can replace the shock calibration without rebuilding the exposure or portfolio machinery. Dot-com is the current anchor, not an irreversible model identity.</w:t>
      </w:r>
    </w:p>
    <w:p>
      <w:pPr>
        <w:pStyle w:val="Heading3"/>
      </w:pPr>
      <w:r>
        <w:t>Q51. How is this better than a simple -30% / -50% / -70% shock grid?</w:t>
      </w:r>
    </w:p>
    <w:p>
      <w:pPr>
        <w:spacing w:after="80"/>
        <w:ind w:left="173"/>
      </w:pPr>
      <w:r>
        <w:rPr>
          <w:rStyle w:val="AnswerLabel"/>
        </w:rPr>
        <w:t xml:space="preserve">MD answer: </w:t>
      </w:r>
      <w:r>
        <w:t>A flat grid is easy but cannot distinguish ordinary market beta from incremental AI exposure, cannot reflect country/industry structure, and has no historically grounded loss-arrival path. This framework preserves those channels and gives component-level attribution.</w:t>
      </w:r>
    </w:p>
    <w:p>
      <w:pPr>
        <w:spacing w:after="80"/>
        <w:ind w:left="173"/>
      </w:pPr>
      <w:r>
        <w:rPr>
          <w:rStyle w:val="PushLabel"/>
        </w:rPr>
        <w:t xml:space="preserve">If they push: </w:t>
      </w:r>
      <w:r>
        <w:t>The trade-off is more model risk, so the extra structure only earns its keep if assumptions are transparent, sensitivity is available and material positions can be overridden with better data.</w:t>
      </w:r>
    </w:p>
    <w:p>
      <w:pPr>
        <w:pStyle w:val="Heading3"/>
      </w:pPr>
      <w:r>
        <w:t>Q52. If the current AI cycle is not a bubble, is the model useless?</w:t>
      </w:r>
    </w:p>
    <w:p>
      <w:pPr>
        <w:spacing w:after="80"/>
        <w:ind w:left="173"/>
      </w:pPr>
      <w:r>
        <w:rPr>
          <w:rStyle w:val="AnswerLabel"/>
        </w:rPr>
        <w:t xml:space="preserve">MD answer: </w:t>
      </w:r>
      <w:r>
        <w:t>No. It is a conditional counterfactual. Risk management routinely asks what happens under adverse states without asserting those states are the base case.</w:t>
      </w:r>
    </w:p>
    <w:p>
      <w:pPr>
        <w:spacing w:after="80"/>
        <w:ind w:left="173"/>
      </w:pPr>
      <w:r>
        <w:rPr>
          <w:rStyle w:val="PushLabel"/>
        </w:rPr>
        <w:t xml:space="preserve">If they push: </w:t>
      </w:r>
      <w:r>
        <w:t>The model’s usefulness is in concentration, margin and counterparty risk: it tells us which portfolios are vulnerable if the thematic repricing occurs.</w:t>
      </w:r>
    </w:p>
    <w:p>
      <w:pPr>
        <w:pStyle w:val="Heading3"/>
      </w:pPr>
      <w:r>
        <w:t>Q53. What would you improve next?</w:t>
      </w:r>
    </w:p>
    <w:p>
      <w:pPr>
        <w:spacing w:after="80"/>
        <w:ind w:left="173"/>
      </w:pPr>
      <w:r>
        <w:rPr>
          <w:rStyle w:val="AnswerLabel"/>
        </w:rPr>
        <w:t xml:space="preserve">MD answer: </w:t>
      </w:r>
      <w:r>
        <w:t>First, improve direct proxy coverage for material names and local sectors. Second, expand analogue and sensitivity validation. Third, if management wants unconditional probabilities, build and validate a completely separate burst-hazard module.</w:t>
      </w:r>
    </w:p>
    <w:p>
      <w:pPr>
        <w:spacing w:after="80"/>
        <w:ind w:left="173"/>
      </w:pPr>
      <w:r>
        <w:rPr>
          <w:rStyle w:val="PushLabel"/>
        </w:rPr>
        <w:t xml:space="preserve">If they push: </w:t>
      </w:r>
      <w:r>
        <w:t>I would not add more complexity to the existing severity engine until those data and validation improvements justify it.</w:t>
      </w:r>
    </w:p>
    <w:p>
      <w:pPr>
        <w:pStyle w:val="Heading1"/>
      </w:pPr>
      <w:r>
        <w:t>14. Statements to avoid in the room</w:t>
      </w:r>
    </w:p>
    <w:p>
      <w:pPr>
        <w:pStyle w:val="ListBullet"/>
        <w:spacing w:after="60"/>
      </w:pPr>
      <w:r>
        <w:rPr>
          <w:b/>
          <w:color w:val="C00000"/>
        </w:rPr>
        <w:t xml:space="preserve">“The model predicts the AI bubble will crash.” </w:t>
      </w:r>
      <w:r>
        <w:t>It does not. It is conditional.</w:t>
      </w:r>
    </w:p>
    <w:p>
      <w:pPr>
        <w:pStyle w:val="ListBullet"/>
        <w:spacing w:after="60"/>
      </w:pPr>
      <w:r>
        <w:rPr>
          <w:b/>
          <w:color w:val="C00000"/>
        </w:rPr>
        <w:t xml:space="preserve">“The 2.1% Worst probability means a 2.1% chance of an 83% crash this year.” </w:t>
      </w:r>
      <w:r>
        <w:t>Wrong conditioning and wrong calendar interpretation.</w:t>
      </w:r>
    </w:p>
    <w:p>
      <w:pPr>
        <w:pStyle w:val="ListBullet"/>
        <w:spacing w:after="60"/>
      </w:pPr>
      <w:r>
        <w:rPr>
          <w:b/>
          <w:color w:val="C00000"/>
        </w:rPr>
        <w:t xml:space="preserve">“60/40 is statistically optimal.” </w:t>
      </w:r>
      <w:r>
        <w:t>It is a governed specification unless separately validated as optimal.</w:t>
      </w:r>
    </w:p>
    <w:p>
      <w:pPr>
        <w:pStyle w:val="ListBullet"/>
        <w:spacing w:after="60"/>
      </w:pPr>
      <w:r>
        <w:rPr>
          <w:b/>
          <w:color w:val="C00000"/>
        </w:rPr>
        <w:t xml:space="preserve">“Extreme and Worst are historically observed cases.” </w:t>
      </w:r>
      <w:r>
        <w:t>They are extrapolated tail stress-design cases.</w:t>
      </w:r>
    </w:p>
    <w:p>
      <w:pPr>
        <w:pStyle w:val="ListBullet"/>
        <w:spacing w:after="60"/>
      </w:pPr>
      <w:r>
        <w:rPr>
          <w:b/>
          <w:color w:val="C00000"/>
        </w:rPr>
        <w:t xml:space="preserve">“The economic score is data-driven.” </w:t>
      </w:r>
      <w:r>
        <w:t>It is governed structural input.</w:t>
      </w:r>
    </w:p>
    <w:p>
      <w:pPr>
        <w:pStyle w:val="ListBullet"/>
        <w:spacing w:after="60"/>
      </w:pPr>
      <w:r>
        <w:rPr>
          <w:b/>
          <w:color w:val="C00000"/>
        </w:rPr>
        <w:t xml:space="preserve">“The coherence floor is estimated.” </w:t>
      </w:r>
      <w:r>
        <w:t>It is a narrow model constraint.</w:t>
      </w:r>
    </w:p>
    <w:p>
      <w:pPr>
        <w:pStyle w:val="ListBullet"/>
        <w:spacing w:after="60"/>
      </w:pPr>
      <w:r>
        <w:rPr>
          <w:b/>
          <w:color w:val="C00000"/>
        </w:rPr>
        <w:t xml:space="preserve">“Dot-com is a forecast of what AI will do.” </w:t>
      </w:r>
      <w:r>
        <w:t>It is a conditional severity analogue.</w:t>
      </w:r>
    </w:p>
    <w:p>
      <w:pPr>
        <w:pStyle w:val="ListBullet"/>
        <w:spacing w:after="60"/>
      </w:pPr>
      <w:r>
        <w:rPr>
          <w:b/>
          <w:color w:val="C00000"/>
        </w:rPr>
        <w:t xml:space="preserve">“A negative AI residual beta means the stock benefits in an AI crash.” </w:t>
      </w:r>
      <w:r>
        <w:t>Not in the production adverse-stress convention.</w:t>
      </w:r>
    </w:p>
    <w:p>
      <w:pPr>
        <w:pStyle w:val="ListBullet"/>
        <w:spacing w:after="60"/>
      </w:pPr>
      <w:r>
        <w:rPr>
          <w:b/>
          <w:color w:val="C00000"/>
        </w:rPr>
        <w:t xml:space="preserve">“The probabilities make Severe less important because it is only 37.6%.” </w:t>
      </w:r>
      <w:r>
        <w:t>Standalone tail stresses remain risk limits / challenge cases; probability weighting is an optional summary.</w:t>
      </w:r>
    </w:p>
    <w:p>
      <w:pPr>
        <w:pStyle w:val="ListBullet"/>
        <w:spacing w:after="60"/>
      </w:pPr>
      <w:r>
        <w:rPr>
          <w:b/>
          <w:color w:val="C00000"/>
        </w:rPr>
        <w:t xml:space="preserve">“The model eliminates double counting everywhere.” </w:t>
      </w:r>
      <w:r>
        <w:t>It is designed to reduce identifiable channel double counting; basis risk and correlation across mechanisms still require judgement.</w:t>
      </w:r>
    </w:p>
    <w:p>
      <w:pPr>
        <w:pStyle w:val="Heading1"/>
      </w:pPr>
      <w:r>
        <w:t>15. 30-second answer if an MD asks “walk me through the model”</w:t>
      </w:r>
    </w:p>
    <w:p>
      <w:pPr>
        <w:ind w:left="288" w:right="288"/>
      </w:pPr>
      <w:r>
        <w:rPr>
          <w:b/>
          <w:sz w:val="24"/>
        </w:rPr>
        <w:t>“</w:t>
      </w:r>
      <w:r>
        <w:rPr>
          <w:sz w:val="22"/>
        </w:rPr>
        <w:t>The model separates market risk from incremental AI risk. I first remove ordinary market beta from the AI basket, then estimate each country, industry or stock’s AI-excess vulnerability and stabilize it with a governed economic score. Separately, I decompose the dot-com unwind into broad-market and TMT-excess shocks, scale Base severity using today’s relative valuation premium, and use the actual historical loss path for one-week to two-month horizons. Stock overrides and size fragility are separate layers. Finally, the probability model only says how severity is distributed if a qualifying burst occurs—it does not predict the burst itself.</w:t>
      </w:r>
      <w:r>
        <w:rPr>
          <w:b/>
          <w:sz w:val="24"/>
        </w:rPr>
        <w:t>”</w:t>
      </w:r>
    </w:p>
    <w:p>
      <w:pPr>
        <w:pStyle w:val="Heading1"/>
      </w:pPr>
      <w:r>
        <w:t>Appendix A. Fast reference: probability model</w:t>
      </w:r>
    </w:p>
    <w:p>
      <w:pPr>
        <w:pStyle w:val="ListBullet"/>
        <w:spacing w:after="40"/>
      </w:pPr>
      <w:r>
        <w:t>Historical conditional sample: 21 qualifying U.S. industry crash episodes.</w:t>
      </w:r>
    </w:p>
    <w:p>
      <w:pPr>
        <w:pStyle w:val="ListBullet"/>
        <w:spacing w:after="40"/>
      </w:pPr>
      <w:r>
        <w:t>Conditioning event: peak-to-trough drawdown D ≥ 40%.</w:t>
      </w:r>
    </w:p>
    <w:p>
      <w:pPr>
        <w:pStyle w:val="ListBullet"/>
        <w:spacing w:after="40"/>
      </w:pPr>
      <w:r>
        <w:t>Observed five-cell counts: (0, 9, 9, 3, 0).</w:t>
      </w:r>
    </w:p>
    <w:p>
      <w:pPr>
        <w:pStyle w:val="ListBullet"/>
        <w:spacing w:after="40"/>
      </w:pPr>
      <w:r>
        <w:t>Representative terminal drawdowns: Mild 31.9%, Base 53.7%, Severe 63.9%, Extreme 75.3%, Worst 83.1%.</w:t>
      </w:r>
    </w:p>
    <w:p>
      <w:pPr>
        <w:pStyle w:val="ListBullet"/>
        <w:spacing w:after="40"/>
      </w:pPr>
      <w:r>
        <w:t>Conditional cells in drawdown space are approximately 40.0–43.8%, 43.8–59.1%, 59.1–70.1%, 70.1–79.5%, 79.5–100%.</w:t>
      </w:r>
    </w:p>
    <w:p>
      <w:pPr>
        <w:pStyle w:val="ListBullet"/>
        <w:spacing w:after="40"/>
      </w:pPr>
      <w:r>
        <w:t>Central conditional weights: 1.3%, 46.5%, 37.6%, 12.5%, 2.1%.</w:t>
      </w:r>
    </w:p>
    <w:p>
      <w:pPr>
        <w:pStyle w:val="ListBullet"/>
        <w:spacing w:after="40"/>
      </w:pPr>
      <w:r>
        <w:t>90% bootstrap ranges: Mild 0.1–3.7%, Base 31.8–59.9%, Severe 28.7–48.5%, Extreme 5.5–19.3%, Worst 0.4–4.3%.</w:t>
      </w:r>
    </w:p>
    <w:p>
      <w:pPr>
        <w:pStyle w:val="ListBullet"/>
        <w:spacing w:after="40"/>
      </w:pPr>
      <w:r>
        <w:t>Weighted representative drawdown: ~60.6% versus historical sample mean ~60.3%.</w:t>
      </w:r>
    </w:p>
    <w:p>
      <w:pPr>
        <w:pStyle w:val="Heading1"/>
      </w:pPr>
      <w:r>
        <w:t>Appendix B. Fast reference: deterministic severity</w:t>
      </w:r>
    </w:p>
    <w:p>
      <w:pPr>
        <w:pStyle w:val="ListBullet"/>
        <w:spacing w:after="40"/>
      </w:pPr>
      <w:r>
        <w:t>Core log stress: R = β_W·S_W + I_AI·S_X + size overlay (where applicable).</w:t>
      </w:r>
    </w:p>
    <w:p>
      <w:pPr>
        <w:pStyle w:val="ListBullet"/>
        <w:spacing w:after="40"/>
      </w:pPr>
      <w:r>
        <w:t>Base κ = 0.670739 from current relative TMT valuation premium versus dot-com.</w:t>
      </w:r>
    </w:p>
    <w:p>
      <w:pPr>
        <w:pStyle w:val="ListBullet"/>
        <w:spacing w:after="40"/>
      </w:pPr>
      <w:r>
        <w:t>Scenario κ: Mild 0.335370, Base 0.670739, Severe 1.0, Extreme 1.5, Worst 2.0.</w:t>
      </w:r>
    </w:p>
    <w:p>
      <w:pPr>
        <w:pStyle w:val="ListBullet"/>
        <w:spacing w:after="40"/>
      </w:pPr>
      <w:r>
        <w:t>Mild broad-market scale = 0.50; Base through Worst = 1.00.</w:t>
      </w:r>
    </w:p>
    <w:p>
      <w:pPr>
        <w:pStyle w:val="ListBullet"/>
        <w:spacing w:after="40"/>
      </w:pPr>
      <w:r>
        <w:t>Fixed horizons: 5, 10, 21 and 42 trading days after the historical TMT peak.</w:t>
      </w:r>
    </w:p>
    <w:p>
      <w:pPr>
        <w:pStyle w:val="ListBullet"/>
        <w:spacing w:after="40"/>
      </w:pPr>
      <w:r>
        <w:t>Extreme/Worst are explicit tail extrapolations, not fitted forecasts.</w:t>
      </w:r>
    </w:p>
    <w:p>
      <w:pPr>
        <w:pStyle w:val="Heading1"/>
      </w:pPr>
      <w:r>
        <w:t>Source basis</w:t>
      </w:r>
    </w:p>
    <w:p>
      <w:r>
        <w:rPr>
          <w:i/>
          <w:color w:val="595959"/>
        </w:rPr>
        <w:t>Prepared from the current 15-slide “AI-Linked Equity Crash Stress Model – Theory Summary” deck and the accompanying final methodology / technical handoff materials. Numbers and terminology are aligned to the current 60/40 presentation specification; older V5 lineage is called out separately where relevant.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 xml:space="preserve">AI-Linked Equity Crash Stress Model | MD Q&amp;A Prep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375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549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3752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nswerLabel">
    <w:name w:val="AnswerLabel"/>
    <w:rPr>
      <w:rFonts w:ascii="Aptos" w:hAnsi="Aptos" w:eastAsia="Aptos"/>
      <w:b/>
      <w:color w:val="0070C0"/>
      <w:sz w:val="20"/>
    </w:rPr>
  </w:style>
  <w:style w:type="character" w:customStyle="1" w:styleId="PushLabel">
    <w:name w:val="PushLabel"/>
    <w:rPr>
      <w:rFonts w:ascii="Aptos" w:hAnsi="Aptos" w:eastAsia="Aptos"/>
      <w:b/>
      <w:color w:val="7030A0"/>
      <w:sz w:val="20"/>
    </w:rPr>
  </w:style>
  <w:style w:type="character" w:customStyle="1" w:styleId="AvoidLabel">
    <w:name w:val="AvoidLabel"/>
    <w:rPr>
      <w:rFonts w:ascii="Aptos" w:hAnsi="Aptos" w:eastAsia="Aptos"/>
      <w:b/>
      <w:color w:val="C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AI-Linked Equity Crash Stress Model - MD Q&amp;A Preparation Guide</dc:title>
  <dc:subject>Potential MD questions and concise technical defenses for the full theory presentation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