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Bubble Stress Framework</w:t>
        <w:br/>
      </w:r>
      <w:r>
        <w:rPr>
          <w:b w:val="0"/>
          <w:sz w:val="40"/>
        </w:rPr>
        <w:t>Concise Slide-by-Slide Presentation Script</w:t>
      </w:r>
    </w:p>
    <w:p>
      <w:pPr>
        <w:jc w:val="center"/>
      </w:pPr>
      <w:r>
        <w:rPr>
          <w:color w:val="5F5F5F"/>
          <w:sz w:val="24"/>
        </w:rPr>
        <w:t>Slides 7–16 | Senior Management Version</w:t>
      </w:r>
    </w:p>
    <w:p/>
    <w:tbl>
      <w:tblPr>
        <w:tblW w:type="auto" w:w="0"/>
        <w:jc w:val="center"/>
        <w:tblLayout w:type="fixed"/>
        <w:tblLook w:firstColumn="1" w:firstRow="1" w:lastColumn="0" w:lastRow="0" w:noHBand="0" w:noVBand="1" w:val="04A0"/>
      </w:tblPr>
      <w:tblGrid>
        <w:gridCol w:w="8352"/>
      </w:tblGrid>
      <w:tr>
        <w:tc>
          <w:tcPr>
            <w:tcW w:type="dxa" w:w="9994"/>
            <w:vAlign w:val="center"/>
            <w:shd w:fill="EAF1FB"/>
            <w:tcMar>
              <w:top w:w="180" w:type="dxa"/>
              <w:left w:w="180" w:type="dxa"/>
              <w:bottom w:w="180" w:type="dxa"/>
              <w:right w:w="180" w:type="dxa"/>
            </w:tcMar>
          </w:tcPr>
          <w:p>
            <w:pPr>
              <w:jc w:val="center"/>
            </w:pPr>
            <w:r>
              <w:rPr>
                <w:rFonts w:ascii="Aptos" w:hAnsi="Aptos"/>
                <w:color w:val="232323"/>
                <w:sz w:val="21"/>
              </w:rPr>
              <w:t>Delivery guide</w:t>
              <w:br/>
              <w:t>Aim for roughly 35–50 seconds per slide. Lead with the intuition, use the equations only to support the logic, and end each slide with the takeaway.</w:t>
            </w:r>
          </w:p>
        </w:tc>
      </w:tr>
    </w:tbl>
    <w:p>
      <w:r>
        <w:br w:type="page"/>
      </w:r>
    </w:p>
    <w:p>
      <w:pPr>
        <w:pStyle w:val="Heading1"/>
      </w:pPr>
      <w:r>
        <w:t>Slide 7 — Model Framework</w:t>
      </w:r>
    </w:p>
    <w:p>
      <w:pPr>
        <w:pStyle w:val="ScriptLabel"/>
      </w:pPr>
      <w:r>
        <w:t>Talk track</w:t>
      </w:r>
    </w:p>
    <w:p>
      <w:pPr>
        <w:keepLines/>
        <w:spacing w:after="80"/>
      </w:pPr>
      <w:r>
        <w:t>At a high level, the framework answers two questions: how exposed is each position, and how large should the stress be?</w:t>
      </w:r>
    </w:p>
    <w:p>
      <w:pPr>
        <w:keepLines/>
        <w:spacing w:after="80"/>
      </w:pPr>
      <w:r>
        <w:t>On the left, I use ETF, Fama-French industry and broad-market return data to estimate each country-industry bucket’s world beta and its AI-specific exposure. These are combined into the final country-industry exposure measure.</w:t>
      </w:r>
    </w:p>
    <w:p>
      <w:pPr>
        <w:keepLines/>
        <w:spacing w:after="80"/>
      </w:pPr>
      <w:r>
        <w:t>Separately, I use the dot-com unwind to calibrate the size of the market and AI-excess shocks. The model then produces a default country-industry vector, a market-cap overlay, and individual overrides for 20 major AI-linked stocks such as NVIDIA, TSMC and SK Hynix.</w:t>
      </w:r>
    </w:p>
    <w:p>
      <w:pPr>
        <w:keepLines/>
        <w:spacing w:after="80"/>
      </w:pPr>
      <w:r>
        <w:t>The final output is one position-level stress matched to the security’s country, industry and market cap.</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framework converts market data and a historical scenario into one consistent stress return that can be applied directly across the client portfolio.</w:t>
            </w:r>
          </w:p>
        </w:tc>
      </w:tr>
    </w:tbl>
    <w:p>
      <w:pPr>
        <w:spacing w:before="100" w:after="80"/>
      </w:pPr>
      <w:r>
        <w:rPr>
          <w:b/>
          <w:color w:val="5F5F5F"/>
        </w:rPr>
        <w:t xml:space="preserve">Transition: </w:t>
      </w:r>
      <w:r>
        <w:rPr>
          <w:i/>
          <w:color w:val="5F5F5F"/>
        </w:rPr>
        <w:t>The next slide shows the economic logic behind that final stress.</w:t>
      </w:r>
    </w:p>
    <w:p>
      <w:pPr>
        <w:spacing w:before="40" w:after="80"/>
        <w:pBdr>
          <w:bottom w:val="single" w:sz="4" w:space="1" w:color="D9E2F3"/>
        </w:pBdr>
      </w:pPr>
    </w:p>
    <w:p>
      <w:pPr>
        <w:pStyle w:val="Heading1"/>
      </w:pPr>
      <w:r>
        <w:t>Slide 8 — Model Overview</w:t>
      </w:r>
    </w:p>
    <w:p>
      <w:pPr>
        <w:pStyle w:val="ScriptLabel"/>
      </w:pPr>
      <w:r>
        <w:t>Talk track</w:t>
      </w:r>
    </w:p>
    <w:p>
      <w:pPr>
        <w:keepLines/>
        <w:spacing w:after="80"/>
      </w:pPr>
      <w:r>
        <w:t>The model separates an AI unwind into two economic channels.</w:t>
      </w:r>
    </w:p>
    <w:p>
      <w:pPr>
        <w:keepLines/>
        <w:spacing w:after="80"/>
      </w:pPr>
      <w:r>
        <w:t>The first is a market-wide selloff. Even a company with no special AI exposure may fall because the broader equity market is declining. That loss is the broad-market shock multiplied by the bucket’s world beta.</w:t>
      </w:r>
    </w:p>
    <w:p>
      <w:pPr>
        <w:keepLines/>
        <w:spacing w:after="80"/>
      </w:pPr>
      <w:r>
        <w:t>The second is the repricing of AI-linked valuations. A bucket with unusually high AI exposure receives an additional AI-excess shock.</w:t>
      </w:r>
    </w:p>
    <w:p>
      <w:pPr>
        <w:keepLines/>
        <w:spacing w:after="80"/>
      </w:pPr>
      <w:r>
        <w:t>So the core stress is: market sensitivity times the market shock, plus AI intensity times the AI-specific shock. The market-cap overlay is added later.</w:t>
      </w:r>
    </w:p>
    <w:p>
      <w:pPr>
        <w:keepLines/>
        <w:spacing w:after="80"/>
      </w:pPr>
      <w:r>
        <w:t>Keeping these legs separate matters because it avoids treating every technology loss as an AI loss.</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model distinguishes between “everything sells off” and “AI-sensitive assets fall more,” so the same risk is not counted twice.</w:t>
            </w:r>
          </w:p>
        </w:tc>
      </w:tr>
    </w:tbl>
    <w:p>
      <w:pPr>
        <w:spacing w:before="100" w:after="80"/>
      </w:pPr>
      <w:r>
        <w:rPr>
          <w:b/>
          <w:color w:val="5F5F5F"/>
        </w:rPr>
        <w:t xml:space="preserve">Transition: </w:t>
      </w:r>
      <w:r>
        <w:rPr>
          <w:i/>
          <w:color w:val="5F5F5F"/>
        </w:rPr>
        <w:t>To make that separation work, I first remove the ordinary market component from the AI basket.</w:t>
      </w:r>
    </w:p>
    <w:p>
      <w:r>
        <w:br w:type="page"/>
      </w:r>
    </w:p>
    <w:p>
      <w:pPr>
        <w:pStyle w:val="Heading1"/>
      </w:pPr>
      <w:r>
        <w:t>Slide 9 — Separating Market Beta and AI Signal</w:t>
      </w:r>
    </w:p>
    <w:p>
      <w:pPr>
        <w:pStyle w:val="ScriptLabel"/>
      </w:pPr>
      <w:r>
        <w:t>Talk track</w:t>
      </w:r>
    </w:p>
    <w:p>
      <w:pPr>
        <w:keepLines/>
        <w:spacing w:after="80"/>
      </w:pPr>
      <w:r>
        <w:t>The raw AI basket naturally moves with the overall market, so it cannot be used directly as a pure AI factor.</w:t>
      </w:r>
    </w:p>
    <w:p>
      <w:pPr>
        <w:keepLines/>
        <w:spacing w:after="80"/>
      </w:pPr>
      <w:r>
        <w:t>I regress the AI basket return on the world-market return. The fitted part is the movement we would expect from the market alone. The residual, shown here as x, is what remains after removing that market-driven component.</w:t>
      </w:r>
    </w:p>
    <w:p>
      <w:pPr>
        <w:keepLines/>
        <w:spacing w:after="80"/>
      </w:pPr>
      <w:r>
        <w:t>The ordinary least-squares condition makes this residual orthogonal to the market return in the fitted sample. In practical terms, it has approximately zero linear market correlation over the estimation period.</w:t>
      </w:r>
    </w:p>
    <w:p>
      <w:pPr>
        <w:keepLines/>
        <w:spacing w:after="80"/>
      </w:pPr>
      <w:r>
        <w:t>This does not mean the factor is risk-free or permanently market-neutral. It means the model has statistically separated the broad-market leg from the AI-specific leg before estimating exposures.</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residual factor captures AI/TMT movement that cannot be explained by the broad market, preventing double counting.</w:t>
            </w:r>
          </w:p>
        </w:tc>
      </w:tr>
    </w:tbl>
    <w:p>
      <w:pPr>
        <w:spacing w:before="100" w:after="80"/>
      </w:pPr>
      <w:r>
        <w:rPr>
          <w:b/>
          <w:color w:val="5F5F5F"/>
        </w:rPr>
        <w:t xml:space="preserve">Transition: </w:t>
      </w:r>
      <w:r>
        <w:rPr>
          <w:i/>
          <w:color w:val="5F5F5F"/>
        </w:rPr>
        <w:t>The next chart gives the intuitive visual interpretation of that calculation.</w:t>
      </w:r>
    </w:p>
    <w:p>
      <w:pPr>
        <w:spacing w:before="40" w:after="80"/>
        <w:pBdr>
          <w:bottom w:val="single" w:sz="4" w:space="1" w:color="D9E2F3"/>
        </w:pBdr>
      </w:pPr>
    </w:p>
    <w:p>
      <w:pPr>
        <w:pStyle w:val="Heading1"/>
      </w:pPr>
      <w:r>
        <w:t>Slide 10 — Illustration of the Projection</w:t>
      </w:r>
    </w:p>
    <w:p>
      <w:pPr>
        <w:pStyle w:val="ScriptLabel"/>
      </w:pPr>
      <w:r>
        <w:t>Talk track</w:t>
      </w:r>
    </w:p>
    <w:p>
      <w:pPr>
        <w:keepLines/>
        <w:spacing w:after="80"/>
      </w:pPr>
      <w:r>
        <w:t>This is the same calculation shown geometrically.</w:t>
      </w:r>
    </w:p>
    <w:p>
      <w:pPr>
        <w:keepLines/>
        <w:spacing w:after="80"/>
      </w:pPr>
      <w:r>
        <w:t>Before the adjustment, the raw AI basket has a clear positive relationship with the world market, as shown by the upward-sloping pattern on the left.</w:t>
      </w:r>
    </w:p>
    <w:p>
      <w:pPr>
        <w:keepLines/>
        <w:spacing w:after="80"/>
      </w:pPr>
      <w:r>
        <w:t>We can think of the regression as projecting the AI basket onto the market factor. That projection is the market-driven component. The residual is the perpendicular component left over after the projection.</w:t>
      </w:r>
    </w:p>
    <w:p>
      <w:pPr>
        <w:keepLines/>
        <w:spacing w:after="80"/>
      </w:pPr>
      <w:r>
        <w:t>On the right, the residual observations are centred around zero with no visible slope against market returns. That is the behaviour we want from the AI-excess factor before using it elsewhere in the model.</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chart validates that the constructed AI-excess factor is largely separated from ordinary market movements in-sample.</w:t>
            </w:r>
          </w:p>
        </w:tc>
      </w:tr>
    </w:tbl>
    <w:p>
      <w:pPr>
        <w:spacing w:before="100" w:after="80"/>
      </w:pPr>
      <w:r>
        <w:rPr>
          <w:b/>
          <w:color w:val="5F5F5F"/>
        </w:rPr>
        <w:t xml:space="preserve">Transition: </w:t>
      </w:r>
      <w:r>
        <w:rPr>
          <w:i/>
          <w:color w:val="5F5F5F"/>
        </w:rPr>
        <w:t>With the factor isolated, the next step is to determine which country-industry buckets are most exposed to it.</w:t>
      </w:r>
    </w:p>
    <w:p>
      <w:r>
        <w:br w:type="page"/>
      </w:r>
    </w:p>
    <w:p>
      <w:pPr>
        <w:pStyle w:val="Heading1"/>
      </w:pPr>
      <w:r>
        <w:t>Slide 11 — Making an Exposure Score</w:t>
      </w:r>
    </w:p>
    <w:p>
      <w:pPr>
        <w:pStyle w:val="ScriptLabel"/>
      </w:pPr>
      <w:r>
        <w:t>Talk track</w:t>
      </w:r>
    </w:p>
    <w:p>
      <w:pPr>
        <w:keepLines/>
        <w:spacing w:after="80"/>
      </w:pPr>
      <w:r>
        <w:t>For every country-industry bucket, I estimate a two-factor regression.</w:t>
      </w:r>
    </w:p>
    <w:p>
      <w:pPr>
        <w:keepLines/>
        <w:spacing w:after="80"/>
      </w:pPr>
      <w:r>
        <w:t>The first coefficient, beta W, measures the bucket’s sensitivity to the broad market. The second coefficient, theta AI, measures its sensitivity to the orthogonal AI-excess factor.</w:t>
      </w:r>
    </w:p>
    <w:p>
      <w:pPr>
        <w:keepLines/>
        <w:spacing w:after="80"/>
      </w:pPr>
      <w:r>
        <w:t>However, theta AI is not yet the final exposure score. Across industries, high-beta growth sectors can still show systematically higher AI sensitivity. I therefore compare each bucket’s observed AI coefficient with the AI sensitivity normally associated with its market beta.</w:t>
      </w:r>
    </w:p>
    <w:p>
      <w:pPr>
        <w:keepLines/>
        <w:spacing w:after="80"/>
      </w:pPr>
      <w:r>
        <w:t>The residual from that second, cross-sectional regression is u j. This is the variable we want: AI sensitivity that remains unexplained by ordinary market risk. After normalization, it becomes the final AI-excess intensity I j.</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final score identifies buckets with unusually high AI vulnerability, rather than simply rewarding high market beta.</w:t>
            </w:r>
          </w:p>
        </w:tc>
      </w:tr>
    </w:tbl>
    <w:p>
      <w:pPr>
        <w:spacing w:before="100" w:after="80"/>
      </w:pPr>
      <w:r>
        <w:rPr>
          <w:b/>
          <w:color w:val="5F5F5F"/>
        </w:rPr>
        <w:t xml:space="preserve">Transition: </w:t>
      </w:r>
      <w:r>
        <w:rPr>
          <w:i/>
          <w:color w:val="5F5F5F"/>
        </w:rPr>
        <w:t>The distribution of those scores shows whether the model produces economically sensible concentration.</w:t>
      </w:r>
    </w:p>
    <w:p>
      <w:pPr>
        <w:spacing w:before="40" w:after="80"/>
        <w:pBdr>
          <w:bottom w:val="single" w:sz="4" w:space="1" w:color="D9E2F3"/>
        </w:pBdr>
      </w:pPr>
    </w:p>
    <w:p>
      <w:pPr>
        <w:pStyle w:val="Heading1"/>
      </w:pPr>
      <w:r>
        <w:t>Slide 12 — Distribution of AI Exposure</w:t>
      </w:r>
    </w:p>
    <w:p>
      <w:pPr>
        <w:pStyle w:val="ScriptLabel"/>
      </w:pPr>
      <w:r>
        <w:t>Talk track</w:t>
      </w:r>
    </w:p>
    <w:p>
      <w:pPr>
        <w:keepLines/>
        <w:spacing w:after="80"/>
      </w:pPr>
      <w:r>
        <w:t>This chart maps each country-industry bucket using two separate dimensions.</w:t>
      </w:r>
    </w:p>
    <w:p>
      <w:pPr>
        <w:keepLines/>
        <w:spacing w:after="80"/>
      </w:pPr>
      <w:r>
        <w:t>The horizontal axis is broad-market beta. Moving right means the bucket is more sensitive to a general equity selloff. The vertical axis is the final AI-excess intensity. Moving upward means the bucket has more AI-specific vulnerability after controlling for ordinary market exposure.</w:t>
      </w:r>
    </w:p>
    <w:p>
      <w:pPr>
        <w:keepLines/>
        <w:spacing w:after="80"/>
      </w:pPr>
      <w:r>
        <w:t>Most observations remain in the lower part of the chart, even when their market beta is high. This shows that the model does not automatically classify every volatile sector as AI-sensitive.</w:t>
      </w:r>
    </w:p>
    <w:p>
      <w:pPr>
        <w:keepLines/>
        <w:spacing w:after="80"/>
      </w:pPr>
      <w:r>
        <w:t>The largest combined exposures appear in the upper-right, particularly technology, communications and electronic-equipment buckets in Taiwan and Korea.</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AI stress is concentrated in a limited set of economically plausible country-industry buckets, not spread uniformly across the market.</w:t>
            </w:r>
          </w:p>
        </w:tc>
      </w:tr>
    </w:tbl>
    <w:p>
      <w:pPr>
        <w:spacing w:before="100" w:after="80"/>
      </w:pPr>
      <w:r>
        <w:rPr>
          <w:b/>
          <w:color w:val="5F5F5F"/>
        </w:rPr>
        <w:t xml:space="preserve">Transition: </w:t>
      </w:r>
      <w:r>
        <w:rPr>
          <w:i/>
          <w:color w:val="5F5F5F"/>
        </w:rPr>
        <w:t>Before calibrating the crash, I compare how the current run-up decomposes relative to the dot-com period.</w:t>
      </w:r>
    </w:p>
    <w:p>
      <w:r>
        <w:br w:type="page"/>
      </w:r>
    </w:p>
    <w:p>
      <w:pPr>
        <w:pStyle w:val="Heading1"/>
      </w:pPr>
      <w:r>
        <w:t>Slide 13 — Illustration of Results on the Current vs Dot-Com Market</w:t>
      </w:r>
    </w:p>
    <w:p>
      <w:pPr>
        <w:pStyle w:val="ScriptLabel"/>
      </w:pPr>
      <w:r>
        <w:t>Talk track</w:t>
      </w:r>
    </w:p>
    <w:p>
      <w:pPr>
        <w:keepLines/>
        <w:spacing w:after="80"/>
      </w:pPr>
      <w:r>
        <w:t>These charts apply the same decomposition to the dot-com period and to the current AI basket.</w:t>
      </w:r>
    </w:p>
    <w:p>
      <w:pPr>
        <w:keepLines/>
        <w:spacing w:after="80"/>
      </w:pPr>
      <w:r>
        <w:t>The blue line is the total thematic basket performance. The orange line is the broad-market component, and the green line is the excess component associated with the technology or AI theme.</w:t>
      </w:r>
    </w:p>
    <w:p>
      <w:pPr>
        <w:keepLines/>
        <w:spacing w:after="80"/>
      </w:pPr>
      <w:r>
        <w:t>During the dot-com run-up, both the broad market and the technology-specific premium contributed materially. In the current sample, a larger share of the AI basket’s rise appears to be associated with the theme-specific component rather than the market alone.</w:t>
      </w:r>
    </w:p>
    <w:p>
      <w:pPr>
        <w:keepLines/>
        <w:spacing w:after="80"/>
      </w:pPr>
      <w:r>
        <w:t>This is not a claim that the current cycle must crash like dot-com. It shows why a separate AI-repricing leg is economically relevant and should not be absorbed entirely into market beta.</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current AI run-up contains a material theme-specific component, supporting a stress model with separate market and AI-excess shocks.</w:t>
            </w:r>
          </w:p>
        </w:tc>
      </w:tr>
    </w:tbl>
    <w:p>
      <w:pPr>
        <w:spacing w:before="100" w:after="80"/>
      </w:pPr>
      <w:r>
        <w:rPr>
          <w:b/>
          <w:color w:val="5F5F5F"/>
        </w:rPr>
        <w:t xml:space="preserve">Transition: </w:t>
      </w:r>
      <w:r>
        <w:rPr>
          <w:i/>
          <w:color w:val="5F5F5F"/>
        </w:rPr>
        <w:t>Having estimated exposure, the remaining question is how large those two shocks should be.</w:t>
      </w:r>
    </w:p>
    <w:p>
      <w:pPr>
        <w:spacing w:before="40" w:after="80"/>
        <w:pBdr>
          <w:bottom w:val="single" w:sz="4" w:space="1" w:color="D9E2F3"/>
        </w:pBdr>
      </w:pPr>
    </w:p>
    <w:p>
      <w:pPr>
        <w:pStyle w:val="Heading1"/>
      </w:pPr>
      <w:r>
        <w:t>Slide 14 — Shock Calibration with Dot-Com Data</w:t>
      </w:r>
    </w:p>
    <w:p>
      <w:pPr>
        <w:pStyle w:val="ScriptLabel"/>
      </w:pPr>
      <w:r>
        <w:t>Talk track</w:t>
      </w:r>
    </w:p>
    <w:p>
      <w:pPr>
        <w:keepLines/>
        <w:spacing w:after="80"/>
      </w:pPr>
      <w:r>
        <w:t>The exposure model tells us where the risk is. This part determines the size of the shock.</w:t>
      </w:r>
    </w:p>
    <w:p>
      <w:pPr>
        <w:keepLines/>
        <w:spacing w:after="80"/>
      </w:pPr>
      <w:r>
        <w:t>I use the dot-com unwind as the historical anchor because it is the closest large-scale technology valuation reversal in modern equity data. The process begins with the broad-market and TMT price paths. I calculate their losses over each horizon, then subtract the market loss from the TMT loss to isolate the technology-excess shock.</w:t>
      </w:r>
    </w:p>
    <w:p>
      <w:pPr>
        <w:keepLines/>
        <w:spacing w:after="80"/>
      </w:pPr>
      <w:r>
        <w:t>That historical excess shock is then adjusted using the current valuation premium and the selected scenario severity. The market leg and the AI-excess leg are scaled separately before being recombined.</w:t>
      </w:r>
    </w:p>
    <w:p>
      <w:pPr>
        <w:keepLines/>
        <w:spacing w:after="80"/>
      </w:pPr>
      <w:r>
        <w:t>The dot-com period is therefore used to size the stress, not to assume that history will repeat exactly.</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Dot-com provides a transparent historical anchor, while valuation and scenario multipliers adapt it to the current market.</w:t>
            </w:r>
          </w:p>
        </w:tc>
      </w:tr>
    </w:tbl>
    <w:p>
      <w:pPr>
        <w:spacing w:before="100" w:after="80"/>
      </w:pPr>
      <w:r>
        <w:rPr>
          <w:b/>
          <w:color w:val="5F5F5F"/>
        </w:rPr>
        <w:t xml:space="preserve">Transition: </w:t>
      </w:r>
      <w:r>
        <w:rPr>
          <w:i/>
          <w:color w:val="5F5F5F"/>
        </w:rPr>
        <w:t>The next slide shows the exact historical decomposition at the dot-com peak.</w:t>
      </w:r>
    </w:p>
    <w:p>
      <w:r>
        <w:br w:type="page"/>
      </w:r>
    </w:p>
    <w:p>
      <w:pPr>
        <w:pStyle w:val="Heading1"/>
      </w:pPr>
      <w:r>
        <w:t>Slide 15 — Dot-Com TMT Peak</w:t>
      </w:r>
    </w:p>
    <w:p>
      <w:pPr>
        <w:pStyle w:val="ScriptLabel"/>
      </w:pPr>
      <w:r>
        <w:t>Talk track</w:t>
      </w:r>
    </w:p>
    <w:p>
      <w:pPr>
        <w:keepLines/>
        <w:spacing w:after="80"/>
      </w:pPr>
      <w:r>
        <w:t>For each horizon after the dot-com peak, I calculate two log returns: the broad-market shock and the TMT-epicentre shock.</w:t>
      </w:r>
    </w:p>
    <w:p>
      <w:pPr>
        <w:keepLines/>
        <w:spacing w:after="80"/>
      </w:pPr>
      <w:r>
        <w:t>The technology-excess shock is simply the TMT shock minus the market shock. Because these are log returns, the decomposition is exact: the total TMT drawdown equals the market drawdown plus the technology-excess drawdown.</w:t>
      </w:r>
    </w:p>
    <w:p>
      <w:pPr>
        <w:keepLines/>
        <w:spacing w:after="80"/>
      </w:pPr>
      <w:r>
        <w:t>I take measurements at one week, two weeks, one month and two months. The chart shows that the broad market initially declined relatively modestly, while the technology epicentre fell much more sharply. The gap between the two lines is the historical excess shock used by the model.</w:t>
      </w:r>
    </w:p>
    <w:p>
      <w:pPr>
        <w:keepLines/>
        <w:spacing w:after="80"/>
      </w:pPr>
      <w:r>
        <w:t>This gives us horizon-specific shocks rather than applying one arbitrary drawdown to every liquidation period.</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historical anchor cleanly separates systemic market stress from the additional collapse of the technology epicentre at each horizon.</w:t>
            </w:r>
          </w:p>
        </w:tc>
      </w:tr>
    </w:tbl>
    <w:p>
      <w:pPr>
        <w:spacing w:before="100" w:after="80"/>
      </w:pPr>
      <w:r>
        <w:rPr>
          <w:b/>
          <w:color w:val="5F5F5F"/>
        </w:rPr>
        <w:t xml:space="preserve">Transition: </w:t>
      </w:r>
      <w:r>
        <w:rPr>
          <w:i/>
          <w:color w:val="5F5F5F"/>
        </w:rPr>
        <w:t>I then adjust that historical excess shock for the difference between current and dot-com valuations.</w:t>
      </w:r>
    </w:p>
    <w:p>
      <w:pPr>
        <w:spacing w:before="40" w:after="80"/>
        <w:pBdr>
          <w:bottom w:val="single" w:sz="4" w:space="1" w:color="D9E2F3"/>
        </w:pBdr>
      </w:pPr>
    </w:p>
    <w:p>
      <w:pPr>
        <w:pStyle w:val="Heading1"/>
      </w:pPr>
      <w:r>
        <w:t>Slide 16 — Kappa Calibration</w:t>
      </w:r>
    </w:p>
    <w:p>
      <w:pPr>
        <w:pStyle w:val="ScriptLabel"/>
      </w:pPr>
      <w:r>
        <w:t>Talk track</w:t>
      </w:r>
    </w:p>
    <w:p>
      <w:pPr>
        <w:keepLines/>
        <w:spacing w:after="80"/>
      </w:pPr>
      <w:r>
        <w:t>A full dot-com excess shock may be too severe for the base case if today’s AI valuation premium is smaller than the premium at the dot-com peak.</w:t>
      </w:r>
    </w:p>
    <w:p>
      <w:pPr>
        <w:keepLines/>
        <w:spacing w:after="80"/>
      </w:pPr>
      <w:r>
        <w:t>Kappa addresses this by comparing the current AI valuation premium with the dot-com TMT premium, both measured relative to the market. For the current premium, I blend forward, current and trailing earnings-multiple premiums, with the largest weight on forward valuation.</w:t>
      </w:r>
    </w:p>
    <w:p>
      <w:pPr>
        <w:keepLines/>
        <w:spacing w:after="80"/>
      </w:pPr>
      <w:r>
        <w:t>The current premium is approximately 0.526, compared with 0.785 at the dot-com peak. The ratio is about 0.67. Therefore, the base case applies roughly 67% of the historical dot-com excess shock.</w:t>
      </w:r>
    </w:p>
    <w:p>
      <w:pPr>
        <w:keepLines/>
        <w:spacing w:after="80"/>
      </w:pPr>
      <w:r>
        <w:t>The severe case retains the full historical analogue, while the extreme case goes beyond it. The broad-market leg is calibrated separately.</w:t>
      </w:r>
    </w:p>
    <w:tbl>
      <w:tblPr>
        <w:tblW w:type="auto" w:w="0"/>
        <w:jc w:val="center"/>
        <w:tblLayout w:type="autofit"/>
        <w:tblLook w:firstColumn="1" w:firstRow="1" w:lastColumn="0" w:lastRow="0" w:noHBand="0" w:noVBand="1" w:val="04A0"/>
      </w:tblPr>
      <w:tblGrid>
        <w:gridCol w:w="9994"/>
      </w:tblGrid>
      <w:tr>
        <w:tc>
          <w:tcPr>
            <w:tcW w:type="dxa" w:w="9994"/>
            <w:vAlign w:val="center"/>
            <w:shd w:fill="DCE6F1"/>
            <w:tcMar>
              <w:top w:w="120" w:type="dxa"/>
              <w:left w:w="120" w:type="dxa"/>
              <w:bottom w:w="120" w:type="dxa"/>
              <w:right w:w="120" w:type="dxa"/>
            </w:tcMar>
          </w:tcPr>
          <w:p>
            <w:pPr>
              <w:keepLines/>
              <w:spacing w:after="0"/>
            </w:pPr>
            <w:r>
              <w:rPr>
                <w:b/>
                <w:color w:val="003191"/>
              </w:rPr>
              <w:t xml:space="preserve">Key takeaway: </w:t>
            </w:r>
            <w:r>
              <w:rPr>
                <w:color w:val="232323"/>
              </w:rPr>
              <w:t>The base scenario is valuation-adjusted rather than a mechanical replay of 2000; the full dot-com shock is reserved for the severe case.</w:t>
            </w:r>
          </w:p>
        </w:tc>
      </w:tr>
    </w:tbl>
    <w:p>
      <w:pPr>
        <w:spacing w:before="100" w:after="80"/>
      </w:pPr>
      <w:r>
        <w:rPr>
          <w:b/>
          <w:color w:val="5F5F5F"/>
        </w:rPr>
        <w:t xml:space="preserve">Transition: </w:t>
      </w:r>
      <w:r>
        <w:rPr>
          <w:i/>
          <w:color w:val="5F5F5F"/>
        </w:rPr>
        <w:t>These calibrated shocks can now be combined with the exposure scores and the market-cap overlay to create the final stress vector.</w:t>
      </w:r>
    </w:p>
    <w:p>
      <w:pPr>
        <w:spacing w:before="40" w:after="80"/>
        <w:pBdr>
          <w:bottom w:val="single" w:sz="4" w:space="1" w:color="D9E2F3"/>
        </w:pBdr>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AI Bubble Stress Framework — Presenter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ptos Display" w:hAnsi="Aptos Display"/>
      <w:b/>
      <w:bCs/>
      <w:color w:val="0031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319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Label">
    <w:name w:val="Script Label"/>
    <w:pPr>
      <w:keepNext/>
      <w:spacing w:before="40" w:after="40"/>
    </w:pPr>
    <w:rPr>
      <w:rFonts w:ascii="Aptos" w:hAnsi="Aptos"/>
      <w:b/>
      <w:color w:val="00319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Bubble Stress Framework - Slide Scripts</dc:title>
  <dc:subject>Concise senior-management talk track for slides 7-16</dc:subject>
  <dc:creator>Alex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