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83CB" w14:textId="77777777" w:rsidR="001E5806" w:rsidRPr="0030082D" w:rsidRDefault="00000000">
      <w:pPr>
        <w:spacing w:after="4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b/>
          <w:color w:val="1F3A5F"/>
          <w:sz w:val="48"/>
          <w:lang w:val="es-CO"/>
        </w:rPr>
        <w:t xml:space="preserve">PIB </w:t>
      </w:r>
      <w:r w:rsidRPr="0030082D">
        <w:rPr>
          <w:rFonts w:asciiTheme="majorHAnsi" w:hAnsiTheme="majorHAnsi" w:cstheme="majorHAnsi"/>
          <w:b/>
          <w:color w:val="17365D" w:themeColor="text2" w:themeShade="BF"/>
          <w:sz w:val="48"/>
          <w:lang w:val="es-CO"/>
        </w:rPr>
        <w:t>de Colombia</w:t>
      </w:r>
      <w:r w:rsidRPr="0030082D">
        <w:rPr>
          <w:rFonts w:asciiTheme="majorHAnsi" w:hAnsiTheme="majorHAnsi" w:cstheme="majorHAnsi"/>
          <w:b/>
          <w:color w:val="1F3A5F"/>
          <w:sz w:val="48"/>
          <w:lang w:val="es-CO"/>
        </w:rPr>
        <w:t>: base 2005 vs base 2015</w:t>
      </w:r>
    </w:p>
    <w:p w14:paraId="671CE739" w14:textId="77777777" w:rsidR="001E5806" w:rsidRPr="0030082D" w:rsidRDefault="00000000">
      <w:pPr>
        <w:spacing w:after="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color w:val="595959"/>
          <w:sz w:val="21"/>
          <w:lang w:val="es-CO"/>
        </w:rPr>
        <w:t>Macroeconomía I · Universidad Nacional de Colombia, sede Medellín · 2026-2</w:t>
      </w:r>
    </w:p>
    <w:p w14:paraId="5ADF65E0" w14:textId="77777777" w:rsidR="001E5806" w:rsidRPr="0030082D" w:rsidRDefault="00000000">
      <w:pPr>
        <w:spacing w:after="28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color w:val="595959"/>
          <w:sz w:val="21"/>
          <w:lang w:val="es-CO"/>
        </w:rPr>
        <w:t>David Fuentes Carrillo y Any Ruiz</w:t>
      </w:r>
    </w:p>
    <w:p w14:paraId="475418FE" w14:textId="77777777" w:rsidR="001E5806" w:rsidRPr="0030082D" w:rsidRDefault="00000000">
      <w:pPr>
        <w:spacing w:after="200"/>
        <w:rPr>
          <w:rFonts w:asciiTheme="majorHAnsi" w:hAnsiTheme="majorHAnsi" w:cstheme="majorHAnsi"/>
          <w:color w:val="17365D" w:themeColor="text2" w:themeShade="BF"/>
          <w:lang w:val="es-CO"/>
        </w:rPr>
      </w:pPr>
      <w:r w:rsidRPr="0030082D">
        <w:rPr>
          <w:rFonts w:asciiTheme="majorHAnsi" w:hAnsiTheme="majorHAnsi" w:cstheme="majorHAnsi"/>
          <w:b/>
          <w:color w:val="17365D" w:themeColor="text2" w:themeShade="BF"/>
          <w:sz w:val="25"/>
          <w:lang w:val="es-CO"/>
        </w:rPr>
        <w:t>El DANE publica el PIB a precios constantes con dos años base: 2005 y 2015. ¿Cuánto cambian el nivel y el crecimiento anual del PIB entre una y otra en el periodo en que ambas existen (2005–2017), y por qué?</w:t>
      </w:r>
    </w:p>
    <w:p w14:paraId="534A9E96" w14:textId="2B0081AD" w:rsidR="0030082D" w:rsidRDefault="0030082D">
      <w:pPr>
        <w:rPr>
          <w:rFonts w:asciiTheme="majorHAnsi" w:hAnsiTheme="majorHAnsi" w:cstheme="majorHAnsi"/>
          <w:b/>
          <w:lang w:val="es-CO"/>
        </w:rPr>
      </w:pPr>
      <w:r w:rsidRPr="0030082D">
        <w:rPr>
          <w:rFonts w:asciiTheme="majorHAnsi" w:hAnsiTheme="majorHAnsi" w:cstheme="majorHAnsi"/>
          <w:b/>
          <w:lang w:val="es-CO"/>
        </w:rPr>
        <w:t>¿Qué es el año base?</w:t>
      </w:r>
    </w:p>
    <w:p w14:paraId="004FA138" w14:textId="440525FB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lang w:val="es-CO"/>
        </w:rPr>
        <w:t>Para medir el PIB rea</w:t>
      </w:r>
      <w:r w:rsidR="0030082D">
        <w:rPr>
          <w:rFonts w:asciiTheme="majorHAnsi" w:hAnsiTheme="majorHAnsi" w:cstheme="majorHAnsi"/>
          <w:lang w:val="es-CO"/>
        </w:rPr>
        <w:t>l</w:t>
      </w:r>
      <w:r w:rsidRPr="0030082D">
        <w:rPr>
          <w:rFonts w:asciiTheme="majorHAnsi" w:hAnsiTheme="majorHAnsi" w:cstheme="majorHAnsi"/>
          <w:lang w:val="es-CO"/>
        </w:rPr>
        <w:t xml:space="preserve"> (</w:t>
      </w:r>
      <w:r w:rsidR="0030082D">
        <w:rPr>
          <w:rFonts w:asciiTheme="majorHAnsi" w:hAnsiTheme="majorHAnsi" w:cstheme="majorHAnsi"/>
          <w:lang w:val="es-CO"/>
        </w:rPr>
        <w:t xml:space="preserve">es decir, </w:t>
      </w:r>
      <w:r w:rsidRPr="0030082D">
        <w:rPr>
          <w:rFonts w:asciiTheme="majorHAnsi" w:hAnsiTheme="majorHAnsi" w:cstheme="majorHAnsi"/>
          <w:lang w:val="es-CO"/>
        </w:rPr>
        <w:t>sin inflación) se valora la producción de todos los años con los precios de un solo año, el año base. Cada cierto tiempo el DANE actualiza esa referencia (un rebase): recalcula las cuentas nacionales con precios, ponderadores sectoriales, fuentes de datos y métodos más recientes. Por eso hay dos series para los mismos años: la vieja (base 2005) y la nueva (base 2015).</w:t>
      </w:r>
    </w:p>
    <w:p w14:paraId="09E885C3" w14:textId="77777777" w:rsidR="001E5806" w:rsidRPr="0030082D" w:rsidRDefault="00000000">
      <w:pPr>
        <w:pStyle w:val="Heading1"/>
        <w:rPr>
          <w:rFonts w:cstheme="majorHAnsi"/>
          <w:lang w:val="es-CO"/>
        </w:rPr>
      </w:pPr>
      <w:r w:rsidRPr="0030082D">
        <w:rPr>
          <w:rFonts w:cstheme="majorHAnsi"/>
          <w:lang w:val="es-CO"/>
        </w:rPr>
        <w:t>1. Los datos</w:t>
      </w:r>
    </w:p>
    <w:p w14:paraId="386047F5" w14:textId="77777777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lang w:val="es-CO"/>
        </w:rPr>
        <w:t>El Banco de la República solo ofrece estas series de forma trimestral y desestacionalizada (no hay versión anual). Por eso el PIB anual de este trabajo es la suma de los cuatro trimestres de cada año, y puede diferir levemente de la cifra anual oficial del DANE. La base 2005 llega hasta 2017 y la base 2015 empieza en 2005, así que el periodo común es 2005–2017.</w:t>
      </w:r>
    </w:p>
    <w:p w14:paraId="60B55A1C" w14:textId="77777777" w:rsidR="001E5806" w:rsidRPr="0030082D" w:rsidRDefault="00000000">
      <w:pPr>
        <w:pStyle w:val="Heading1"/>
        <w:rPr>
          <w:rFonts w:cstheme="majorHAnsi"/>
        </w:rPr>
      </w:pPr>
      <w:r w:rsidRPr="0030082D">
        <w:rPr>
          <w:rFonts w:cstheme="majorHAnsi"/>
        </w:rPr>
        <w:t>2. Gráfico comparativo</w:t>
      </w:r>
    </w:p>
    <w:p w14:paraId="284EC61B" w14:textId="77777777" w:rsidR="001E5806" w:rsidRPr="0030082D" w:rsidRDefault="00000000">
      <w:pPr>
        <w:jc w:val="center"/>
        <w:rPr>
          <w:rFonts w:asciiTheme="majorHAnsi" w:hAnsiTheme="majorHAnsi" w:cstheme="majorHAnsi"/>
        </w:rPr>
      </w:pPr>
      <w:r w:rsidRPr="0030082D">
        <w:rPr>
          <w:rFonts w:asciiTheme="majorHAnsi" w:hAnsiTheme="majorHAnsi" w:cstheme="majorHAnsi"/>
          <w:noProof/>
        </w:rPr>
        <w:drawing>
          <wp:inline distT="0" distB="0" distL="0" distR="0" wp14:anchorId="6A5CD15F" wp14:editId="05D90E72">
            <wp:extent cx="5976000" cy="2298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ion_pib_bas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BCCB" w14:textId="77777777" w:rsidR="001E5806" w:rsidRPr="0030082D" w:rsidRDefault="00000000">
      <w:pPr>
        <w:spacing w:after="20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i/>
          <w:color w:val="595959"/>
          <w:sz w:val="19"/>
          <w:lang w:val="es-CO"/>
        </w:rPr>
        <w:t>Izquierda: PIB anual en billones de pesos constantes (cada serie en pesos de su año base). Derecha: crecimiento anual respecto al año anterior. Gráfico realizado con asistencia de inteligencia artificial.</w:t>
      </w:r>
    </w:p>
    <w:p w14:paraId="76E1A06B" w14:textId="77777777" w:rsidR="001E5806" w:rsidRPr="0030082D" w:rsidRDefault="00000000">
      <w:pPr>
        <w:spacing w:after="8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lang w:val="es-CO"/>
        </w:rPr>
        <w:t>Los mismos datos en tabla (PIB en billones de pesos constantes):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1E5806" w:rsidRPr="0030082D" w14:paraId="3A25D8C1" w14:textId="77777777">
        <w:trPr>
          <w:jc w:val="center"/>
        </w:trPr>
        <w:tc>
          <w:tcPr>
            <w:tcW w:w="1882" w:type="dxa"/>
            <w:shd w:val="clear" w:color="auto" w:fill="1F3A5F"/>
          </w:tcPr>
          <w:p w14:paraId="48D41FA2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b/>
                <w:color w:val="FFFFFF"/>
                <w:sz w:val="20"/>
              </w:rPr>
              <w:t>Año</w:t>
            </w:r>
          </w:p>
        </w:tc>
        <w:tc>
          <w:tcPr>
            <w:tcW w:w="1882" w:type="dxa"/>
            <w:shd w:val="clear" w:color="auto" w:fill="1F3A5F"/>
          </w:tcPr>
          <w:p w14:paraId="0CCE5FF3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b/>
                <w:color w:val="FFFFFF"/>
                <w:sz w:val="20"/>
              </w:rPr>
              <w:t>PIB base 2005</w:t>
            </w:r>
          </w:p>
        </w:tc>
        <w:tc>
          <w:tcPr>
            <w:tcW w:w="1882" w:type="dxa"/>
            <w:shd w:val="clear" w:color="auto" w:fill="1F3A5F"/>
          </w:tcPr>
          <w:p w14:paraId="6443957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b/>
                <w:color w:val="FFFFFF"/>
                <w:sz w:val="20"/>
              </w:rPr>
              <w:t>PIB base 2015</w:t>
            </w:r>
          </w:p>
        </w:tc>
        <w:tc>
          <w:tcPr>
            <w:tcW w:w="1882" w:type="dxa"/>
            <w:shd w:val="clear" w:color="auto" w:fill="1F3A5F"/>
          </w:tcPr>
          <w:p w14:paraId="0FC8D15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b/>
                <w:color w:val="FFFFFF"/>
                <w:sz w:val="20"/>
              </w:rPr>
              <w:t>Crecimiento base 2005</w:t>
            </w:r>
          </w:p>
        </w:tc>
        <w:tc>
          <w:tcPr>
            <w:tcW w:w="1882" w:type="dxa"/>
            <w:shd w:val="clear" w:color="auto" w:fill="1F3A5F"/>
          </w:tcPr>
          <w:p w14:paraId="2612CBE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b/>
                <w:color w:val="FFFFFF"/>
                <w:sz w:val="20"/>
              </w:rPr>
              <w:t>Crecimiento base 2015</w:t>
            </w:r>
          </w:p>
        </w:tc>
      </w:tr>
      <w:tr w:rsidR="001E5806" w:rsidRPr="0030082D" w14:paraId="15FBCF21" w14:textId="77777777">
        <w:trPr>
          <w:jc w:val="center"/>
        </w:trPr>
        <w:tc>
          <w:tcPr>
            <w:tcW w:w="1882" w:type="dxa"/>
          </w:tcPr>
          <w:p w14:paraId="58F92A8B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2005</w:t>
            </w:r>
          </w:p>
        </w:tc>
        <w:tc>
          <w:tcPr>
            <w:tcW w:w="1882" w:type="dxa"/>
          </w:tcPr>
          <w:p w14:paraId="69E20CCE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340,2</w:t>
            </w:r>
          </w:p>
        </w:tc>
        <w:tc>
          <w:tcPr>
            <w:tcW w:w="1882" w:type="dxa"/>
          </w:tcPr>
          <w:p w14:paraId="201233C6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515,0</w:t>
            </w:r>
          </w:p>
        </w:tc>
        <w:tc>
          <w:tcPr>
            <w:tcW w:w="1882" w:type="dxa"/>
          </w:tcPr>
          <w:p w14:paraId="7558ECD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4,71 %</w:t>
            </w:r>
          </w:p>
        </w:tc>
        <w:tc>
          <w:tcPr>
            <w:tcW w:w="1882" w:type="dxa"/>
          </w:tcPr>
          <w:p w14:paraId="6F832A54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—</w:t>
            </w:r>
          </w:p>
        </w:tc>
      </w:tr>
      <w:tr w:rsidR="001E5806" w:rsidRPr="0030082D" w14:paraId="6DB781C1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7845ED24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2006</w:t>
            </w:r>
          </w:p>
        </w:tc>
        <w:tc>
          <w:tcPr>
            <w:tcW w:w="1882" w:type="dxa"/>
            <w:shd w:val="clear" w:color="auto" w:fill="EEF3FA"/>
          </w:tcPr>
          <w:p w14:paraId="2DA77B36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362,9</w:t>
            </w:r>
          </w:p>
        </w:tc>
        <w:tc>
          <w:tcPr>
            <w:tcW w:w="1882" w:type="dxa"/>
            <w:shd w:val="clear" w:color="auto" w:fill="EEF3FA"/>
          </w:tcPr>
          <w:p w14:paraId="0D2E874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549,4</w:t>
            </w:r>
          </w:p>
        </w:tc>
        <w:tc>
          <w:tcPr>
            <w:tcW w:w="1882" w:type="dxa"/>
            <w:shd w:val="clear" w:color="auto" w:fill="EEF3FA"/>
          </w:tcPr>
          <w:p w14:paraId="4D08A5A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6,70 %</w:t>
            </w:r>
          </w:p>
        </w:tc>
        <w:tc>
          <w:tcPr>
            <w:tcW w:w="1882" w:type="dxa"/>
            <w:shd w:val="clear" w:color="auto" w:fill="EEF3FA"/>
          </w:tcPr>
          <w:p w14:paraId="5FC6EE7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6,69 %</w:t>
            </w:r>
          </w:p>
        </w:tc>
      </w:tr>
      <w:tr w:rsidR="001E5806" w:rsidRPr="0030082D" w14:paraId="0D139D70" w14:textId="77777777">
        <w:trPr>
          <w:jc w:val="center"/>
        </w:trPr>
        <w:tc>
          <w:tcPr>
            <w:tcW w:w="1882" w:type="dxa"/>
          </w:tcPr>
          <w:p w14:paraId="33F9B53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2007</w:t>
            </w:r>
          </w:p>
        </w:tc>
        <w:tc>
          <w:tcPr>
            <w:tcW w:w="1882" w:type="dxa"/>
          </w:tcPr>
          <w:p w14:paraId="0DAA9CD6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388,0</w:t>
            </w:r>
          </w:p>
        </w:tc>
        <w:tc>
          <w:tcPr>
            <w:tcW w:w="1882" w:type="dxa"/>
          </w:tcPr>
          <w:p w14:paraId="654F6FA4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586,5</w:t>
            </w:r>
          </w:p>
        </w:tc>
        <w:tc>
          <w:tcPr>
            <w:tcW w:w="1882" w:type="dxa"/>
          </w:tcPr>
          <w:p w14:paraId="337AE5B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6,90 %</w:t>
            </w:r>
          </w:p>
        </w:tc>
        <w:tc>
          <w:tcPr>
            <w:tcW w:w="1882" w:type="dxa"/>
          </w:tcPr>
          <w:p w14:paraId="0CCC1A24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6,74 %</w:t>
            </w:r>
          </w:p>
        </w:tc>
      </w:tr>
      <w:tr w:rsidR="001E5806" w:rsidRPr="0030082D" w14:paraId="1F84F6E9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448B9AAB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2008</w:t>
            </w:r>
          </w:p>
        </w:tc>
        <w:tc>
          <w:tcPr>
            <w:tcW w:w="1882" w:type="dxa"/>
            <w:shd w:val="clear" w:color="auto" w:fill="EEF3FA"/>
          </w:tcPr>
          <w:p w14:paraId="3AB968D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401,7</w:t>
            </w:r>
          </w:p>
        </w:tc>
        <w:tc>
          <w:tcPr>
            <w:tcW w:w="1882" w:type="dxa"/>
            <w:shd w:val="clear" w:color="auto" w:fill="EEF3FA"/>
          </w:tcPr>
          <w:p w14:paraId="75F6D378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605,7</w:t>
            </w:r>
          </w:p>
        </w:tc>
        <w:tc>
          <w:tcPr>
            <w:tcW w:w="1882" w:type="dxa"/>
            <w:shd w:val="clear" w:color="auto" w:fill="EEF3FA"/>
          </w:tcPr>
          <w:p w14:paraId="191B8F9E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3,55 %</w:t>
            </w:r>
          </w:p>
        </w:tc>
        <w:tc>
          <w:tcPr>
            <w:tcW w:w="1882" w:type="dxa"/>
            <w:shd w:val="clear" w:color="auto" w:fill="EEF3FA"/>
          </w:tcPr>
          <w:p w14:paraId="51615EF6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3,28 %</w:t>
            </w:r>
          </w:p>
        </w:tc>
      </w:tr>
      <w:tr w:rsidR="001E5806" w:rsidRPr="0030082D" w14:paraId="47060EA5" w14:textId="77777777">
        <w:trPr>
          <w:jc w:val="center"/>
        </w:trPr>
        <w:tc>
          <w:tcPr>
            <w:tcW w:w="1882" w:type="dxa"/>
          </w:tcPr>
          <w:p w14:paraId="4B00FF9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lastRenderedPageBreak/>
              <w:t>2009</w:t>
            </w:r>
          </w:p>
        </w:tc>
        <w:tc>
          <w:tcPr>
            <w:tcW w:w="1882" w:type="dxa"/>
          </w:tcPr>
          <w:p w14:paraId="00593CFD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408,4</w:t>
            </w:r>
          </w:p>
        </w:tc>
        <w:tc>
          <w:tcPr>
            <w:tcW w:w="1882" w:type="dxa"/>
          </w:tcPr>
          <w:p w14:paraId="7A856B2E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612,6</w:t>
            </w:r>
          </w:p>
        </w:tc>
        <w:tc>
          <w:tcPr>
            <w:tcW w:w="1882" w:type="dxa"/>
          </w:tcPr>
          <w:p w14:paraId="6B6DC988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1,65 %</w:t>
            </w:r>
          </w:p>
        </w:tc>
        <w:tc>
          <w:tcPr>
            <w:tcW w:w="1882" w:type="dxa"/>
          </w:tcPr>
          <w:p w14:paraId="6DD95E5D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1,14 %</w:t>
            </w:r>
          </w:p>
        </w:tc>
      </w:tr>
      <w:tr w:rsidR="001E5806" w:rsidRPr="0030082D" w14:paraId="402E71CC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4E6CA955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2010</w:t>
            </w:r>
          </w:p>
        </w:tc>
        <w:tc>
          <w:tcPr>
            <w:tcW w:w="1882" w:type="dxa"/>
            <w:shd w:val="clear" w:color="auto" w:fill="EEF3FA"/>
          </w:tcPr>
          <w:p w14:paraId="39A8F01B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424,6</w:t>
            </w:r>
          </w:p>
        </w:tc>
        <w:tc>
          <w:tcPr>
            <w:tcW w:w="1882" w:type="dxa"/>
            <w:shd w:val="clear" w:color="auto" w:fill="EEF3FA"/>
          </w:tcPr>
          <w:p w14:paraId="2110079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640,2</w:t>
            </w:r>
          </w:p>
        </w:tc>
        <w:tc>
          <w:tcPr>
            <w:tcW w:w="1882" w:type="dxa"/>
            <w:shd w:val="clear" w:color="auto" w:fill="EEF3FA"/>
          </w:tcPr>
          <w:p w14:paraId="7EFEEB4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3,97 %</w:t>
            </w:r>
          </w:p>
        </w:tc>
        <w:tc>
          <w:tcPr>
            <w:tcW w:w="1882" w:type="dxa"/>
            <w:shd w:val="clear" w:color="auto" w:fill="EEF3FA"/>
          </w:tcPr>
          <w:p w14:paraId="149556C5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4,49 %</w:t>
            </w:r>
          </w:p>
        </w:tc>
      </w:tr>
      <w:tr w:rsidR="001E5806" w:rsidRPr="0030082D" w14:paraId="26200D82" w14:textId="77777777">
        <w:trPr>
          <w:jc w:val="center"/>
        </w:trPr>
        <w:tc>
          <w:tcPr>
            <w:tcW w:w="1882" w:type="dxa"/>
          </w:tcPr>
          <w:p w14:paraId="50D07BB8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2011</w:t>
            </w:r>
          </w:p>
        </w:tc>
        <w:tc>
          <w:tcPr>
            <w:tcW w:w="1882" w:type="dxa"/>
          </w:tcPr>
          <w:p w14:paraId="69272F2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452,6</w:t>
            </w:r>
          </w:p>
        </w:tc>
        <w:tc>
          <w:tcPr>
            <w:tcW w:w="1882" w:type="dxa"/>
          </w:tcPr>
          <w:p w14:paraId="1F4938A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684,6</w:t>
            </w:r>
          </w:p>
        </w:tc>
        <w:tc>
          <w:tcPr>
            <w:tcW w:w="1882" w:type="dxa"/>
          </w:tcPr>
          <w:p w14:paraId="570E07D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6,59 %</w:t>
            </w:r>
          </w:p>
        </w:tc>
        <w:tc>
          <w:tcPr>
            <w:tcW w:w="1882" w:type="dxa"/>
          </w:tcPr>
          <w:p w14:paraId="504FF2BD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6,95 %</w:t>
            </w:r>
          </w:p>
        </w:tc>
      </w:tr>
      <w:tr w:rsidR="001E5806" w:rsidRPr="0030082D" w14:paraId="76032835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36B30DB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2012</w:t>
            </w:r>
          </w:p>
        </w:tc>
        <w:tc>
          <w:tcPr>
            <w:tcW w:w="1882" w:type="dxa"/>
            <w:shd w:val="clear" w:color="auto" w:fill="EEF3FA"/>
          </w:tcPr>
          <w:p w14:paraId="0E21147F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470,9</w:t>
            </w:r>
          </w:p>
        </w:tc>
        <w:tc>
          <w:tcPr>
            <w:tcW w:w="1882" w:type="dxa"/>
            <w:shd w:val="clear" w:color="auto" w:fill="EEF3FA"/>
          </w:tcPr>
          <w:p w14:paraId="261C13C5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711,4</w:t>
            </w:r>
          </w:p>
        </w:tc>
        <w:tc>
          <w:tcPr>
            <w:tcW w:w="1882" w:type="dxa"/>
            <w:shd w:val="clear" w:color="auto" w:fill="EEF3FA"/>
          </w:tcPr>
          <w:p w14:paraId="1E2F38E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4,04 %</w:t>
            </w:r>
          </w:p>
        </w:tc>
        <w:tc>
          <w:tcPr>
            <w:tcW w:w="1882" w:type="dxa"/>
            <w:shd w:val="clear" w:color="auto" w:fill="EEF3FA"/>
          </w:tcPr>
          <w:p w14:paraId="14A76CB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3,91 %</w:t>
            </w:r>
          </w:p>
        </w:tc>
      </w:tr>
      <w:tr w:rsidR="001E5806" w:rsidRPr="0030082D" w14:paraId="41508880" w14:textId="77777777">
        <w:trPr>
          <w:jc w:val="center"/>
        </w:trPr>
        <w:tc>
          <w:tcPr>
            <w:tcW w:w="1882" w:type="dxa"/>
          </w:tcPr>
          <w:p w14:paraId="722A772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2013</w:t>
            </w:r>
          </w:p>
        </w:tc>
        <w:tc>
          <w:tcPr>
            <w:tcW w:w="1882" w:type="dxa"/>
          </w:tcPr>
          <w:p w14:paraId="6229332F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493,8</w:t>
            </w:r>
          </w:p>
        </w:tc>
        <w:tc>
          <w:tcPr>
            <w:tcW w:w="1882" w:type="dxa"/>
          </w:tcPr>
          <w:p w14:paraId="619D7833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747,9</w:t>
            </w:r>
          </w:p>
        </w:tc>
        <w:tc>
          <w:tcPr>
            <w:tcW w:w="1882" w:type="dxa"/>
          </w:tcPr>
          <w:p w14:paraId="71192C78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4,87 %</w:t>
            </w:r>
          </w:p>
        </w:tc>
        <w:tc>
          <w:tcPr>
            <w:tcW w:w="1882" w:type="dxa"/>
          </w:tcPr>
          <w:p w14:paraId="6DCBDFAB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5,13 %</w:t>
            </w:r>
          </w:p>
        </w:tc>
      </w:tr>
      <w:tr w:rsidR="001E5806" w:rsidRPr="0030082D" w14:paraId="38ECB6C7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49916733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2014</w:t>
            </w:r>
          </w:p>
        </w:tc>
        <w:tc>
          <w:tcPr>
            <w:tcW w:w="1882" w:type="dxa"/>
            <w:shd w:val="clear" w:color="auto" w:fill="EEF3FA"/>
          </w:tcPr>
          <w:p w14:paraId="6A30DB0E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515,5</w:t>
            </w:r>
          </w:p>
        </w:tc>
        <w:tc>
          <w:tcPr>
            <w:tcW w:w="1882" w:type="dxa"/>
            <w:shd w:val="clear" w:color="auto" w:fill="EEF3FA"/>
          </w:tcPr>
          <w:p w14:paraId="6F508585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781,6</w:t>
            </w:r>
          </w:p>
        </w:tc>
        <w:tc>
          <w:tcPr>
            <w:tcW w:w="1882" w:type="dxa"/>
            <w:shd w:val="clear" w:color="auto" w:fill="EEF3FA"/>
          </w:tcPr>
          <w:p w14:paraId="7F1F2C8F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4,39 %</w:t>
            </w:r>
          </w:p>
        </w:tc>
        <w:tc>
          <w:tcPr>
            <w:tcW w:w="1882" w:type="dxa"/>
            <w:shd w:val="clear" w:color="auto" w:fill="EEF3FA"/>
          </w:tcPr>
          <w:p w14:paraId="69FD63DB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4,50 %</w:t>
            </w:r>
          </w:p>
        </w:tc>
      </w:tr>
      <w:tr w:rsidR="001E5806" w:rsidRPr="0030082D" w14:paraId="6F383E6B" w14:textId="77777777">
        <w:trPr>
          <w:jc w:val="center"/>
        </w:trPr>
        <w:tc>
          <w:tcPr>
            <w:tcW w:w="1882" w:type="dxa"/>
          </w:tcPr>
          <w:p w14:paraId="6C2CD18C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2015</w:t>
            </w:r>
          </w:p>
        </w:tc>
        <w:tc>
          <w:tcPr>
            <w:tcW w:w="1882" w:type="dxa"/>
          </w:tcPr>
          <w:p w14:paraId="0E6FDF3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531,3</w:t>
            </w:r>
          </w:p>
        </w:tc>
        <w:tc>
          <w:tcPr>
            <w:tcW w:w="1882" w:type="dxa"/>
          </w:tcPr>
          <w:p w14:paraId="74D34ED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804,7</w:t>
            </w:r>
          </w:p>
        </w:tc>
        <w:tc>
          <w:tcPr>
            <w:tcW w:w="1882" w:type="dxa"/>
          </w:tcPr>
          <w:p w14:paraId="6983A235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3,05 %</w:t>
            </w:r>
          </w:p>
        </w:tc>
        <w:tc>
          <w:tcPr>
            <w:tcW w:w="1882" w:type="dxa"/>
          </w:tcPr>
          <w:p w14:paraId="79F2B5E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2,96 %</w:t>
            </w:r>
          </w:p>
        </w:tc>
      </w:tr>
      <w:tr w:rsidR="001E5806" w:rsidRPr="0030082D" w14:paraId="64EECC54" w14:textId="77777777">
        <w:trPr>
          <w:jc w:val="center"/>
        </w:trPr>
        <w:tc>
          <w:tcPr>
            <w:tcW w:w="1882" w:type="dxa"/>
            <w:shd w:val="clear" w:color="auto" w:fill="EEF3FA"/>
          </w:tcPr>
          <w:p w14:paraId="5BBF8C6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2016</w:t>
            </w:r>
          </w:p>
        </w:tc>
        <w:tc>
          <w:tcPr>
            <w:tcW w:w="1882" w:type="dxa"/>
            <w:shd w:val="clear" w:color="auto" w:fill="EEF3FA"/>
          </w:tcPr>
          <w:p w14:paraId="5E79224E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542,1</w:t>
            </w:r>
          </w:p>
        </w:tc>
        <w:tc>
          <w:tcPr>
            <w:tcW w:w="1882" w:type="dxa"/>
            <w:shd w:val="clear" w:color="auto" w:fill="EEF3FA"/>
          </w:tcPr>
          <w:p w14:paraId="6825E599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821,5</w:t>
            </w:r>
          </w:p>
        </w:tc>
        <w:tc>
          <w:tcPr>
            <w:tcW w:w="1882" w:type="dxa"/>
            <w:shd w:val="clear" w:color="auto" w:fill="EEF3FA"/>
          </w:tcPr>
          <w:p w14:paraId="10E6019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2,04 %</w:t>
            </w:r>
          </w:p>
        </w:tc>
        <w:tc>
          <w:tcPr>
            <w:tcW w:w="1882" w:type="dxa"/>
            <w:shd w:val="clear" w:color="auto" w:fill="EEF3FA"/>
          </w:tcPr>
          <w:p w14:paraId="62D6C920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2,09 %</w:t>
            </w:r>
          </w:p>
        </w:tc>
      </w:tr>
      <w:tr w:rsidR="001E5806" w:rsidRPr="0030082D" w14:paraId="2618A3D5" w14:textId="77777777">
        <w:trPr>
          <w:jc w:val="center"/>
        </w:trPr>
        <w:tc>
          <w:tcPr>
            <w:tcW w:w="1882" w:type="dxa"/>
          </w:tcPr>
          <w:p w14:paraId="3821AE73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2017</w:t>
            </w:r>
          </w:p>
        </w:tc>
        <w:tc>
          <w:tcPr>
            <w:tcW w:w="1882" w:type="dxa"/>
          </w:tcPr>
          <w:p w14:paraId="7F2E35E2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551,7</w:t>
            </w:r>
          </w:p>
        </w:tc>
        <w:tc>
          <w:tcPr>
            <w:tcW w:w="1882" w:type="dxa"/>
          </w:tcPr>
          <w:p w14:paraId="2AD62394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832,7</w:t>
            </w:r>
          </w:p>
        </w:tc>
        <w:tc>
          <w:tcPr>
            <w:tcW w:w="1882" w:type="dxa"/>
          </w:tcPr>
          <w:p w14:paraId="741F9DA2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1,77 %</w:t>
            </w:r>
          </w:p>
        </w:tc>
        <w:tc>
          <w:tcPr>
            <w:tcW w:w="1882" w:type="dxa"/>
          </w:tcPr>
          <w:p w14:paraId="7BEF4AE1" w14:textId="77777777" w:rsidR="001E5806" w:rsidRPr="0030082D" w:rsidRDefault="00000000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30082D">
              <w:rPr>
                <w:rFonts w:asciiTheme="majorHAnsi" w:hAnsiTheme="majorHAnsi" w:cstheme="majorHAnsi"/>
                <w:sz w:val="20"/>
              </w:rPr>
              <w:t>1,36 %</w:t>
            </w:r>
          </w:p>
        </w:tc>
      </w:tr>
    </w:tbl>
    <w:p w14:paraId="1A51F33B" w14:textId="77777777" w:rsidR="001E5806" w:rsidRPr="0030082D" w:rsidRDefault="00000000">
      <w:pPr>
        <w:spacing w:before="80" w:after="12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i/>
          <w:color w:val="595959"/>
          <w:sz w:val="19"/>
          <w:lang w:val="es-CO"/>
        </w:rPr>
        <w:t>El crecimiento de 2005 en base 2015 no aparece porque esa serie empieza en 2005 y no hay 2004 con qué compararlo. Tabla realizada con asistencia de inteligencia artificial.</w:t>
      </w:r>
    </w:p>
    <w:p w14:paraId="54ECD189" w14:textId="77777777" w:rsidR="001E5806" w:rsidRPr="0030082D" w:rsidRDefault="00000000">
      <w:pPr>
        <w:pStyle w:val="Heading1"/>
        <w:rPr>
          <w:rFonts w:cstheme="majorHAnsi"/>
          <w:lang w:val="es-CO"/>
        </w:rPr>
      </w:pPr>
      <w:r w:rsidRPr="0030082D">
        <w:rPr>
          <w:rFonts w:cstheme="majorHAnsi"/>
          <w:lang w:val="es-CO"/>
        </w:rPr>
        <w:t>3. Explicación de las diferencias</w:t>
      </w:r>
    </w:p>
    <w:p w14:paraId="5D35505C" w14:textId="27ADBBC4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lang w:val="es-CO"/>
        </w:rPr>
        <w:t xml:space="preserve">La serie en base 2015 es cerca de 51 % mayor que la de base 2005, esa brecha es casi constante (la razón entre ambas va de 1,50 a 1,52 todos los años). Ambas son PIB a precios constantes, pero cada una expresa la producción en pesos de un año distinto: la base 2005 en pesos de 2005 y la base 2015 en pesos de 2015. Entre 2005 y 2015 los precios subieron, así que la misma producción real se escribe con un número mayor en pesos de 2015. </w:t>
      </w:r>
    </w:p>
    <w:p w14:paraId="269C3814" w14:textId="4F091F5A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lang w:val="es-CO"/>
        </w:rPr>
        <w:t>El crecimiento promedio 2006–2017 es 4,13 % con la base 2005 y 4,10 % con la base 2015; el crecimiento acumulado anualizado 2005–2017 es 4,11 % frente a 4,09 %. Año a año, la diferencia absoluta promedia 0,24 puntos porcentuales. Las mayores diferencias están en 2009 (1,65 % con la base 2005 y 1,14 % con la base 2015), 2010 (3,97 % y 4,49 %) y 2017 (1,77 % y 1,36 %).</w:t>
      </w:r>
    </w:p>
    <w:p w14:paraId="5220172E" w14:textId="4CA95445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b/>
          <w:lang w:val="es-CO"/>
        </w:rPr>
        <w:t xml:space="preserve">¿Por qué cambia el crecimiento si cambia la base? </w:t>
      </w:r>
      <w:r w:rsidRPr="0030082D">
        <w:rPr>
          <w:rFonts w:asciiTheme="majorHAnsi" w:hAnsiTheme="majorHAnsi" w:cstheme="majorHAnsi"/>
          <w:lang w:val="es-CO"/>
        </w:rPr>
        <w:t xml:space="preserve">En el ejemplo del pan el crecimiento no cambiaba porque había un solo producto. En la economía real hay muchos sectores que crecen a ritmos distintos, y el crecimiento total es un promedio de ellos ponderado por su peso. Al cambiar de base cambian esos pesos, porque la economía y los precios relativos de 2015 no son los de 2005. </w:t>
      </w:r>
      <w:r w:rsidR="0030082D">
        <w:rPr>
          <w:rFonts w:asciiTheme="majorHAnsi" w:hAnsiTheme="majorHAnsi" w:cstheme="majorHAnsi"/>
          <w:lang w:val="es-CO"/>
        </w:rPr>
        <w:t xml:space="preserve">Al investigar encontramos </w:t>
      </w:r>
      <w:proofErr w:type="gramStart"/>
      <w:r w:rsidR="0030082D">
        <w:rPr>
          <w:rFonts w:asciiTheme="majorHAnsi" w:hAnsiTheme="majorHAnsi" w:cstheme="majorHAnsi"/>
          <w:lang w:val="es-CO"/>
        </w:rPr>
        <w:t>que</w:t>
      </w:r>
      <w:proofErr w:type="gramEnd"/>
      <w:r w:rsidR="0030082D">
        <w:rPr>
          <w:rFonts w:asciiTheme="majorHAnsi" w:hAnsiTheme="majorHAnsi" w:cstheme="majorHAnsi"/>
          <w:lang w:val="es-CO"/>
        </w:rPr>
        <w:t xml:space="preserve"> a</w:t>
      </w:r>
      <w:r w:rsidRPr="0030082D">
        <w:rPr>
          <w:rFonts w:asciiTheme="majorHAnsi" w:hAnsiTheme="majorHAnsi" w:cstheme="majorHAnsi"/>
          <w:lang w:val="es-CO"/>
        </w:rPr>
        <w:t>demás, al rebasar el DANE incorpora nuevas fuentes de información y actualiza sus métodos de cálculo. Por eso el crecimiento cambia un poco, y más en años de choques como 2009–2010.</w:t>
      </w:r>
    </w:p>
    <w:p w14:paraId="3426173A" w14:textId="12137305" w:rsidR="001E5806" w:rsidRPr="0030082D" w:rsidRDefault="00000000">
      <w:pPr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b/>
          <w:lang w:val="es-CO"/>
        </w:rPr>
        <w:t xml:space="preserve">Conclusión. </w:t>
      </w:r>
      <w:r w:rsidRPr="0030082D">
        <w:rPr>
          <w:rFonts w:asciiTheme="majorHAnsi" w:hAnsiTheme="majorHAnsi" w:cstheme="majorHAnsi"/>
          <w:lang w:val="es-CO"/>
        </w:rPr>
        <w:t xml:space="preserve">Para saber cuánto crece la economía, ambas bases </w:t>
      </w:r>
      <w:r w:rsidR="0030082D">
        <w:rPr>
          <w:rFonts w:asciiTheme="majorHAnsi" w:hAnsiTheme="majorHAnsi" w:cstheme="majorHAnsi"/>
          <w:lang w:val="es-CO"/>
        </w:rPr>
        <w:t>son útiles para describir globalmente patrones en cambio y variación, sus diferencias dan cuenta de cambios y mejoras que el sistema fiscal hace a la forma en la que medimos la economía</w:t>
      </w:r>
      <w:r w:rsidRPr="0030082D">
        <w:rPr>
          <w:rFonts w:asciiTheme="majorHAnsi" w:hAnsiTheme="majorHAnsi" w:cstheme="majorHAnsi"/>
          <w:lang w:val="es-CO"/>
        </w:rPr>
        <w:t>. Para saber cuánto vale el PIB, no se pueden mezclar niveles de bases distintas: hay que usar una sola serie o empalmarlas.</w:t>
      </w:r>
    </w:p>
    <w:p w14:paraId="3455EBE8" w14:textId="77777777" w:rsidR="001E5806" w:rsidRPr="0030082D" w:rsidRDefault="00000000">
      <w:pPr>
        <w:pStyle w:val="Heading1"/>
        <w:rPr>
          <w:rFonts w:cstheme="majorHAnsi"/>
        </w:rPr>
      </w:pPr>
      <w:r w:rsidRPr="0030082D">
        <w:rPr>
          <w:rFonts w:cstheme="majorHAnsi"/>
        </w:rPr>
        <w:t>Fuentes</w:t>
      </w:r>
    </w:p>
    <w:p w14:paraId="5F47E2F8" w14:textId="77777777" w:rsidR="001E5806" w:rsidRPr="0030082D" w:rsidRDefault="00000000">
      <w:pPr>
        <w:pStyle w:val="ListBullet"/>
        <w:spacing w:after="6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sz w:val="20"/>
          <w:lang w:val="es-CO"/>
        </w:rPr>
        <w:t>Banco de la República de Colombia, Series estadísticas históricas de Colombia, Producto Interno Bruto, "PIB por demanda", fila "1. PIB reportado", bases 2005 y 2015, constante desestacionalizado, trimestral (cifras DANE). Descargado el 12 de octubre de 2026. https://uba.banrep.gov.co/htmlcommons/SeriesHistoricas/producto-interno-bruto.html</w:t>
      </w:r>
    </w:p>
    <w:p w14:paraId="63DB2D11" w14:textId="77777777" w:rsidR="001E5806" w:rsidRPr="0030082D" w:rsidRDefault="00000000">
      <w:pPr>
        <w:pStyle w:val="ListBullet"/>
        <w:spacing w:after="60"/>
        <w:rPr>
          <w:rFonts w:asciiTheme="majorHAnsi" w:hAnsiTheme="majorHAnsi" w:cstheme="majorHAnsi"/>
          <w:lang w:val="es-CO"/>
        </w:rPr>
      </w:pPr>
      <w:r w:rsidRPr="0030082D">
        <w:rPr>
          <w:rFonts w:asciiTheme="majorHAnsi" w:hAnsiTheme="majorHAnsi" w:cstheme="majorHAnsi"/>
          <w:sz w:val="20"/>
          <w:lang w:val="es-CO"/>
        </w:rPr>
        <w:t>DANE, notas metodológicas de las cuentas nacionales trimestrales, bases 2005 y 2015.</w:t>
      </w:r>
    </w:p>
    <w:sectPr w:rsidR="001E5806" w:rsidRPr="0030082D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363964">
    <w:abstractNumId w:val="8"/>
  </w:num>
  <w:num w:numId="2" w16cid:durableId="1059285196">
    <w:abstractNumId w:val="6"/>
  </w:num>
  <w:num w:numId="3" w16cid:durableId="639002213">
    <w:abstractNumId w:val="5"/>
  </w:num>
  <w:num w:numId="4" w16cid:durableId="1424767331">
    <w:abstractNumId w:val="4"/>
  </w:num>
  <w:num w:numId="5" w16cid:durableId="681861787">
    <w:abstractNumId w:val="7"/>
  </w:num>
  <w:num w:numId="6" w16cid:durableId="36977447">
    <w:abstractNumId w:val="3"/>
  </w:num>
  <w:num w:numId="7" w16cid:durableId="774984199">
    <w:abstractNumId w:val="2"/>
  </w:num>
  <w:num w:numId="8" w16cid:durableId="561717100">
    <w:abstractNumId w:val="1"/>
  </w:num>
  <w:num w:numId="9" w16cid:durableId="39435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806"/>
    <w:rsid w:val="0029639D"/>
    <w:rsid w:val="0030082D"/>
    <w:rsid w:val="00326F90"/>
    <w:rsid w:val="00AA1D8D"/>
    <w:rsid w:val="00B47730"/>
    <w:rsid w:val="00CB0664"/>
    <w:rsid w:val="00D51C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CAE319"/>
  <w14:defaultImageDpi w14:val="300"/>
  <w15:docId w15:val="{1186E6E6-0325-466C-8613-13E47873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Fuentes</cp:lastModifiedBy>
  <cp:revision>2</cp:revision>
  <dcterms:created xsi:type="dcterms:W3CDTF">2013-12-23T23:15:00Z</dcterms:created>
  <dcterms:modified xsi:type="dcterms:W3CDTF">2026-10-12T22:53:00Z</dcterms:modified>
  <cp:category/>
</cp:coreProperties>
</file>