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隶书" w:cstheme="minorBidi"/>
          <w:b/>
          <w:sz w:val="36"/>
          <w:szCs w:val="36"/>
        </w:rPr>
      </w:pPr>
      <w:bookmarkStart w:id="42" w:name="_GoBack"/>
      <w:bookmarkStart w:id="0" w:name="_Toc5713995"/>
      <w:bookmarkStart w:id="1" w:name="_Toc5713996"/>
      <w:bookmarkStart w:id="2" w:name="_Toc330317090"/>
      <w:bookmarkStart w:id="3" w:name="_Hlk7296164"/>
      <w:bookmarkStart w:id="4" w:name="_Hlk7298742"/>
      <w:r>
        <w:rPr>
          <w:rFonts w:hint="eastAsia" w:ascii="Times New Roman" w:hAnsi="Times New Roman" w:eastAsia="隶书" w:cstheme="minorBidi"/>
          <w:b/>
          <w:sz w:val="36"/>
          <w:szCs w:val="36"/>
        </w:rPr>
        <w:t>测度中国数字普惠金融发展：指数编制与空间特征</w:t>
      </w:r>
    </w:p>
    <w:bookmarkEnd w:id="42"/>
    <w:p>
      <w:pPr>
        <w:pStyle w:val="70"/>
        <w:snapToGrid w:val="0"/>
        <w:spacing w:before="100" w:beforeAutospacing="1" w:after="100" w:afterAutospacing="1"/>
        <w:jc w:val="center"/>
        <w:rPr>
          <w:rFonts w:ascii="Times New Roman" w:hAnsi="Times New Roman"/>
          <w:sz w:val="28"/>
          <w:szCs w:val="32"/>
        </w:rPr>
      </w:pPr>
      <w:r>
        <w:rPr>
          <w:rFonts w:hint="eastAsia" w:ascii="楷体" w:hAnsi="楷体" w:eastAsia="楷体"/>
          <w:kern w:val="0"/>
          <w:sz w:val="24"/>
          <w:szCs w:val="22"/>
        </w:rPr>
        <w:t>郭峰 王靖一 王芳 孔涛 张勋 程志云</w:t>
      </w:r>
      <w:r>
        <w:rPr>
          <w:rStyle w:val="43"/>
          <w:rFonts w:ascii="楷体" w:hAnsi="楷体"/>
        </w:rPr>
        <w:footnoteReference w:id="0" w:customMarkFollows="1"/>
        <w:t>*</w:t>
      </w:r>
      <w:r>
        <w:rPr>
          <w:rFonts w:hint="eastAsia" w:eastAsia="仿宋"/>
          <w:vertAlign w:val="superscript"/>
        </w:rPr>
        <w:t xml:space="preserve"> </w:t>
      </w:r>
    </w:p>
    <w:p>
      <w:pPr>
        <w:autoSpaceDE w:val="0"/>
        <w:autoSpaceDN w:val="0"/>
        <w:adjustRightInd w:val="0"/>
        <w:ind w:firstLine="422" w:firstLineChars="200"/>
        <w:rPr>
          <w:rFonts w:ascii="Times New Roman" w:hAnsi="仿宋" w:eastAsia="仿宋" w:cs="楷体"/>
          <w:b/>
          <w:color w:val="000000"/>
          <w:kern w:val="0"/>
          <w:szCs w:val="21"/>
        </w:rPr>
      </w:pPr>
    </w:p>
    <w:p>
      <w:pPr>
        <w:autoSpaceDE w:val="0"/>
        <w:autoSpaceDN w:val="0"/>
        <w:adjustRightInd w:val="0"/>
        <w:ind w:firstLine="422" w:firstLineChars="200"/>
        <w:rPr>
          <w:rFonts w:ascii="Times New Roman" w:hAnsi="仿宋" w:eastAsia="仿宋" w:cs="楷体"/>
          <w:color w:val="000000"/>
          <w:kern w:val="0"/>
          <w:szCs w:val="21"/>
        </w:rPr>
      </w:pPr>
      <w:r>
        <w:rPr>
          <w:rFonts w:hint="eastAsia" w:ascii="Times New Roman" w:hAnsi="仿宋" w:eastAsia="仿宋" w:cs="楷体"/>
          <w:b/>
          <w:color w:val="000000"/>
          <w:kern w:val="0"/>
          <w:szCs w:val="21"/>
        </w:rPr>
        <w:t>摘要：</w:t>
      </w:r>
      <w:bookmarkStart w:id="5" w:name="_Hlk9346190"/>
      <w:r>
        <w:rPr>
          <w:rFonts w:hint="eastAsia" w:ascii="Times New Roman" w:hAnsi="仿宋" w:eastAsia="仿宋" w:cs="楷体"/>
          <w:color w:val="000000"/>
          <w:kern w:val="0"/>
          <w:szCs w:val="21"/>
        </w:rPr>
        <w:t>当前，在传统金融机构加大普惠金融实践的同时，依托智能算法、大数据和云计算等创新技术的数字金融模式进一步拓展了普惠金融的触达能力和服务深度。为了科学准确地刻画中国数字普惠金融的发展现状，为相关领域的研究提供工具性的基础数据，我们利用中国一家代表性数字金融机构数以亿计的微观数据，编制了一套</w:t>
      </w:r>
      <w:r>
        <w:rPr>
          <w:rFonts w:ascii="Times New Roman" w:hAnsi="仿宋" w:eastAsia="仿宋" w:cs="楷体"/>
          <w:color w:val="000000"/>
          <w:kern w:val="0"/>
          <w:szCs w:val="21"/>
        </w:rPr>
        <w:t>2011-201</w:t>
      </w:r>
      <w:r>
        <w:rPr>
          <w:rFonts w:hint="eastAsia" w:ascii="Times New Roman" w:hAnsi="仿宋" w:eastAsia="仿宋" w:cs="楷体"/>
          <w:color w:val="000000"/>
          <w:kern w:val="0"/>
          <w:szCs w:val="21"/>
        </w:rPr>
        <w:t>8年覆盖中国内地31个省、337个地级以上城市和约2800个县域的“北京大学数字普惠金融指数”。该指数刻画了中国不同地区数字普惠金融的发展趋势：中国数字普惠金融总体上表现出了很强的地区收敛特征，同时也展现了很强的空间集聚性和空间异质性。</w:t>
      </w:r>
      <w:r>
        <w:rPr>
          <w:rFonts w:ascii="Times New Roman" w:hAnsi="仿宋" w:eastAsia="仿宋" w:cs="楷体"/>
          <w:color w:val="000000"/>
          <w:kern w:val="0"/>
          <w:szCs w:val="21"/>
        </w:rPr>
        <w:t xml:space="preserve"> </w:t>
      </w:r>
      <w:bookmarkEnd w:id="5"/>
    </w:p>
    <w:p>
      <w:pPr>
        <w:ind w:firstLine="422" w:firstLineChars="200"/>
        <w:rPr>
          <w:rFonts w:ascii="Times New Roman" w:hAnsi="仿宋" w:eastAsia="仿宋" w:cs="楷体"/>
          <w:color w:val="000000"/>
          <w:kern w:val="0"/>
          <w:szCs w:val="21"/>
        </w:rPr>
      </w:pPr>
      <w:r>
        <w:rPr>
          <w:rFonts w:hint="eastAsia" w:ascii="Times New Roman" w:hAnsi="仿宋" w:eastAsia="仿宋" w:cs="楷体"/>
          <w:b/>
          <w:color w:val="000000"/>
          <w:kern w:val="0"/>
          <w:szCs w:val="21"/>
        </w:rPr>
        <w:t>关键词：</w:t>
      </w:r>
      <w:r>
        <w:rPr>
          <w:rFonts w:hint="eastAsia" w:ascii="Times New Roman" w:hAnsi="仿宋" w:eastAsia="仿宋" w:cs="楷体"/>
          <w:color w:val="000000"/>
          <w:kern w:val="0"/>
          <w:szCs w:val="21"/>
        </w:rPr>
        <w:t>数字金融，普惠金融，层次分析法</w:t>
      </w:r>
      <w:r>
        <w:rPr>
          <w:rFonts w:ascii="Times New Roman" w:hAnsi="仿宋" w:eastAsia="仿宋" w:cs="楷体"/>
          <w:color w:val="000000"/>
          <w:kern w:val="0"/>
          <w:szCs w:val="21"/>
        </w:rPr>
        <w:t xml:space="preserve"> </w:t>
      </w:r>
    </w:p>
    <w:bookmarkEnd w:id="0"/>
    <w:p>
      <w:pPr>
        <w:spacing w:before="156" w:beforeLines="50" w:after="156" w:afterLines="50"/>
        <w:jc w:val="center"/>
        <w:outlineLvl w:val="0"/>
        <w:rPr>
          <w:rFonts w:ascii="Times New Roman" w:hAnsi="楷体" w:eastAsia="楷体" w:cs="宋体"/>
          <w:sz w:val="28"/>
          <w:szCs w:val="28"/>
        </w:rPr>
      </w:pPr>
      <w:r>
        <w:rPr>
          <w:rFonts w:hint="eastAsia" w:ascii="Times New Roman" w:hAnsi="楷体" w:eastAsia="楷体" w:cs="宋体"/>
          <w:sz w:val="28"/>
          <w:szCs w:val="28"/>
        </w:rPr>
        <w:t>一</w:t>
      </w:r>
      <w:r>
        <w:rPr>
          <w:rFonts w:ascii="Times New Roman" w:hAnsi="楷体" w:eastAsia="楷体" w:cs="宋体"/>
          <w:sz w:val="28"/>
          <w:szCs w:val="28"/>
        </w:rPr>
        <w:t>、</w:t>
      </w:r>
      <w:bookmarkEnd w:id="1"/>
      <w:bookmarkEnd w:id="2"/>
      <w:r>
        <w:rPr>
          <w:rFonts w:hint="eastAsia" w:ascii="Times New Roman" w:hAnsi="楷体" w:eastAsia="楷体" w:cs="宋体"/>
          <w:sz w:val="28"/>
          <w:szCs w:val="28"/>
        </w:rPr>
        <w:t>引言</w:t>
      </w:r>
    </w:p>
    <w:p>
      <w:pPr>
        <w:ind w:firstLine="480"/>
        <w:rPr>
          <w:rFonts w:ascii="Times New Roman" w:hAnsi="Times New Roman" w:eastAsia="仿宋" w:cs="宋体"/>
          <w:kern w:val="0"/>
          <w:szCs w:val="24"/>
        </w:rPr>
      </w:pPr>
      <w:r>
        <w:rPr>
          <w:rFonts w:hint="eastAsia" w:ascii="Times New Roman" w:hAnsi="Times New Roman" w:eastAsia="仿宋" w:cs="宋体"/>
          <w:kern w:val="0"/>
          <w:szCs w:val="24"/>
        </w:rPr>
        <w:t>普惠金融（financial inclusion，亦译为包容性金融）可以定义为能有效和全方位地为社会所有阶层和群体提供服务的金融体系（焦瑾璞等，2015），其初衷意在强调通过金融基础设施的不断完善，提高金融服务的可得性，实现以较低成本向社会各界人士，尤其是欠发达地区和社会低收入者提供较为便捷的金融服务。这一概念最初被联合国用于“2005年国际小额信贷年”的宣传中，后被联合国和世界银行大力推广。到2014年世界银行已在全球70多个国家和地区与公私合作伙伴联手开展普惠金融项目，全世界50多个国家和地区设立了改善普惠金融的目标（世界银行集团，2015）。2005年后，普惠金融的概念引入中国，并得到中国政府的认可，2013年11月，中共十八届三中全会通过《中共中央关于全面深化改革若干重大问题的决定》，正式提出发展普惠金融。2015年底，国务院发布《推进普惠金融发展规划（2016-2020）》，对普惠金融事业进行了更具体的部署，并在其中明确了普惠金融的定义：普惠金融是指立足机会平等要求和商业可持续原则，通过加大政策引导扶持、加强金融体系建设、健全金融基础设施，以可负担的成本为有金融服务需求的社会各阶层和群体提供适当的、有效的金融服务。</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无论是在国际上还是在中国国内</w:t>
      </w:r>
      <w:r>
        <w:rPr>
          <w:rFonts w:ascii="Times New Roman" w:hAnsi="Times New Roman" w:eastAsia="仿宋" w:cs="宋体"/>
          <w:kern w:val="0"/>
          <w:szCs w:val="24"/>
        </w:rPr>
        <w:t>，普惠金融</w:t>
      </w:r>
      <w:r>
        <w:rPr>
          <w:rFonts w:hint="eastAsia" w:ascii="Times New Roman" w:hAnsi="Times New Roman" w:eastAsia="仿宋" w:cs="宋体"/>
          <w:kern w:val="0"/>
          <w:szCs w:val="24"/>
        </w:rPr>
        <w:t>的</w:t>
      </w:r>
      <w:r>
        <w:rPr>
          <w:rFonts w:ascii="Times New Roman" w:hAnsi="Times New Roman" w:eastAsia="仿宋" w:cs="宋体"/>
          <w:kern w:val="0"/>
          <w:szCs w:val="24"/>
        </w:rPr>
        <w:t>概念</w:t>
      </w:r>
      <w:r>
        <w:rPr>
          <w:rFonts w:hint="eastAsia" w:ascii="Times New Roman" w:hAnsi="Times New Roman" w:eastAsia="仿宋" w:cs="宋体"/>
          <w:kern w:val="0"/>
          <w:szCs w:val="24"/>
        </w:rPr>
        <w:t>、</w:t>
      </w:r>
      <w:r>
        <w:rPr>
          <w:rFonts w:ascii="Times New Roman" w:hAnsi="Times New Roman" w:eastAsia="仿宋" w:cs="宋体"/>
          <w:kern w:val="0"/>
          <w:szCs w:val="24"/>
        </w:rPr>
        <w:t>理论</w:t>
      </w:r>
      <w:r>
        <w:rPr>
          <w:rFonts w:hint="eastAsia" w:ascii="Times New Roman" w:hAnsi="Times New Roman" w:eastAsia="仿宋" w:cs="宋体"/>
          <w:kern w:val="0"/>
          <w:szCs w:val="24"/>
        </w:rPr>
        <w:t>和实践</w:t>
      </w:r>
      <w:r>
        <w:rPr>
          <w:rFonts w:ascii="Times New Roman" w:hAnsi="Times New Roman" w:eastAsia="仿宋" w:cs="宋体"/>
          <w:kern w:val="0"/>
          <w:szCs w:val="24"/>
        </w:rPr>
        <w:t>都</w:t>
      </w:r>
      <w:r>
        <w:rPr>
          <w:rFonts w:hint="eastAsia" w:ascii="Times New Roman" w:hAnsi="Times New Roman" w:eastAsia="仿宋" w:cs="宋体"/>
          <w:kern w:val="0"/>
          <w:szCs w:val="24"/>
        </w:rPr>
        <w:t>经历</w:t>
      </w:r>
      <w:r>
        <w:rPr>
          <w:rFonts w:ascii="Times New Roman" w:hAnsi="Times New Roman" w:eastAsia="仿宋" w:cs="宋体"/>
          <w:kern w:val="0"/>
          <w:szCs w:val="24"/>
        </w:rPr>
        <w:t>了一个逐步深化的过程</w:t>
      </w:r>
      <w:r>
        <w:rPr>
          <w:rFonts w:hint="eastAsia" w:ascii="Times New Roman" w:hAnsi="Times New Roman" w:eastAsia="仿宋" w:cs="宋体"/>
          <w:kern w:val="0"/>
          <w:szCs w:val="24"/>
        </w:rPr>
        <w:t>：</w:t>
      </w:r>
      <w:r>
        <w:rPr>
          <w:rFonts w:ascii="Times New Roman" w:hAnsi="Times New Roman" w:eastAsia="仿宋" w:cs="宋体"/>
          <w:kern w:val="0"/>
          <w:szCs w:val="24"/>
        </w:rPr>
        <w:t>从最初重点关注银行</w:t>
      </w:r>
      <w:r>
        <w:rPr>
          <w:rFonts w:hint="eastAsia" w:ascii="Times New Roman" w:hAnsi="Times New Roman" w:eastAsia="仿宋" w:cs="宋体"/>
          <w:kern w:val="0"/>
          <w:szCs w:val="24"/>
        </w:rPr>
        <w:t>物理</w:t>
      </w:r>
      <w:r>
        <w:rPr>
          <w:rFonts w:ascii="Times New Roman" w:hAnsi="Times New Roman" w:eastAsia="仿宋" w:cs="宋体"/>
          <w:kern w:val="0"/>
          <w:szCs w:val="24"/>
        </w:rPr>
        <w:t>网点和信贷服务的可获得性，到广泛</w:t>
      </w:r>
      <w:r>
        <w:rPr>
          <w:rFonts w:hint="eastAsia" w:ascii="Times New Roman" w:hAnsi="Times New Roman" w:eastAsia="仿宋" w:cs="宋体"/>
          <w:kern w:val="0"/>
          <w:szCs w:val="24"/>
        </w:rPr>
        <w:t>覆盖</w:t>
      </w:r>
      <w:r>
        <w:rPr>
          <w:rFonts w:ascii="Times New Roman" w:hAnsi="Times New Roman" w:eastAsia="仿宋" w:cs="宋体"/>
          <w:kern w:val="0"/>
          <w:szCs w:val="24"/>
        </w:rPr>
        <w:t>支付、存款、贷款、保险</w:t>
      </w:r>
      <w:r>
        <w:rPr>
          <w:rFonts w:hint="eastAsia" w:ascii="Times New Roman" w:hAnsi="Times New Roman" w:eastAsia="仿宋" w:cs="宋体"/>
          <w:kern w:val="0"/>
          <w:szCs w:val="24"/>
        </w:rPr>
        <w:t>、信用服务</w:t>
      </w:r>
      <w:r>
        <w:rPr>
          <w:rFonts w:ascii="Times New Roman" w:hAnsi="Times New Roman" w:eastAsia="仿宋" w:cs="宋体"/>
          <w:kern w:val="0"/>
          <w:szCs w:val="24"/>
        </w:rPr>
        <w:t>和证券</w:t>
      </w:r>
      <w:r>
        <w:rPr>
          <w:rFonts w:hint="eastAsia" w:ascii="Times New Roman" w:hAnsi="Times New Roman" w:eastAsia="仿宋" w:cs="宋体"/>
          <w:kern w:val="0"/>
          <w:szCs w:val="24"/>
        </w:rPr>
        <w:t>等多种业务</w:t>
      </w:r>
      <w:r>
        <w:rPr>
          <w:rFonts w:ascii="Times New Roman" w:hAnsi="Times New Roman" w:eastAsia="仿宋" w:cs="宋体"/>
          <w:kern w:val="0"/>
          <w:szCs w:val="24"/>
        </w:rPr>
        <w:t>领域</w:t>
      </w:r>
      <w:r>
        <w:rPr>
          <w:rFonts w:hint="eastAsia" w:ascii="Times New Roman" w:hAnsi="Times New Roman" w:eastAsia="仿宋" w:cs="宋体"/>
          <w:kern w:val="0"/>
          <w:szCs w:val="24"/>
        </w:rPr>
        <w:t>。在实践层面，中国普惠金融实践已经从最初的公益性小额信贷逐步扩展为支付、信贷等多业务的综合金融服务，并由于网络和移动通讯等技术的广泛应用而得到长足发展。当前，中国普惠金融的实践与创新型数字金融显示出很强的关联性，以互联网科技企业提供金融服务为代表的新型数字金融业务，通过信息化技术及产品创新，降低金融服务产品的成本，扩大金融服务的覆盖范围，因此新型数字金融模式已经成为普惠金融的重要源动力和增长点</w:t>
      </w:r>
      <w:r>
        <w:rPr>
          <w:rStyle w:val="43"/>
          <w:rFonts w:ascii="Times New Roman" w:hAnsi="Times New Roman" w:eastAsia="仿宋"/>
          <w:kern w:val="0"/>
          <w:szCs w:val="24"/>
        </w:rPr>
        <w:footnoteReference w:id="1"/>
      </w:r>
      <w:r>
        <w:rPr>
          <w:rFonts w:hint="eastAsia" w:ascii="Times New Roman" w:hAnsi="Times New Roman" w:eastAsia="仿宋" w:cs="宋体"/>
          <w:kern w:val="0"/>
          <w:szCs w:val="24"/>
        </w:rPr>
        <w:t>。具体而言，从覆盖的区域来看，由于传统金融业务需要通过设置机构网点来提高覆盖面，但机构网点的高成本导致传统金融业务难以渗透到经济相对落后地区。而数字技术与金融服务的跨界融合克服了这种弊端，一些地区即便没有银行网点、ATM等硬件设施，客户仍能通过电脑、手机等终端设备获得所需的金融服务。与传统金融机构将主要资源分布于人口、商业集中地区的状况相比，数字金融使得金融服务更直接，客户覆盖面更广泛。从覆盖的社会群体来看，数字金融的产品创新降低了客户准入门槛，使得金融服务平民化趋势更加显现。与传统金融机构的排他性对比，数字金融可以满足那些通常难以享受到金融服务的中小微企业和低收人群的需求，从而体现了普惠金融的应有之义。</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过去数年，中国数字金融取得了长足发展，在全球都产生了很大影响力（黄益平和黄卓，2018），但却一直缺乏一个衡量其总体发展水平的指标体系，本文旨在以</w:t>
      </w:r>
      <w:r>
        <w:rPr>
          <w:rFonts w:ascii="Times New Roman" w:hAnsi="Times New Roman" w:eastAsia="仿宋" w:cs="宋体"/>
          <w:kern w:val="0"/>
          <w:szCs w:val="24"/>
        </w:rPr>
        <w:t>指数编制</w:t>
      </w:r>
      <w:r>
        <w:rPr>
          <w:rFonts w:hint="eastAsia" w:ascii="Times New Roman" w:hAnsi="Times New Roman" w:eastAsia="仿宋" w:cs="宋体"/>
          <w:kern w:val="0"/>
          <w:szCs w:val="24"/>
        </w:rPr>
        <w:t>的形式对中国</w:t>
      </w:r>
      <w:r>
        <w:rPr>
          <w:rFonts w:ascii="Times New Roman" w:hAnsi="Times New Roman" w:eastAsia="仿宋" w:cs="宋体"/>
          <w:kern w:val="0"/>
          <w:szCs w:val="24"/>
        </w:rPr>
        <w:t>的</w:t>
      </w:r>
      <w:r>
        <w:rPr>
          <w:rFonts w:hint="eastAsia" w:ascii="Times New Roman" w:hAnsi="Times New Roman" w:eastAsia="仿宋" w:cs="宋体"/>
          <w:kern w:val="0"/>
          <w:szCs w:val="24"/>
        </w:rPr>
        <w:t>数字</w:t>
      </w:r>
      <w:r>
        <w:rPr>
          <w:rFonts w:ascii="Times New Roman" w:hAnsi="Times New Roman" w:eastAsia="仿宋" w:cs="宋体"/>
          <w:kern w:val="0"/>
          <w:szCs w:val="24"/>
        </w:rPr>
        <w:t>普惠金融</w:t>
      </w:r>
      <w:r>
        <w:rPr>
          <w:rFonts w:hint="eastAsia" w:ascii="Times New Roman" w:hAnsi="Times New Roman" w:eastAsia="仿宋" w:cs="宋体"/>
          <w:kern w:val="0"/>
          <w:szCs w:val="24"/>
        </w:rPr>
        <w:t>实践进行定量刻画。</w:t>
      </w:r>
      <w:r>
        <w:rPr>
          <w:rFonts w:hint="eastAsia" w:ascii="Times New Roman" w:hAnsi="Times New Roman" w:eastAsia="仿宋"/>
        </w:rPr>
        <w:t>编制这套指数的目的是在不泄露金融消费者个人隐私和金融机构商业机密的前提下，为各界提供一套反映数字普惠金融发展现状和演变趋势的工具性数据</w:t>
      </w:r>
      <w:r>
        <w:rPr>
          <w:rStyle w:val="43"/>
          <w:rFonts w:ascii="Times New Roman" w:hAnsi="Times New Roman" w:eastAsia="仿宋"/>
        </w:rPr>
        <w:footnoteReference w:id="2"/>
      </w:r>
      <w:r>
        <w:rPr>
          <w:rFonts w:hint="eastAsia" w:ascii="Times New Roman" w:hAnsi="Times New Roman" w:eastAsia="仿宋"/>
        </w:rPr>
        <w:t>。</w:t>
      </w:r>
      <w:r>
        <w:rPr>
          <w:rFonts w:hint="eastAsia" w:ascii="Times New Roman" w:hAnsi="Times New Roman" w:eastAsia="仿宋" w:cs="宋体"/>
          <w:kern w:val="0"/>
          <w:szCs w:val="24"/>
        </w:rPr>
        <w:t>这一努力至少具有两方面的重要意义：第一，从理论上看，本指数将为数字普惠金融研究以及统计指标体系设计提供重要参考。现有关于普惠金融的研究主要集中于从传统金融服务的角度来研究普惠金融的概念、意义、指标构造和作用等，尚无一套从创新性数字金融角度来科学、全面地概括中国现阶段数字普惠金融现状的指标体系。本文通过梳理目前国内外关于普惠金融指标体系和指数的研究，并结合现阶段创新性数字金融快速发展的实际情况，构建了一套数字普惠金融指标体系，推动普惠金融研究的深化。第二，从实践意义上看，基于构建的指标体系，本文编制各省份、各城市以及县域级的数字普惠金融指数，反映中国数字普惠金融发展程度和地区均衡程度。这将有助于政策制定者和从业者更好地了解中国数字普惠金融的发展现状和空间特征，识别数字普惠金融发展面临的瓶颈与障碍，促进数字普惠金融健康可持续发展。</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本文剩余部分的结构安排如下：第二部分对相关文献进行简要综述；第三部分介绍数字普惠金融指标体系和指数合成方法；第四部分给出基于上述方法编制的数字普惠金融指数的基本概览，并对其反映的中国数字普惠金融的空间特征进行重点分析；最后的第五部分对全文进行总结。</w:t>
      </w:r>
    </w:p>
    <w:p>
      <w:pPr>
        <w:spacing w:before="156" w:beforeLines="50" w:after="156" w:afterLines="50"/>
        <w:jc w:val="center"/>
        <w:outlineLvl w:val="0"/>
        <w:rPr>
          <w:rFonts w:ascii="Times New Roman" w:hAnsi="楷体" w:eastAsia="楷体" w:cs="宋体"/>
          <w:sz w:val="28"/>
          <w:szCs w:val="28"/>
        </w:rPr>
      </w:pPr>
      <w:bookmarkStart w:id="6" w:name="_Toc330317091"/>
      <w:bookmarkStart w:id="7" w:name="_Toc5713997"/>
      <w:r>
        <w:rPr>
          <w:rFonts w:hint="eastAsia" w:ascii="Times New Roman" w:hAnsi="楷体" w:eastAsia="楷体" w:cs="宋体"/>
          <w:sz w:val="28"/>
          <w:szCs w:val="28"/>
        </w:rPr>
        <w:t>二</w:t>
      </w:r>
      <w:r>
        <w:rPr>
          <w:rFonts w:ascii="Times New Roman" w:hAnsi="楷体" w:eastAsia="楷体" w:cs="宋体"/>
          <w:sz w:val="28"/>
          <w:szCs w:val="28"/>
        </w:rPr>
        <w:t>、</w:t>
      </w:r>
      <w:bookmarkEnd w:id="6"/>
      <w:r>
        <w:rPr>
          <w:rFonts w:hint="eastAsia" w:ascii="Times New Roman" w:hAnsi="楷体" w:eastAsia="楷体" w:cs="宋体"/>
          <w:sz w:val="28"/>
          <w:szCs w:val="28"/>
        </w:rPr>
        <w:t>文献综述</w:t>
      </w:r>
      <w:bookmarkEnd w:id="7"/>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从理论上讲，数字普惠金融是一个多维概念，度量数字普惠金融涉及到不同维度的多个指标，因此构建一套科学的数字普惠金融指标体系非常重要，而传统普惠金融指标体系的设计，为我们提供了很好的借鉴。2008年金融危机之后，普惠金融或包容性金融的概念在全球范围内引起广泛关注，包括英国、印度和肯尼亚等在内的许多国家以及包括世界银行在内的众多机构开始对如何更好地了解和改善各国普惠金融状况进行了相关研究。比如，金融包容联盟（Association of Financial Inclusion, AFI）提出的包容性金融统计指标体系主要包含了金融可获得性和使用正规金融服务的情况两个维度，共5个指标。其中，对于可获得性指标，AFI指标体系的数据多取自金融机构；对于使用情况方面的指标则主要来自对需求方的调查或从金融机构获取。在2013年俄罗斯圣彼得堡G20峰会上成立的金融包容全球合作伙伴组织（Global Parternship for Financial Inclusion, GPFI）所构建的普惠金融指标体系则包含了可得性、使用情况和金融服务等3个维度，共计19个指标（GPFI，2013）。与上述指标体系相比，2012年，世界银行与比尔和梅琳达·盖茨基金会合作的全球普惠金融数据库（Global Financial Inclusion Database，也称Global Findex，以下简称Findex数据库）作为一个国际间可比、可持续监测的普惠金融公共指标数据库，对普惠金融研究提供了极大的便利（Demirguc-Kunt and Klapper，2012）。无论从包含的维度，或是数据的丰富程度，Findex数据库都十分突出。在统计思路上，Findex的指标更侧重反映用户方金融服务实际使用情况，而非单纯从金融供给角度分析金融覆盖。在指标设计上，该指标体系分为账户普及使用、储蓄行为、借贷行为、保险行为等四大类，并按照性别、年龄、文化程度、收入、城乡等人群特点分解为众多维度。从数据来源上，Findex全部基于第三方机构对全球15万成年人口开展的抽样调查获得，数据相对客观。在中国，为贯彻落实国务院《推进普惠金融发展规划（2016-2020年）》和2016年G20杭州峰会通过的《G20数字普惠金融高级原则》等普惠金融成果文件要求，2016 年底中国人民银行也建立了一套官方版本的中国普惠金融指标体系及填报制度。目前，该指标体系共包含使用情况、可得性、质量等3个维度，共21类51项指标（中国人民银行金融消费权益保护局，2018）。</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通过以上对国内外普惠金融指标体系的初步梳理可以看出，很大程度上受限于金融服务数据的可获得性，现有研究主要存在以下不足之处。首先，大多数相关研究所包含的金融服务比较单一，多以反映银行服务为主（如陈银娥等，2015），无法体现其他金融机构对普惠金融的贡献。相比之下，焦瑾璞等（2015）的研究虽然包含了部分非银行金融服务，但对创新型数字金融的覆盖仍然不足。其次，现有指标体系的维度不够全面，通常缺少对服务便利性和服务成本的考量，在创新型数字金融时期，数字化、移动化的金融服务极大地提高了金融服务的触达能力，也有效降低了金融服务的成本，这些也应体现在普惠金融指数当中。2016年9月在中国杭州召开的G20会议上，正式通过了《G20数字普惠金融高级原则》，数字技术在促进普惠金融上可以发挥的独特作用得到业内各界越来越多的肯定。但由于数据受限，现有的普惠金融指数往往只能对这些日益重要的新型数字金融服务视而不见，或者虽然注意到了传统金融机构之外的数字普惠金融业务，但关注度仍然不够，新型数字普惠金融在普惠金融指数中的指标比例过低（中国人民银行金融消费权益保护局，2018）。认识到现有相关研究中的不足，本套数字普惠金融指数专注于从创新性数字金融的角度衡量数字普惠金融的发展，对现有聚焦传统普惠金融的相关指标体系和指数计算进行补充。此外，就数字普惠金融指数所涵括的维度而言，数字普惠金融应该同时关注数字金融服务所覆盖的广度，其被利用的深度以及客户真正被惠及和便利的程度，因此我们编制的数字普惠金融指数主要包含数字金融覆盖广度、数字金融使用深度和普惠金融数字化程度等3个维度，而这3个维度之下又各自包含了多个具体指标。</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近年来，随着通信技术和电子商务的快速发展和监管的相对滞后，中国数字金融快速发展（李继尊，2015；黄益平和黄卓，2018），这为我们编制数字普惠金融指数，奠定了坚实的基础。这种创新型的数字金融，可以克服传统金融对物理网点的依赖，具有更大的地理穿透力和低成本优势。数字金融在实现普惠金融方面的重要价值也得到关注，例如，移动互联网的快速发展为提高广大欠发达地区的普惠金融服务水平创造了条件（焦瑾璞，2014）；而数字货币在增加金融服务覆盖面，降低金融服务成本及提高金融服务方面，也可以发挥重要作用（焦瑾璞等，2015）。当前，数字金融已经渗透到我们生活的方方面面（Chen，2016），同时数字金融的研究也已经成为目前金融学、经济学和其他相关学科的一大热点（黄益平和黄卓，2018）。但受限于数据可得性，除了网络借贷领域因为微观数据的存在可以进行一点实证研究外（例如：张皓星和黄益平，2018；张海洋和蔡航，2018；朱家祥等，2018；王靖一和黄益平，2018；彭红枫和林川，2018；吴雨等，2018），对数字金融整体性的考察往往局限于理论阐述和政策分析上，对数字金融价值和影响等很难进行更深入的实证分析，而这套数字普惠金融指数的编制则为数字金融的相关研究提供了极大便利。现在已有多篇论文基于我们的第一期（2011-2015）或最新数据（2016-2018）进行了深入研究，例如研究数字金融对银行运行的影响（邱晗等，</w:t>
      </w:r>
      <w:r>
        <w:rPr>
          <w:rFonts w:ascii="Times New Roman" w:hAnsi="Times New Roman" w:eastAsia="仿宋" w:cs="宋体"/>
          <w:kern w:val="0"/>
          <w:szCs w:val="24"/>
        </w:rPr>
        <w:t>2018</w:t>
      </w:r>
      <w:r>
        <w:rPr>
          <w:rFonts w:hint="eastAsia" w:ascii="Times New Roman" w:hAnsi="Times New Roman" w:eastAsia="仿宋" w:cs="宋体"/>
          <w:kern w:val="0"/>
          <w:szCs w:val="24"/>
        </w:rPr>
        <w:t>）、对农村金融的影响（傅秋子和黄益平，</w:t>
      </w:r>
      <w:r>
        <w:rPr>
          <w:rFonts w:ascii="Times New Roman" w:hAnsi="Times New Roman" w:eastAsia="仿宋" w:cs="宋体"/>
          <w:kern w:val="0"/>
          <w:szCs w:val="24"/>
        </w:rPr>
        <w:t>2018</w:t>
      </w:r>
      <w:r>
        <w:rPr>
          <w:rFonts w:hint="eastAsia" w:ascii="Times New Roman" w:hAnsi="Times New Roman" w:eastAsia="仿宋" w:cs="宋体"/>
          <w:kern w:val="0"/>
          <w:szCs w:val="24"/>
        </w:rPr>
        <w:t>）、对创新创业的影响（谢绚丽等，</w:t>
      </w:r>
      <w:r>
        <w:rPr>
          <w:rFonts w:ascii="Times New Roman" w:hAnsi="Times New Roman" w:eastAsia="仿宋" w:cs="宋体"/>
          <w:kern w:val="0"/>
          <w:szCs w:val="24"/>
        </w:rPr>
        <w:t>2018</w:t>
      </w:r>
      <w:r>
        <w:rPr>
          <w:rFonts w:hint="eastAsia" w:ascii="Times New Roman" w:hAnsi="Times New Roman" w:eastAsia="仿宋" w:cs="宋体"/>
          <w:kern w:val="0"/>
          <w:szCs w:val="24"/>
        </w:rPr>
        <w:t>；张勋等，</w:t>
      </w:r>
      <w:r>
        <w:rPr>
          <w:rFonts w:ascii="Times New Roman" w:hAnsi="Times New Roman" w:eastAsia="仿宋" w:cs="宋体"/>
          <w:kern w:val="0"/>
          <w:szCs w:val="24"/>
        </w:rPr>
        <w:t>201</w:t>
      </w:r>
      <w:r>
        <w:rPr>
          <w:rFonts w:hint="eastAsia" w:ascii="Times New Roman" w:hAnsi="Times New Roman" w:eastAsia="仿宋" w:cs="宋体"/>
          <w:kern w:val="0"/>
          <w:szCs w:val="24"/>
        </w:rPr>
        <w:t>9）和对居民消费的影响（易行健和周利，</w:t>
      </w:r>
      <w:r>
        <w:rPr>
          <w:rFonts w:ascii="Times New Roman" w:hAnsi="Times New Roman" w:eastAsia="仿宋" w:cs="宋体"/>
          <w:kern w:val="0"/>
          <w:szCs w:val="24"/>
        </w:rPr>
        <w:t>2018</w:t>
      </w:r>
      <w:r>
        <w:rPr>
          <w:rFonts w:hint="eastAsia" w:ascii="Times New Roman" w:hAnsi="Times New Roman" w:eastAsia="仿宋" w:cs="宋体"/>
          <w:kern w:val="0"/>
          <w:szCs w:val="24"/>
        </w:rPr>
        <w:t>）等等</w:t>
      </w:r>
      <w:r>
        <w:rPr>
          <w:rStyle w:val="43"/>
          <w:rFonts w:ascii="Times New Roman" w:hAnsi="Times New Roman" w:eastAsia="仿宋"/>
          <w:kern w:val="0"/>
          <w:szCs w:val="24"/>
        </w:rPr>
        <w:footnoteReference w:id="3"/>
      </w:r>
      <w:r>
        <w:rPr>
          <w:rFonts w:hint="eastAsia" w:ascii="Times New Roman" w:hAnsi="Times New Roman" w:eastAsia="仿宋" w:cs="宋体"/>
          <w:kern w:val="0"/>
          <w:szCs w:val="24"/>
        </w:rPr>
        <w:t>。</w:t>
      </w:r>
      <w:bookmarkStart w:id="8" w:name="_Hlk11335862"/>
    </w:p>
    <w:bookmarkEnd w:id="8"/>
    <w:p>
      <w:pPr>
        <w:spacing w:before="156" w:beforeLines="50" w:after="156" w:afterLines="50"/>
        <w:jc w:val="center"/>
        <w:outlineLvl w:val="0"/>
        <w:rPr>
          <w:rFonts w:ascii="Times New Roman" w:hAnsi="楷体" w:eastAsia="楷体" w:cs="宋体"/>
          <w:sz w:val="28"/>
          <w:szCs w:val="28"/>
        </w:rPr>
      </w:pPr>
      <w:bookmarkStart w:id="9" w:name="_Toc5713998"/>
      <w:bookmarkStart w:id="10" w:name="_Toc330317092"/>
      <w:bookmarkStart w:id="11" w:name="_Toc330317101"/>
      <w:r>
        <w:rPr>
          <w:rFonts w:hint="eastAsia" w:ascii="Times New Roman" w:hAnsi="楷体" w:eastAsia="楷体" w:cs="宋体"/>
          <w:sz w:val="28"/>
          <w:szCs w:val="28"/>
        </w:rPr>
        <w:t>三</w:t>
      </w:r>
      <w:r>
        <w:rPr>
          <w:rFonts w:ascii="Times New Roman" w:hAnsi="楷体" w:eastAsia="楷体" w:cs="宋体"/>
          <w:sz w:val="28"/>
          <w:szCs w:val="28"/>
        </w:rPr>
        <w:t>、指标体系</w:t>
      </w:r>
      <w:bookmarkEnd w:id="9"/>
      <w:bookmarkEnd w:id="10"/>
      <w:r>
        <w:rPr>
          <w:rFonts w:hint="eastAsia" w:ascii="Times New Roman" w:hAnsi="楷体" w:eastAsia="楷体" w:cs="宋体"/>
          <w:sz w:val="28"/>
          <w:szCs w:val="28"/>
        </w:rPr>
        <w:t>与指数计算方法</w:t>
      </w:r>
    </w:p>
    <w:p>
      <w:pPr>
        <w:spacing w:before="100" w:beforeAutospacing="1" w:after="100" w:afterAutospacing="1"/>
        <w:ind w:firstLine="420" w:firstLineChars="200"/>
        <w:rPr>
          <w:rFonts w:ascii="Times New Roman" w:hAnsi="Times New Roman" w:eastAsia="仿宋"/>
          <w:szCs w:val="24"/>
        </w:rPr>
      </w:pPr>
      <w:bookmarkStart w:id="12" w:name="_Toc330317093"/>
      <w:bookmarkStart w:id="13" w:name="_Toc5713999"/>
      <w:r>
        <w:rPr>
          <w:rFonts w:hint="eastAsia" w:ascii="Times New Roman" w:hAnsi="Times New Roman" w:eastAsia="仿宋"/>
          <w:szCs w:val="24"/>
        </w:rPr>
        <w:t>（</w:t>
      </w:r>
      <w:r>
        <w:rPr>
          <w:rFonts w:ascii="Times New Roman" w:hAnsi="Times New Roman" w:eastAsia="仿宋"/>
          <w:szCs w:val="24"/>
        </w:rPr>
        <w:t>一）</w:t>
      </w:r>
      <w:r>
        <w:rPr>
          <w:rFonts w:hint="eastAsia" w:ascii="Times New Roman" w:hAnsi="Times New Roman" w:eastAsia="仿宋"/>
          <w:szCs w:val="24"/>
        </w:rPr>
        <w:t>数字普惠金融指标</w:t>
      </w:r>
      <w:bookmarkEnd w:id="12"/>
      <w:bookmarkEnd w:id="13"/>
      <w:r>
        <w:rPr>
          <w:rFonts w:hint="eastAsia" w:ascii="Times New Roman" w:hAnsi="Times New Roman" w:eastAsia="仿宋"/>
          <w:szCs w:val="24"/>
        </w:rPr>
        <w:t>体系</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普惠金融指数科学构建的前提是设计一个完整、准确的普惠金融指标体系。参考上文提及的传统普惠金融指标体系的设计，我们在数字普惠金融指标体系的构建过程中遵循了以下原则：第一，同时</w:t>
      </w:r>
      <w:r>
        <w:rPr>
          <w:rFonts w:ascii="Times New Roman" w:hAnsi="Times New Roman" w:eastAsia="仿宋" w:cs="宋体"/>
          <w:kern w:val="0"/>
          <w:szCs w:val="24"/>
        </w:rPr>
        <w:t>考虑</w:t>
      </w:r>
      <w:r>
        <w:rPr>
          <w:rFonts w:hint="eastAsia" w:ascii="Times New Roman" w:hAnsi="Times New Roman" w:eastAsia="仿宋" w:cs="宋体"/>
          <w:kern w:val="0"/>
          <w:szCs w:val="24"/>
        </w:rPr>
        <w:t>数字金融服务的</w:t>
      </w:r>
      <w:r>
        <w:rPr>
          <w:rFonts w:ascii="Times New Roman" w:hAnsi="Times New Roman" w:eastAsia="仿宋" w:cs="宋体"/>
          <w:kern w:val="0"/>
          <w:szCs w:val="24"/>
        </w:rPr>
        <w:t>广度</w:t>
      </w:r>
      <w:r>
        <w:rPr>
          <w:rFonts w:hint="eastAsia" w:ascii="Times New Roman" w:hAnsi="Times New Roman" w:eastAsia="仿宋" w:cs="宋体"/>
          <w:kern w:val="0"/>
          <w:szCs w:val="24"/>
        </w:rPr>
        <w:t>和</w:t>
      </w:r>
      <w:r>
        <w:rPr>
          <w:rFonts w:ascii="Times New Roman" w:hAnsi="Times New Roman" w:eastAsia="仿宋" w:cs="宋体"/>
          <w:kern w:val="0"/>
          <w:szCs w:val="24"/>
        </w:rPr>
        <w:t>深度</w:t>
      </w:r>
      <w:r>
        <w:rPr>
          <w:rFonts w:hint="eastAsia" w:ascii="Times New Roman" w:hAnsi="Times New Roman" w:eastAsia="仿宋" w:cs="宋体"/>
          <w:kern w:val="0"/>
          <w:szCs w:val="24"/>
        </w:rPr>
        <w:t>。数字普惠金融指标体系应该是基于数字金融内涵、特征的综合概括，其所包括的</w:t>
      </w:r>
      <w:r>
        <w:rPr>
          <w:rFonts w:ascii="Times New Roman" w:hAnsi="Times New Roman" w:eastAsia="仿宋" w:cs="宋体"/>
          <w:kern w:val="0"/>
          <w:szCs w:val="24"/>
        </w:rPr>
        <w:t>每一个指标和每一个维度都应</w:t>
      </w:r>
      <w:r>
        <w:rPr>
          <w:rFonts w:hint="eastAsia" w:ascii="Times New Roman" w:hAnsi="Times New Roman" w:eastAsia="仿宋" w:cs="宋体"/>
          <w:kern w:val="0"/>
          <w:szCs w:val="24"/>
        </w:rPr>
        <w:t>反映数字</w:t>
      </w:r>
      <w:r>
        <w:rPr>
          <w:rFonts w:ascii="Times New Roman" w:hAnsi="Times New Roman" w:eastAsia="仿宋" w:cs="宋体"/>
          <w:kern w:val="0"/>
          <w:szCs w:val="24"/>
        </w:rPr>
        <w:t>普惠金融</w:t>
      </w:r>
      <w:r>
        <w:rPr>
          <w:rFonts w:hint="eastAsia" w:ascii="Times New Roman" w:hAnsi="Times New Roman" w:eastAsia="仿宋" w:cs="宋体"/>
          <w:kern w:val="0"/>
          <w:szCs w:val="24"/>
        </w:rPr>
        <w:t>这</w:t>
      </w:r>
      <w:r>
        <w:rPr>
          <w:rFonts w:ascii="Times New Roman" w:hAnsi="Times New Roman" w:eastAsia="仿宋" w:cs="宋体"/>
          <w:kern w:val="0"/>
          <w:szCs w:val="24"/>
        </w:rPr>
        <w:t>一总体的</w:t>
      </w:r>
      <w:r>
        <w:rPr>
          <w:rFonts w:hint="eastAsia" w:ascii="Times New Roman" w:hAnsi="Times New Roman" w:eastAsia="仿宋" w:cs="宋体"/>
          <w:kern w:val="0"/>
          <w:szCs w:val="24"/>
        </w:rPr>
        <w:t>某</w:t>
      </w:r>
      <w:r>
        <w:rPr>
          <w:rFonts w:ascii="Times New Roman" w:hAnsi="Times New Roman" w:eastAsia="仿宋" w:cs="宋体"/>
          <w:kern w:val="0"/>
          <w:szCs w:val="24"/>
        </w:rPr>
        <w:t>一个</w:t>
      </w:r>
      <w:r>
        <w:rPr>
          <w:rFonts w:hint="eastAsia" w:ascii="Times New Roman" w:hAnsi="Times New Roman" w:eastAsia="仿宋" w:cs="宋体"/>
          <w:kern w:val="0"/>
          <w:szCs w:val="24"/>
        </w:rPr>
        <w:t>视角</w:t>
      </w:r>
      <w:r>
        <w:rPr>
          <w:rFonts w:ascii="Times New Roman" w:hAnsi="Times New Roman" w:eastAsia="仿宋" w:cs="宋体"/>
          <w:kern w:val="0"/>
          <w:szCs w:val="24"/>
        </w:rPr>
        <w:t>。</w:t>
      </w:r>
      <w:r>
        <w:rPr>
          <w:rFonts w:hint="eastAsia" w:ascii="Times New Roman" w:hAnsi="Times New Roman" w:eastAsia="仿宋" w:cs="宋体"/>
          <w:kern w:val="0"/>
          <w:szCs w:val="24"/>
        </w:rPr>
        <w:t>而且不仅要考虑到数字金融覆盖的人群和地域，还要考虑到其被使用的深度，只有这样才能真正刻画出数字金融的普惠价值</w:t>
      </w:r>
      <w:r>
        <w:rPr>
          <w:rFonts w:ascii="Times New Roman" w:hAnsi="Times New Roman" w:eastAsia="仿宋" w:cs="宋体"/>
          <w:kern w:val="0"/>
          <w:szCs w:val="24"/>
        </w:rPr>
        <w:t>。</w:t>
      </w:r>
      <w:r>
        <w:rPr>
          <w:rFonts w:hint="eastAsia" w:ascii="Times New Roman" w:hAnsi="Times New Roman" w:eastAsia="仿宋" w:cs="宋体"/>
          <w:kern w:val="0"/>
          <w:szCs w:val="24"/>
        </w:rPr>
        <w:t>第二，兼顾</w:t>
      </w:r>
      <w:r>
        <w:rPr>
          <w:rFonts w:ascii="Times New Roman" w:hAnsi="Times New Roman" w:eastAsia="仿宋" w:cs="宋体"/>
          <w:kern w:val="0"/>
          <w:szCs w:val="24"/>
        </w:rPr>
        <w:t>纵向和横向可比性</w:t>
      </w:r>
      <w:r>
        <w:rPr>
          <w:rFonts w:hint="eastAsia" w:ascii="Times New Roman" w:hAnsi="Times New Roman" w:eastAsia="仿宋" w:cs="宋体"/>
          <w:kern w:val="0"/>
          <w:szCs w:val="24"/>
        </w:rPr>
        <w:t>。作为一个</w:t>
      </w:r>
      <w:r>
        <w:rPr>
          <w:rFonts w:ascii="Times New Roman" w:hAnsi="Times New Roman" w:eastAsia="仿宋" w:cs="宋体"/>
          <w:kern w:val="0"/>
          <w:szCs w:val="24"/>
        </w:rPr>
        <w:t>动态过程，</w:t>
      </w:r>
      <w:r>
        <w:rPr>
          <w:rFonts w:hint="eastAsia" w:ascii="Times New Roman" w:hAnsi="Times New Roman" w:eastAsia="仿宋" w:cs="宋体"/>
          <w:kern w:val="0"/>
          <w:szCs w:val="24"/>
        </w:rPr>
        <w:t>数字普惠</w:t>
      </w:r>
      <w:r>
        <w:rPr>
          <w:rFonts w:ascii="Times New Roman" w:hAnsi="Times New Roman" w:eastAsia="仿宋" w:cs="宋体"/>
          <w:kern w:val="0"/>
          <w:szCs w:val="24"/>
        </w:rPr>
        <w:t>金融的发展随着经济社会和金融体系的发展</w:t>
      </w:r>
      <w:r>
        <w:rPr>
          <w:rFonts w:hint="eastAsia" w:ascii="Times New Roman" w:hAnsi="Times New Roman" w:eastAsia="仿宋" w:cs="宋体"/>
          <w:kern w:val="0"/>
          <w:szCs w:val="24"/>
        </w:rPr>
        <w:t>而不断</w:t>
      </w:r>
      <w:r>
        <w:rPr>
          <w:rFonts w:ascii="Times New Roman" w:hAnsi="Times New Roman" w:eastAsia="仿宋" w:cs="宋体"/>
          <w:kern w:val="0"/>
          <w:szCs w:val="24"/>
        </w:rPr>
        <w:t>变化</w:t>
      </w:r>
      <w:r>
        <w:rPr>
          <w:rFonts w:hint="eastAsia" w:ascii="Times New Roman" w:hAnsi="Times New Roman" w:eastAsia="仿宋" w:cs="宋体"/>
          <w:kern w:val="0"/>
          <w:szCs w:val="24"/>
        </w:rPr>
        <w:t>，同一地区</w:t>
      </w:r>
      <w:r>
        <w:rPr>
          <w:rFonts w:ascii="Times New Roman" w:hAnsi="Times New Roman" w:eastAsia="仿宋" w:cs="宋体"/>
          <w:kern w:val="0"/>
          <w:szCs w:val="24"/>
        </w:rPr>
        <w:t>在不同年份的</w:t>
      </w:r>
      <w:r>
        <w:rPr>
          <w:rFonts w:hint="eastAsia" w:ascii="Times New Roman" w:hAnsi="Times New Roman" w:eastAsia="仿宋" w:cs="宋体"/>
          <w:kern w:val="0"/>
          <w:szCs w:val="24"/>
        </w:rPr>
        <w:t>数字</w:t>
      </w:r>
      <w:r>
        <w:rPr>
          <w:rFonts w:ascii="Times New Roman" w:hAnsi="Times New Roman" w:eastAsia="仿宋" w:cs="宋体"/>
          <w:kern w:val="0"/>
          <w:szCs w:val="24"/>
        </w:rPr>
        <w:t>普惠金融状况</w:t>
      </w:r>
      <w:r>
        <w:rPr>
          <w:rFonts w:hint="eastAsia" w:ascii="Times New Roman" w:hAnsi="Times New Roman" w:eastAsia="仿宋" w:cs="宋体"/>
          <w:kern w:val="0"/>
          <w:szCs w:val="24"/>
        </w:rPr>
        <w:t>会有所</w:t>
      </w:r>
      <w:r>
        <w:rPr>
          <w:rFonts w:ascii="Times New Roman" w:hAnsi="Times New Roman" w:eastAsia="仿宋" w:cs="宋体"/>
          <w:kern w:val="0"/>
          <w:szCs w:val="24"/>
        </w:rPr>
        <w:t>变化</w:t>
      </w:r>
      <w:r>
        <w:rPr>
          <w:rFonts w:hint="eastAsia" w:ascii="Times New Roman" w:hAnsi="Times New Roman" w:eastAsia="仿宋" w:cs="宋体"/>
          <w:kern w:val="0"/>
          <w:szCs w:val="24"/>
        </w:rPr>
        <w:t>。此外，</w:t>
      </w:r>
      <w:r>
        <w:rPr>
          <w:rFonts w:ascii="Times New Roman" w:hAnsi="Times New Roman" w:eastAsia="仿宋" w:cs="宋体"/>
          <w:kern w:val="0"/>
          <w:szCs w:val="24"/>
        </w:rPr>
        <w:t>不同地区</w:t>
      </w:r>
      <w:r>
        <w:rPr>
          <w:rFonts w:hint="eastAsia" w:ascii="Times New Roman" w:hAnsi="Times New Roman" w:eastAsia="仿宋" w:cs="宋体"/>
          <w:kern w:val="0"/>
          <w:szCs w:val="24"/>
        </w:rPr>
        <w:t>在</w:t>
      </w:r>
      <w:r>
        <w:rPr>
          <w:rFonts w:ascii="Times New Roman" w:hAnsi="Times New Roman" w:eastAsia="仿宋" w:cs="宋体"/>
          <w:kern w:val="0"/>
          <w:szCs w:val="24"/>
        </w:rPr>
        <w:t>同一年份由于</w:t>
      </w:r>
      <w:r>
        <w:rPr>
          <w:rFonts w:hint="eastAsia" w:ascii="Times New Roman" w:hAnsi="Times New Roman" w:eastAsia="仿宋" w:cs="宋体"/>
          <w:kern w:val="0"/>
          <w:szCs w:val="24"/>
        </w:rPr>
        <w:t>禀赋、经济发展水平与结构、</w:t>
      </w:r>
      <w:r>
        <w:rPr>
          <w:rFonts w:ascii="Times New Roman" w:hAnsi="Times New Roman" w:eastAsia="仿宋" w:cs="宋体"/>
          <w:kern w:val="0"/>
          <w:szCs w:val="24"/>
        </w:rPr>
        <w:t>政策</w:t>
      </w:r>
      <w:r>
        <w:rPr>
          <w:rFonts w:hint="eastAsia" w:ascii="Times New Roman" w:hAnsi="Times New Roman" w:eastAsia="仿宋" w:cs="宋体"/>
          <w:kern w:val="0"/>
          <w:szCs w:val="24"/>
        </w:rPr>
        <w:t>和</w:t>
      </w:r>
      <w:r>
        <w:rPr>
          <w:rFonts w:ascii="Times New Roman" w:hAnsi="Times New Roman" w:eastAsia="仿宋" w:cs="宋体"/>
          <w:kern w:val="0"/>
          <w:szCs w:val="24"/>
        </w:rPr>
        <w:t>制度</w:t>
      </w:r>
      <w:r>
        <w:rPr>
          <w:rFonts w:hint="eastAsia" w:ascii="Times New Roman" w:hAnsi="Times New Roman" w:eastAsia="仿宋" w:cs="宋体"/>
          <w:kern w:val="0"/>
          <w:szCs w:val="24"/>
        </w:rPr>
        <w:t>的</w:t>
      </w:r>
      <w:r>
        <w:rPr>
          <w:rFonts w:ascii="Times New Roman" w:hAnsi="Times New Roman" w:eastAsia="仿宋" w:cs="宋体"/>
          <w:kern w:val="0"/>
          <w:szCs w:val="24"/>
        </w:rPr>
        <w:t>不同</w:t>
      </w:r>
      <w:r>
        <w:rPr>
          <w:rFonts w:hint="eastAsia" w:ascii="Times New Roman" w:hAnsi="Times New Roman" w:eastAsia="仿宋" w:cs="宋体"/>
          <w:kern w:val="0"/>
          <w:szCs w:val="24"/>
        </w:rPr>
        <w:t>，在数字</w:t>
      </w:r>
      <w:r>
        <w:rPr>
          <w:rFonts w:ascii="Times New Roman" w:hAnsi="Times New Roman" w:eastAsia="仿宋" w:cs="宋体"/>
          <w:kern w:val="0"/>
          <w:szCs w:val="24"/>
        </w:rPr>
        <w:t>普惠金融表现上也会</w:t>
      </w:r>
      <w:r>
        <w:rPr>
          <w:rFonts w:hint="eastAsia" w:ascii="Times New Roman" w:hAnsi="Times New Roman" w:eastAsia="仿宋" w:cs="宋体"/>
          <w:kern w:val="0"/>
          <w:szCs w:val="24"/>
        </w:rPr>
        <w:t>存在</w:t>
      </w:r>
      <w:r>
        <w:rPr>
          <w:rFonts w:ascii="Times New Roman" w:hAnsi="Times New Roman" w:eastAsia="仿宋" w:cs="宋体"/>
          <w:kern w:val="0"/>
          <w:szCs w:val="24"/>
        </w:rPr>
        <w:t>差异</w:t>
      </w:r>
      <w:r>
        <w:rPr>
          <w:rFonts w:hint="eastAsia" w:ascii="Times New Roman" w:hAnsi="Times New Roman" w:eastAsia="仿宋" w:cs="宋体"/>
          <w:kern w:val="0"/>
          <w:szCs w:val="24"/>
        </w:rPr>
        <w:t>，也需要在数字普惠金融指数上得到体现。因此所编制的数字普惠金融指数最好应该可以同时进行横向（地区维度）比较和纵向（时间维度）的比较。第三，体现数字金融</w:t>
      </w:r>
      <w:r>
        <w:rPr>
          <w:rFonts w:ascii="Times New Roman" w:hAnsi="Times New Roman" w:eastAsia="仿宋" w:cs="宋体"/>
          <w:kern w:val="0"/>
          <w:szCs w:val="24"/>
        </w:rPr>
        <w:t>服务的</w:t>
      </w:r>
      <w:r>
        <w:rPr>
          <w:rFonts w:hint="eastAsia" w:ascii="Times New Roman" w:hAnsi="Times New Roman" w:eastAsia="仿宋" w:cs="宋体"/>
          <w:kern w:val="0"/>
          <w:szCs w:val="24"/>
        </w:rPr>
        <w:t>多层次性</w:t>
      </w:r>
      <w:r>
        <w:rPr>
          <w:rFonts w:ascii="Times New Roman" w:hAnsi="Times New Roman" w:eastAsia="仿宋" w:cs="宋体"/>
          <w:kern w:val="0"/>
          <w:szCs w:val="24"/>
        </w:rPr>
        <w:t>和多元化</w:t>
      </w:r>
      <w:r>
        <w:rPr>
          <w:rFonts w:hint="eastAsia" w:ascii="Times New Roman" w:hAnsi="Times New Roman" w:eastAsia="仿宋" w:cs="宋体"/>
          <w:kern w:val="0"/>
          <w:szCs w:val="24"/>
        </w:rPr>
        <w:t>。现有</w:t>
      </w:r>
      <w:r>
        <w:rPr>
          <w:rFonts w:ascii="Times New Roman" w:hAnsi="Times New Roman" w:eastAsia="仿宋" w:cs="宋体"/>
          <w:kern w:val="0"/>
          <w:szCs w:val="24"/>
        </w:rPr>
        <w:t>关于普惠金融的相关研究，主要是从</w:t>
      </w:r>
      <w:r>
        <w:rPr>
          <w:rFonts w:hint="eastAsia" w:ascii="Times New Roman" w:hAnsi="Times New Roman" w:eastAsia="仿宋" w:cs="宋体"/>
          <w:kern w:val="0"/>
          <w:szCs w:val="24"/>
        </w:rPr>
        <w:t>传统</w:t>
      </w:r>
      <w:r>
        <w:rPr>
          <w:rFonts w:ascii="Times New Roman" w:hAnsi="Times New Roman" w:eastAsia="仿宋" w:cs="宋体"/>
          <w:kern w:val="0"/>
          <w:szCs w:val="24"/>
        </w:rPr>
        <w:t>银行业务角度来考虑的，随着金融服务的不断创新发展，金融服务</w:t>
      </w:r>
      <w:r>
        <w:rPr>
          <w:rFonts w:hint="eastAsia" w:ascii="Times New Roman" w:hAnsi="Times New Roman" w:eastAsia="仿宋" w:cs="宋体"/>
          <w:kern w:val="0"/>
          <w:szCs w:val="24"/>
        </w:rPr>
        <w:t>已</w:t>
      </w:r>
      <w:r>
        <w:rPr>
          <w:rFonts w:ascii="Times New Roman" w:hAnsi="Times New Roman" w:eastAsia="仿宋" w:cs="宋体"/>
          <w:kern w:val="0"/>
          <w:szCs w:val="24"/>
        </w:rPr>
        <w:t>呈现出多层次性和多元化发展的特征</w:t>
      </w:r>
      <w:r>
        <w:rPr>
          <w:rFonts w:hint="eastAsia" w:ascii="Times New Roman" w:hAnsi="Times New Roman" w:eastAsia="仿宋" w:cs="宋体"/>
          <w:kern w:val="0"/>
          <w:szCs w:val="24"/>
        </w:rPr>
        <w:t>。因此，对数字普惠金融的全面刻画要求所构建的指标体系中不仅</w:t>
      </w:r>
      <w:r>
        <w:rPr>
          <w:rFonts w:ascii="Times New Roman" w:hAnsi="Times New Roman" w:eastAsia="仿宋" w:cs="宋体"/>
          <w:kern w:val="0"/>
          <w:szCs w:val="24"/>
        </w:rPr>
        <w:t>包括银行服务</w:t>
      </w:r>
      <w:r>
        <w:rPr>
          <w:rFonts w:hint="eastAsia" w:ascii="Times New Roman" w:hAnsi="Times New Roman" w:eastAsia="仿宋" w:cs="宋体"/>
          <w:kern w:val="0"/>
          <w:szCs w:val="24"/>
        </w:rPr>
        <w:t>（主要是信贷）</w:t>
      </w:r>
      <w:r>
        <w:rPr>
          <w:rFonts w:ascii="Times New Roman" w:hAnsi="Times New Roman" w:eastAsia="仿宋" w:cs="宋体"/>
          <w:kern w:val="0"/>
          <w:szCs w:val="24"/>
        </w:rPr>
        <w:t>，还</w:t>
      </w:r>
      <w:r>
        <w:rPr>
          <w:rFonts w:hint="eastAsia" w:ascii="Times New Roman" w:hAnsi="Times New Roman" w:eastAsia="仿宋" w:cs="宋体"/>
          <w:kern w:val="0"/>
          <w:szCs w:val="24"/>
        </w:rPr>
        <w:t>要</w:t>
      </w:r>
      <w:r>
        <w:rPr>
          <w:rFonts w:ascii="Times New Roman" w:hAnsi="Times New Roman" w:eastAsia="仿宋" w:cs="宋体"/>
          <w:kern w:val="0"/>
          <w:szCs w:val="24"/>
        </w:rPr>
        <w:t>包括</w:t>
      </w:r>
      <w:r>
        <w:rPr>
          <w:rFonts w:hint="eastAsia" w:ascii="Times New Roman" w:hAnsi="Times New Roman" w:eastAsia="仿宋" w:cs="宋体"/>
          <w:kern w:val="0"/>
          <w:szCs w:val="24"/>
        </w:rPr>
        <w:t>支付、投资、</w:t>
      </w:r>
      <w:r>
        <w:rPr>
          <w:rFonts w:ascii="Times New Roman" w:hAnsi="Times New Roman" w:eastAsia="仿宋" w:cs="宋体"/>
          <w:kern w:val="0"/>
          <w:szCs w:val="24"/>
        </w:rPr>
        <w:t>保险</w:t>
      </w:r>
      <w:r>
        <w:rPr>
          <w:rFonts w:hint="eastAsia" w:ascii="Times New Roman" w:hAnsi="Times New Roman" w:eastAsia="仿宋" w:cs="宋体"/>
          <w:kern w:val="0"/>
          <w:szCs w:val="24"/>
        </w:rPr>
        <w:t>、货币基金</w:t>
      </w:r>
      <w:r>
        <w:rPr>
          <w:rFonts w:ascii="Times New Roman" w:hAnsi="Times New Roman" w:eastAsia="仿宋" w:cs="宋体"/>
          <w:kern w:val="0"/>
          <w:szCs w:val="24"/>
        </w:rPr>
        <w:t>、</w:t>
      </w:r>
      <w:r>
        <w:rPr>
          <w:rFonts w:hint="eastAsia" w:ascii="Times New Roman" w:hAnsi="Times New Roman" w:eastAsia="仿宋" w:cs="宋体"/>
          <w:kern w:val="0"/>
          <w:szCs w:val="24"/>
        </w:rPr>
        <w:t>信用服务</w:t>
      </w:r>
      <w:r>
        <w:rPr>
          <w:rFonts w:ascii="Times New Roman" w:hAnsi="Times New Roman" w:eastAsia="仿宋" w:cs="宋体"/>
          <w:kern w:val="0"/>
          <w:szCs w:val="24"/>
        </w:rPr>
        <w:t>等</w:t>
      </w:r>
      <w:r>
        <w:rPr>
          <w:rFonts w:hint="eastAsia" w:ascii="Times New Roman" w:hAnsi="Times New Roman" w:eastAsia="仿宋" w:cs="宋体"/>
          <w:kern w:val="0"/>
          <w:szCs w:val="24"/>
        </w:rPr>
        <w:t>业态，以求更加全面地刻画数字普惠金融的发展水平</w:t>
      </w:r>
      <w:r>
        <w:rPr>
          <w:rFonts w:ascii="Times New Roman" w:hAnsi="Times New Roman" w:eastAsia="仿宋" w:cs="宋体"/>
          <w:kern w:val="0"/>
          <w:szCs w:val="24"/>
        </w:rPr>
        <w:t>。</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按照</w:t>
      </w:r>
      <w:r>
        <w:rPr>
          <w:rFonts w:ascii="Times New Roman" w:hAnsi="Times New Roman" w:eastAsia="仿宋" w:cs="宋体"/>
          <w:kern w:val="0"/>
          <w:szCs w:val="24"/>
        </w:rPr>
        <w:t>以</w:t>
      </w:r>
      <w:r>
        <w:rPr>
          <w:rFonts w:hint="eastAsia" w:ascii="Times New Roman" w:hAnsi="Times New Roman" w:eastAsia="仿宋" w:cs="宋体"/>
          <w:kern w:val="0"/>
          <w:szCs w:val="24"/>
        </w:rPr>
        <w:t>上所述的指标体系构建</w:t>
      </w:r>
      <w:r>
        <w:rPr>
          <w:rFonts w:ascii="Times New Roman" w:hAnsi="Times New Roman" w:eastAsia="仿宋" w:cs="宋体"/>
          <w:kern w:val="0"/>
          <w:szCs w:val="24"/>
        </w:rPr>
        <w:t>原则，在现有文献和国际组织提出的</w:t>
      </w:r>
      <w:r>
        <w:rPr>
          <w:rFonts w:hint="eastAsia" w:ascii="Times New Roman" w:hAnsi="Times New Roman" w:eastAsia="仿宋" w:cs="宋体"/>
          <w:kern w:val="0"/>
          <w:szCs w:val="24"/>
        </w:rPr>
        <w:t>传统</w:t>
      </w:r>
      <w:r>
        <w:rPr>
          <w:rFonts w:ascii="Times New Roman" w:hAnsi="Times New Roman" w:eastAsia="仿宋" w:cs="宋体"/>
          <w:kern w:val="0"/>
          <w:szCs w:val="24"/>
        </w:rPr>
        <w:t>普惠金融指标基础上，</w:t>
      </w:r>
      <w:r>
        <w:rPr>
          <w:rFonts w:hint="eastAsia" w:ascii="Times New Roman" w:hAnsi="Times New Roman" w:eastAsia="仿宋" w:cs="宋体"/>
          <w:kern w:val="0"/>
          <w:szCs w:val="24"/>
        </w:rPr>
        <w:t>结合数字</w:t>
      </w:r>
      <w:r>
        <w:rPr>
          <w:rFonts w:ascii="Times New Roman" w:hAnsi="Times New Roman" w:eastAsia="仿宋" w:cs="宋体"/>
          <w:kern w:val="0"/>
          <w:szCs w:val="24"/>
        </w:rPr>
        <w:t>金融服务新形势</w:t>
      </w:r>
      <w:r>
        <w:rPr>
          <w:rFonts w:hint="eastAsia" w:ascii="Times New Roman" w:hAnsi="Times New Roman" w:eastAsia="仿宋" w:cs="宋体"/>
          <w:kern w:val="0"/>
          <w:szCs w:val="24"/>
        </w:rPr>
        <w:t>新特征与</w:t>
      </w:r>
      <w:r>
        <w:rPr>
          <w:rFonts w:ascii="Times New Roman" w:hAnsi="Times New Roman" w:eastAsia="仿宋" w:cs="宋体"/>
          <w:kern w:val="0"/>
          <w:szCs w:val="24"/>
        </w:rPr>
        <w:t>数据的</w:t>
      </w:r>
      <w:r>
        <w:rPr>
          <w:rFonts w:hint="eastAsia" w:ascii="Times New Roman" w:hAnsi="Times New Roman" w:eastAsia="仿宋" w:cs="宋体"/>
          <w:kern w:val="0"/>
          <w:szCs w:val="24"/>
        </w:rPr>
        <w:t>可得性</w:t>
      </w:r>
      <w:r>
        <w:rPr>
          <w:rFonts w:ascii="Times New Roman" w:hAnsi="Times New Roman" w:eastAsia="仿宋" w:cs="宋体"/>
          <w:kern w:val="0"/>
          <w:szCs w:val="24"/>
        </w:rPr>
        <w:t>和可靠性</w:t>
      </w:r>
      <w:r>
        <w:rPr>
          <w:rFonts w:hint="eastAsia" w:ascii="Times New Roman" w:hAnsi="Times New Roman" w:eastAsia="仿宋" w:cs="宋体"/>
          <w:kern w:val="0"/>
          <w:szCs w:val="24"/>
        </w:rPr>
        <w:t>，我们从数字金融覆盖广度</w:t>
      </w:r>
      <w:r>
        <w:rPr>
          <w:rFonts w:ascii="Times New Roman" w:hAnsi="Times New Roman" w:eastAsia="仿宋" w:cs="宋体"/>
          <w:kern w:val="0"/>
          <w:szCs w:val="24"/>
        </w:rPr>
        <w:t>、</w:t>
      </w:r>
      <w:r>
        <w:rPr>
          <w:rFonts w:hint="eastAsia" w:ascii="Times New Roman" w:hAnsi="Times New Roman" w:eastAsia="仿宋" w:cs="宋体"/>
          <w:kern w:val="0"/>
          <w:szCs w:val="24"/>
        </w:rPr>
        <w:t>数字金融使用</w:t>
      </w:r>
      <w:r>
        <w:rPr>
          <w:rFonts w:ascii="Times New Roman" w:hAnsi="Times New Roman" w:eastAsia="仿宋" w:cs="宋体"/>
          <w:kern w:val="0"/>
          <w:szCs w:val="24"/>
        </w:rPr>
        <w:t>深度和</w:t>
      </w:r>
      <w:r>
        <w:rPr>
          <w:rFonts w:hint="eastAsia" w:ascii="Times New Roman" w:hAnsi="Times New Roman" w:eastAsia="仿宋" w:cs="宋体"/>
          <w:kern w:val="0"/>
          <w:szCs w:val="24"/>
        </w:rPr>
        <w:t>普惠金融数字化程度等3</w:t>
      </w:r>
      <w:r>
        <w:rPr>
          <w:rFonts w:ascii="Times New Roman" w:hAnsi="Times New Roman" w:eastAsia="仿宋" w:cs="宋体"/>
          <w:kern w:val="0"/>
          <w:szCs w:val="24"/>
        </w:rPr>
        <w:t>个维度来构建</w:t>
      </w:r>
      <w:r>
        <w:rPr>
          <w:rFonts w:hint="eastAsia" w:ascii="Times New Roman" w:hAnsi="Times New Roman" w:eastAsia="仿宋" w:cs="宋体"/>
          <w:kern w:val="0"/>
          <w:szCs w:val="24"/>
        </w:rPr>
        <w:t>数字普惠金融</w:t>
      </w:r>
      <w:r>
        <w:rPr>
          <w:rFonts w:ascii="Times New Roman" w:hAnsi="Times New Roman" w:eastAsia="仿宋" w:cs="宋体"/>
          <w:kern w:val="0"/>
          <w:szCs w:val="24"/>
        </w:rPr>
        <w:t>指标体系</w:t>
      </w:r>
      <w:r>
        <w:rPr>
          <w:rFonts w:hint="eastAsia" w:ascii="Times New Roman" w:hAnsi="Times New Roman" w:eastAsia="仿宋" w:cs="宋体"/>
          <w:kern w:val="0"/>
          <w:szCs w:val="24"/>
        </w:rPr>
        <w:t>。具体而言，目前数字普惠金融指数</w:t>
      </w:r>
      <w:r>
        <w:rPr>
          <w:rFonts w:ascii="Times New Roman" w:hAnsi="Times New Roman" w:eastAsia="仿宋" w:cs="宋体"/>
          <w:kern w:val="0"/>
          <w:szCs w:val="24"/>
        </w:rPr>
        <w:t>一共</w:t>
      </w:r>
      <w:r>
        <w:rPr>
          <w:rFonts w:hint="eastAsia" w:ascii="Times New Roman" w:hAnsi="Times New Roman" w:eastAsia="仿宋" w:cs="宋体"/>
          <w:kern w:val="0"/>
          <w:szCs w:val="24"/>
        </w:rPr>
        <w:t>包含上述3个维度，共计</w:t>
      </w:r>
      <w:r>
        <w:rPr>
          <w:rFonts w:ascii="Times New Roman" w:hAnsi="Times New Roman" w:eastAsia="仿宋" w:cs="宋体"/>
          <w:kern w:val="0"/>
          <w:szCs w:val="24"/>
        </w:rPr>
        <w:t>33</w:t>
      </w:r>
      <w:r>
        <w:rPr>
          <w:rFonts w:hint="eastAsia" w:ascii="Times New Roman" w:hAnsi="Times New Roman" w:eastAsia="仿宋" w:cs="宋体"/>
          <w:kern w:val="0"/>
          <w:szCs w:val="24"/>
        </w:rPr>
        <w:t>具体指标</w:t>
      </w:r>
      <w:r>
        <w:rPr>
          <w:rStyle w:val="43"/>
          <w:rFonts w:ascii="Times New Roman" w:hAnsi="Times New Roman" w:eastAsia="仿宋"/>
          <w:kern w:val="0"/>
          <w:szCs w:val="24"/>
        </w:rPr>
        <w:footnoteReference w:id="4"/>
      </w:r>
      <w:r>
        <w:rPr>
          <w:rFonts w:hint="eastAsia" w:ascii="Times New Roman" w:hAnsi="Times New Roman" w:eastAsia="仿宋" w:cs="宋体"/>
          <w:kern w:val="0"/>
          <w:szCs w:val="24"/>
        </w:rPr>
        <w:t>。具体指标如表1所示，而数字</w:t>
      </w:r>
      <w:r>
        <w:rPr>
          <w:rFonts w:ascii="Times New Roman" w:hAnsi="Times New Roman" w:eastAsia="仿宋" w:cs="宋体"/>
          <w:kern w:val="0"/>
          <w:szCs w:val="24"/>
        </w:rPr>
        <w:t>普惠金融指标体系框架图</w:t>
      </w:r>
      <w:r>
        <w:rPr>
          <w:rFonts w:hint="eastAsia" w:ascii="Times New Roman" w:hAnsi="Times New Roman" w:eastAsia="仿宋" w:cs="宋体"/>
          <w:kern w:val="0"/>
          <w:szCs w:val="24"/>
        </w:rPr>
        <w:t>则如</w:t>
      </w:r>
      <w:r>
        <w:rPr>
          <w:rFonts w:ascii="Times New Roman" w:hAnsi="Times New Roman" w:eastAsia="仿宋" w:cs="宋体"/>
          <w:kern w:val="0"/>
          <w:szCs w:val="24"/>
        </w:rPr>
        <w:t>图</w:t>
      </w:r>
      <w:r>
        <w:rPr>
          <w:rFonts w:hint="eastAsia" w:ascii="Times New Roman" w:hAnsi="Times New Roman" w:eastAsia="仿宋" w:cs="宋体"/>
          <w:kern w:val="0"/>
          <w:szCs w:val="24"/>
        </w:rPr>
        <w:t>1所示。</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在数字金融覆盖</w:t>
      </w:r>
      <w:r>
        <w:rPr>
          <w:rFonts w:ascii="Times New Roman" w:hAnsi="Times New Roman" w:eastAsia="仿宋" w:cs="宋体"/>
          <w:kern w:val="0"/>
          <w:szCs w:val="24"/>
        </w:rPr>
        <w:t>广度方面，</w:t>
      </w:r>
      <w:r>
        <w:rPr>
          <w:rFonts w:hint="eastAsia" w:ascii="Times New Roman" w:hAnsi="Times New Roman" w:eastAsia="仿宋" w:cs="宋体"/>
          <w:kern w:val="0"/>
          <w:szCs w:val="24"/>
        </w:rPr>
        <w:t>不同于传统</w:t>
      </w:r>
      <w:r>
        <w:rPr>
          <w:rFonts w:ascii="Times New Roman" w:hAnsi="Times New Roman" w:eastAsia="仿宋" w:cs="宋体"/>
          <w:kern w:val="0"/>
          <w:szCs w:val="24"/>
        </w:rPr>
        <w:t>金融</w:t>
      </w:r>
      <w:r>
        <w:rPr>
          <w:rFonts w:hint="eastAsia" w:ascii="Times New Roman" w:hAnsi="Times New Roman" w:eastAsia="仿宋" w:cs="宋体"/>
          <w:kern w:val="0"/>
          <w:szCs w:val="24"/>
        </w:rPr>
        <w:t>机构</w:t>
      </w:r>
      <w:r>
        <w:rPr>
          <w:rFonts w:ascii="Times New Roman" w:hAnsi="Times New Roman" w:eastAsia="仿宋" w:cs="宋体"/>
          <w:kern w:val="0"/>
          <w:szCs w:val="24"/>
        </w:rPr>
        <w:t>触达用户的直接体现为</w:t>
      </w:r>
      <w:r>
        <w:rPr>
          <w:rFonts w:hint="eastAsia" w:ascii="Times New Roman" w:hAnsi="Times New Roman" w:eastAsia="仿宋" w:cs="宋体"/>
          <w:kern w:val="0"/>
          <w:szCs w:val="24"/>
        </w:rPr>
        <w:t>“</w:t>
      </w:r>
      <w:r>
        <w:rPr>
          <w:rFonts w:ascii="Times New Roman" w:hAnsi="Times New Roman" w:eastAsia="仿宋" w:cs="宋体"/>
          <w:kern w:val="0"/>
          <w:szCs w:val="24"/>
        </w:rPr>
        <w:t>金融机构网点数</w:t>
      </w:r>
      <w:r>
        <w:rPr>
          <w:rFonts w:hint="eastAsia" w:ascii="Times New Roman" w:hAnsi="Times New Roman" w:eastAsia="仿宋" w:cs="宋体"/>
          <w:kern w:val="0"/>
          <w:szCs w:val="24"/>
        </w:rPr>
        <w:t>”和“</w:t>
      </w:r>
      <w:r>
        <w:rPr>
          <w:rFonts w:ascii="Times New Roman" w:hAnsi="Times New Roman" w:eastAsia="仿宋" w:cs="宋体"/>
          <w:kern w:val="0"/>
          <w:szCs w:val="24"/>
        </w:rPr>
        <w:t>金融服务人员</w:t>
      </w:r>
      <w:r>
        <w:rPr>
          <w:rFonts w:hint="eastAsia" w:ascii="Times New Roman" w:hAnsi="Times New Roman" w:eastAsia="仿宋" w:cs="宋体"/>
          <w:kern w:val="0"/>
          <w:szCs w:val="24"/>
        </w:rPr>
        <w:t>数”，在基于</w:t>
      </w:r>
      <w:r>
        <w:rPr>
          <w:rFonts w:ascii="Times New Roman" w:hAnsi="Times New Roman" w:eastAsia="仿宋" w:cs="宋体"/>
          <w:kern w:val="0"/>
          <w:szCs w:val="24"/>
        </w:rPr>
        <w:t>互联网</w:t>
      </w:r>
      <w:r>
        <w:rPr>
          <w:rFonts w:hint="eastAsia" w:ascii="Times New Roman" w:hAnsi="Times New Roman" w:eastAsia="仿宋" w:cs="宋体"/>
          <w:kern w:val="0"/>
          <w:szCs w:val="24"/>
        </w:rPr>
        <w:t>的数字</w:t>
      </w:r>
      <w:r>
        <w:rPr>
          <w:rFonts w:ascii="Times New Roman" w:hAnsi="Times New Roman" w:eastAsia="仿宋" w:cs="宋体"/>
          <w:kern w:val="0"/>
          <w:szCs w:val="24"/>
        </w:rPr>
        <w:t>金融模式下，</w:t>
      </w:r>
      <w:r>
        <w:rPr>
          <w:rFonts w:hint="eastAsia" w:ascii="Times New Roman" w:hAnsi="Times New Roman" w:eastAsia="仿宋" w:cs="宋体"/>
          <w:kern w:val="0"/>
          <w:szCs w:val="24"/>
        </w:rPr>
        <w:t>由于</w:t>
      </w:r>
      <w:r>
        <w:rPr>
          <w:rFonts w:ascii="Times New Roman" w:hAnsi="Times New Roman" w:eastAsia="仿宋" w:cs="宋体"/>
          <w:kern w:val="0"/>
          <w:szCs w:val="24"/>
        </w:rPr>
        <w:t>互联网</w:t>
      </w:r>
      <w:r>
        <w:rPr>
          <w:rFonts w:hint="eastAsia" w:ascii="Times New Roman" w:hAnsi="Times New Roman" w:eastAsia="仿宋" w:cs="宋体"/>
          <w:kern w:val="0"/>
          <w:szCs w:val="24"/>
        </w:rPr>
        <w:t>天然不受地域</w:t>
      </w:r>
      <w:r>
        <w:rPr>
          <w:rFonts w:ascii="Times New Roman" w:hAnsi="Times New Roman" w:eastAsia="仿宋" w:cs="宋体"/>
          <w:kern w:val="0"/>
          <w:szCs w:val="24"/>
        </w:rPr>
        <w:t>限制，</w:t>
      </w:r>
      <w:r>
        <w:rPr>
          <w:rFonts w:hint="eastAsia" w:ascii="Times New Roman" w:hAnsi="Times New Roman" w:eastAsia="仿宋" w:cs="宋体"/>
          <w:kern w:val="0"/>
          <w:szCs w:val="24"/>
        </w:rPr>
        <w:t>数字</w:t>
      </w:r>
      <w:r>
        <w:rPr>
          <w:rFonts w:ascii="Times New Roman" w:hAnsi="Times New Roman" w:eastAsia="仿宋" w:cs="宋体"/>
          <w:kern w:val="0"/>
          <w:szCs w:val="24"/>
        </w:rPr>
        <w:t>金融</w:t>
      </w:r>
      <w:r>
        <w:rPr>
          <w:rFonts w:hint="eastAsia" w:ascii="Times New Roman" w:hAnsi="Times New Roman" w:eastAsia="仿宋" w:cs="宋体"/>
          <w:kern w:val="0"/>
          <w:szCs w:val="24"/>
        </w:rPr>
        <w:t>服务</w:t>
      </w:r>
      <w:r>
        <w:rPr>
          <w:rFonts w:ascii="Times New Roman" w:hAnsi="Times New Roman" w:eastAsia="仿宋" w:cs="宋体"/>
          <w:kern w:val="0"/>
          <w:szCs w:val="24"/>
        </w:rPr>
        <w:t>供给在多大程度上能保证用户得到相应服务是通过</w:t>
      </w:r>
      <w:r>
        <w:rPr>
          <w:rFonts w:hint="eastAsia" w:ascii="Times New Roman" w:hAnsi="Times New Roman" w:eastAsia="仿宋" w:cs="宋体"/>
          <w:kern w:val="0"/>
          <w:szCs w:val="24"/>
        </w:rPr>
        <w:t>电子</w:t>
      </w:r>
      <w:r>
        <w:rPr>
          <w:rFonts w:ascii="Times New Roman" w:hAnsi="Times New Roman" w:eastAsia="仿宋" w:cs="宋体"/>
          <w:kern w:val="0"/>
          <w:szCs w:val="24"/>
        </w:rPr>
        <w:t>账户数体现的</w:t>
      </w:r>
      <w:r>
        <w:rPr>
          <w:rFonts w:hint="eastAsia" w:ascii="Times New Roman" w:hAnsi="Times New Roman" w:eastAsia="仿宋" w:cs="宋体"/>
          <w:kern w:val="0"/>
          <w:szCs w:val="24"/>
        </w:rPr>
        <w:t>。此外，根据金融监管部门的规定，第三方支付的账户如果不绑定银行卡，就只具备小额转账的功能，其价值将大大受限。因此绑定银行卡的第三方支付账户，才是真正有效的第三方支付账户，即实现了对这个用户真正的覆盖。特别是随着第三方支付功能的越来越丰富，第三方支付已经成为重要的理财、融资通道，因此绑定的银行卡数量越多，其理财、转账的覆盖面就越广，对这个账户所有人的金融服务覆盖面就越广，因此一个账户绑定多少银行卡数量也成为数字金融覆盖广度的一个子指标。</w:t>
      </w:r>
    </w:p>
    <w:p>
      <w:pPr>
        <w:autoSpaceDE w:val="0"/>
        <w:autoSpaceDN w:val="0"/>
        <w:adjustRightInd w:val="0"/>
        <w:ind w:firstLine="420" w:firstLineChars="200"/>
        <w:rPr>
          <w:rFonts w:ascii="Times New Roman" w:hAnsi="Times New Roman" w:eastAsia="仿宋" w:cs="宋体"/>
          <w:kern w:val="0"/>
          <w:szCs w:val="24"/>
        </w:rPr>
      </w:pPr>
      <w:r>
        <w:rPr>
          <w:rFonts w:ascii="Times New Roman" w:hAnsi="Times New Roman" w:eastAsia="仿宋" w:cs="宋体"/>
          <w:kern w:val="0"/>
          <w:szCs w:val="24"/>
        </w:rPr>
        <w:t>在</w:t>
      </w:r>
      <w:r>
        <w:rPr>
          <w:rFonts w:hint="eastAsia" w:ascii="Times New Roman" w:hAnsi="Times New Roman" w:eastAsia="仿宋" w:cs="宋体"/>
          <w:kern w:val="0"/>
          <w:szCs w:val="24"/>
        </w:rPr>
        <w:t>数字金融使用</w:t>
      </w:r>
      <w:r>
        <w:rPr>
          <w:rFonts w:ascii="Times New Roman" w:hAnsi="Times New Roman" w:eastAsia="仿宋" w:cs="宋体"/>
          <w:kern w:val="0"/>
          <w:szCs w:val="24"/>
        </w:rPr>
        <w:t>深度方面，本</w:t>
      </w:r>
      <w:r>
        <w:rPr>
          <w:rFonts w:hint="eastAsia" w:ascii="Times New Roman" w:hAnsi="Times New Roman" w:eastAsia="仿宋" w:cs="宋体"/>
          <w:kern w:val="0"/>
          <w:szCs w:val="24"/>
        </w:rPr>
        <w:t>文</w:t>
      </w:r>
      <w:r>
        <w:rPr>
          <w:rFonts w:ascii="Times New Roman" w:hAnsi="Times New Roman" w:eastAsia="仿宋" w:cs="宋体"/>
          <w:kern w:val="0"/>
          <w:szCs w:val="24"/>
        </w:rPr>
        <w:t>主要从实际使用</w:t>
      </w:r>
      <w:r>
        <w:rPr>
          <w:rFonts w:hint="eastAsia" w:ascii="Times New Roman" w:hAnsi="Times New Roman" w:eastAsia="仿宋" w:cs="宋体"/>
          <w:kern w:val="0"/>
          <w:szCs w:val="24"/>
        </w:rPr>
        <w:t>数字</w:t>
      </w:r>
      <w:r>
        <w:rPr>
          <w:rFonts w:ascii="Times New Roman" w:hAnsi="Times New Roman" w:eastAsia="仿宋" w:cs="宋体"/>
          <w:kern w:val="0"/>
          <w:szCs w:val="24"/>
        </w:rPr>
        <w:t>金融服务的情况来衡量</w:t>
      </w:r>
      <w:r>
        <w:rPr>
          <w:rFonts w:hint="eastAsia" w:ascii="Times New Roman" w:hAnsi="Times New Roman" w:eastAsia="仿宋" w:cs="宋体"/>
          <w:kern w:val="0"/>
          <w:szCs w:val="24"/>
        </w:rPr>
        <w:t>。就</w:t>
      </w:r>
      <w:r>
        <w:rPr>
          <w:rFonts w:ascii="Times New Roman" w:hAnsi="Times New Roman" w:eastAsia="仿宋" w:cs="宋体"/>
          <w:kern w:val="0"/>
          <w:szCs w:val="24"/>
        </w:rPr>
        <w:t>金融服务类型</w:t>
      </w:r>
      <w:r>
        <w:rPr>
          <w:rFonts w:hint="eastAsia" w:ascii="Times New Roman" w:hAnsi="Times New Roman" w:eastAsia="仿宋" w:cs="宋体"/>
          <w:kern w:val="0"/>
          <w:szCs w:val="24"/>
        </w:rPr>
        <w:t>而言，则</w:t>
      </w:r>
      <w:r>
        <w:rPr>
          <w:rFonts w:ascii="Times New Roman" w:hAnsi="Times New Roman" w:eastAsia="仿宋" w:cs="宋体"/>
          <w:kern w:val="0"/>
          <w:szCs w:val="24"/>
        </w:rPr>
        <w:t>包括支付</w:t>
      </w:r>
      <w:r>
        <w:rPr>
          <w:rFonts w:hint="eastAsia" w:ascii="Times New Roman" w:hAnsi="Times New Roman" w:eastAsia="仿宋" w:cs="宋体"/>
          <w:kern w:val="0"/>
          <w:szCs w:val="24"/>
        </w:rPr>
        <w:t>服务、货币基金服务、信贷服务、保险服务、投资服务和信用服务。从使用情况来看，既包括实际使用总量指标（每万支付宝用户数中使用这些服务的人数），也包括使用活跃度指标（人均交易笔数、人均交易金额）。</w:t>
      </w:r>
    </w:p>
    <w:p>
      <w:pPr>
        <w:autoSpaceDE w:val="0"/>
        <w:autoSpaceDN w:val="0"/>
        <w:adjustRightInd w:val="0"/>
        <w:ind w:firstLine="420" w:firstLineChars="200"/>
        <w:rPr>
          <w:rFonts w:ascii="Times New Roman" w:hAnsi="Times New Roman" w:cs="宋体"/>
          <w:kern w:val="0"/>
          <w:szCs w:val="24"/>
        </w:rPr>
      </w:pPr>
      <w:r>
        <w:rPr>
          <w:rFonts w:hint="eastAsia" w:ascii="Times New Roman" w:hAnsi="Times New Roman" w:eastAsia="仿宋" w:cs="宋体"/>
          <w:kern w:val="0"/>
          <w:szCs w:val="24"/>
        </w:rPr>
        <w:t>在普惠金融数字化程度方面，便利性、低</w:t>
      </w:r>
      <w:r>
        <w:rPr>
          <w:rFonts w:ascii="Times New Roman" w:hAnsi="Times New Roman" w:eastAsia="仿宋" w:cs="宋体"/>
          <w:kern w:val="0"/>
          <w:szCs w:val="24"/>
        </w:rPr>
        <w:t>成本</w:t>
      </w:r>
      <w:r>
        <w:rPr>
          <w:rFonts w:hint="eastAsia" w:ascii="Times New Roman" w:hAnsi="Times New Roman" w:eastAsia="仿宋" w:cs="宋体"/>
          <w:kern w:val="0"/>
          <w:szCs w:val="24"/>
        </w:rPr>
        <w:t>和信用化等都是</w:t>
      </w:r>
      <w:r>
        <w:rPr>
          <w:rFonts w:ascii="Times New Roman" w:hAnsi="Times New Roman" w:eastAsia="仿宋" w:cs="宋体"/>
          <w:kern w:val="0"/>
          <w:szCs w:val="24"/>
        </w:rPr>
        <w:t>影响用户使用</w:t>
      </w:r>
      <w:r>
        <w:rPr>
          <w:rFonts w:hint="eastAsia" w:ascii="Times New Roman" w:hAnsi="Times New Roman" w:eastAsia="仿宋" w:cs="宋体"/>
          <w:kern w:val="0"/>
          <w:szCs w:val="24"/>
        </w:rPr>
        <w:t>数字金融服务的主要因素，这切实体现了数字金融服务的低成本和低门槛优势，因此普惠金融数字化程度也成为数字普惠金融指标体系的重要组成部分。具体而言，数字金融服务越便利（例如移动支付笔数占总支付笔数的比例高）、</w:t>
      </w:r>
      <w:r>
        <w:rPr>
          <w:rFonts w:ascii="Times New Roman" w:hAnsi="Times New Roman" w:eastAsia="仿宋" w:cs="宋体"/>
          <w:kern w:val="0"/>
          <w:szCs w:val="24"/>
        </w:rPr>
        <w:t>成本越低</w:t>
      </w:r>
      <w:r>
        <w:rPr>
          <w:rFonts w:hint="eastAsia" w:ascii="Times New Roman" w:hAnsi="Times New Roman" w:eastAsia="仿宋" w:cs="宋体"/>
          <w:kern w:val="0"/>
          <w:szCs w:val="24"/>
        </w:rPr>
        <w:t>（例如消费贷和小微企业贷利率低</w:t>
      </w:r>
      <w:r>
        <w:rPr>
          <w:rFonts w:ascii="Times New Roman" w:hAnsi="Times New Roman" w:eastAsia="仿宋" w:cs="宋体"/>
          <w:kern w:val="0"/>
          <w:szCs w:val="24"/>
        </w:rPr>
        <w:t>）</w:t>
      </w:r>
      <w:r>
        <w:rPr>
          <w:rFonts w:hint="eastAsia" w:ascii="Times New Roman" w:hAnsi="Times New Roman" w:eastAsia="仿宋" w:cs="宋体"/>
          <w:kern w:val="0"/>
          <w:szCs w:val="24"/>
        </w:rPr>
        <w:t>、信用化程度越高（例如免押金支付笔数占总支付笔数比例高），则意味着数字普惠金融的价值就得到更好的体现。</w:t>
      </w:r>
    </w:p>
    <w:p>
      <w:pPr>
        <w:jc w:val="center"/>
        <w:rPr>
          <w:rFonts w:ascii="仿宋" w:hAnsi="仿宋" w:eastAsia="仿宋" w:cstheme="minorBidi"/>
          <w:b/>
          <w:sz w:val="18"/>
          <w:szCs w:val="18"/>
        </w:rPr>
      </w:pPr>
      <w:r>
        <w:rPr>
          <w:rFonts w:hint="eastAsia" w:ascii="仿宋" w:hAnsi="仿宋" w:eastAsia="仿宋" w:cstheme="minorBidi"/>
          <w:b/>
          <w:sz w:val="18"/>
          <w:szCs w:val="18"/>
        </w:rPr>
        <w:t xml:space="preserve">表1 </w:t>
      </w:r>
      <w:r>
        <w:rPr>
          <w:rFonts w:ascii="仿宋" w:hAnsi="仿宋" w:eastAsia="仿宋" w:cstheme="minorBidi"/>
          <w:b/>
          <w:sz w:val="18"/>
          <w:szCs w:val="18"/>
        </w:rPr>
        <w:t>数字普惠金融指标体系</w:t>
      </w:r>
      <w:bookmarkStart w:id="14" w:name="_Toc330317095"/>
    </w:p>
    <w:tbl>
      <w:tblPr>
        <w:tblStyle w:val="33"/>
        <w:tblW w:w="0" w:type="auto"/>
        <w:tblInd w:w="0" w:type="dxa"/>
        <w:tblBorders>
          <w:top w:val="double" w:color="auto" w:sz="4" w:space="0"/>
          <w:left w:val="none" w:color="auto" w:sz="0" w:space="0"/>
          <w:bottom w:val="doub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6"/>
        <w:gridCol w:w="816"/>
        <w:gridCol w:w="966"/>
        <w:gridCol w:w="5616"/>
      </w:tblGrid>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tcBorders>
              <w:top w:val="double" w:color="auto" w:sz="4" w:space="0"/>
              <w:bottom w:val="single" w:color="auto" w:sz="4" w:space="0"/>
            </w:tcBorders>
            <w:shd w:val="clear" w:color="auto" w:fill="auto"/>
            <w:noWrap/>
            <w:vAlign w:val="center"/>
          </w:tcPr>
          <w:p>
            <w:pPr>
              <w:widowControl/>
              <w:jc w:val="left"/>
              <w:rPr>
                <w:rFonts w:ascii="Times New Roman" w:hAnsi="Times New Roman" w:eastAsia="仿宋" w:cs="宋体"/>
                <w:b/>
                <w:bCs/>
                <w:color w:val="000000"/>
                <w:kern w:val="0"/>
                <w:sz w:val="15"/>
                <w:szCs w:val="15"/>
              </w:rPr>
            </w:pPr>
            <w:r>
              <w:rPr>
                <w:rFonts w:ascii="Times New Roman" w:hAnsi="Times New Roman" w:eastAsia="仿宋"/>
                <w:sz w:val="15"/>
                <w:szCs w:val="15"/>
              </w:rPr>
              <w:br w:type="page"/>
            </w:r>
            <w:r>
              <w:rPr>
                <w:rFonts w:hint="eastAsia" w:ascii="Times New Roman" w:hAnsi="Times New Roman" w:eastAsia="仿宋" w:cs="宋体"/>
                <w:b/>
                <w:bCs/>
                <w:color w:val="000000"/>
                <w:kern w:val="0"/>
                <w:sz w:val="15"/>
                <w:szCs w:val="15"/>
              </w:rPr>
              <w:t>一级维度</w:t>
            </w:r>
          </w:p>
        </w:tc>
        <w:tc>
          <w:tcPr>
            <w:tcW w:w="0" w:type="auto"/>
            <w:gridSpan w:val="2"/>
            <w:tcBorders>
              <w:top w:val="double" w:color="auto" w:sz="4" w:space="0"/>
              <w:bottom w:val="single" w:color="auto" w:sz="4" w:space="0"/>
            </w:tcBorders>
            <w:shd w:val="clear" w:color="auto" w:fill="auto"/>
            <w:vAlign w:val="center"/>
          </w:tcPr>
          <w:p>
            <w:pPr>
              <w:widowControl/>
              <w:jc w:val="center"/>
              <w:rPr>
                <w:rFonts w:ascii="Times New Roman" w:hAnsi="Times New Roman" w:eastAsia="仿宋" w:cs="宋体"/>
                <w:b/>
                <w:bCs/>
                <w:color w:val="000000"/>
                <w:kern w:val="0"/>
                <w:sz w:val="15"/>
                <w:szCs w:val="15"/>
              </w:rPr>
            </w:pPr>
            <w:r>
              <w:rPr>
                <w:rFonts w:hint="eastAsia" w:ascii="Times New Roman" w:hAnsi="Times New Roman" w:eastAsia="仿宋" w:cs="宋体"/>
                <w:b/>
                <w:bCs/>
                <w:color w:val="000000"/>
                <w:kern w:val="0"/>
                <w:sz w:val="15"/>
                <w:szCs w:val="15"/>
              </w:rPr>
              <w:t>二级维度</w:t>
            </w:r>
          </w:p>
        </w:tc>
        <w:tc>
          <w:tcPr>
            <w:tcW w:w="0" w:type="auto"/>
            <w:tcBorders>
              <w:top w:val="double" w:color="auto" w:sz="4" w:space="0"/>
              <w:bottom w:val="single" w:color="auto" w:sz="4" w:space="0"/>
            </w:tcBorders>
            <w:shd w:val="clear" w:color="auto" w:fill="auto"/>
            <w:vAlign w:val="center"/>
          </w:tcPr>
          <w:p>
            <w:pPr>
              <w:widowControl/>
              <w:jc w:val="center"/>
              <w:rPr>
                <w:rFonts w:ascii="Times New Roman" w:hAnsi="Times New Roman" w:eastAsia="仿宋" w:cs="宋体"/>
                <w:b/>
                <w:bCs/>
                <w:color w:val="000000"/>
                <w:kern w:val="0"/>
                <w:sz w:val="15"/>
                <w:szCs w:val="15"/>
              </w:rPr>
            </w:pPr>
            <w:r>
              <w:rPr>
                <w:rFonts w:hint="eastAsia" w:ascii="Times New Roman" w:hAnsi="Times New Roman" w:eastAsia="仿宋" w:cs="宋体"/>
                <w:b/>
                <w:bCs/>
                <w:color w:val="000000"/>
                <w:kern w:val="0"/>
                <w:sz w:val="15"/>
                <w:szCs w:val="15"/>
              </w:rPr>
              <w:t>具体指标</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覆盖广度</w:t>
            </w:r>
          </w:p>
        </w:tc>
        <w:tc>
          <w:tcPr>
            <w:tcW w:w="0" w:type="auto"/>
            <w:gridSpan w:val="2"/>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账户覆盖率</w:t>
            </w:r>
          </w:p>
        </w:tc>
        <w:tc>
          <w:tcPr>
            <w:tcW w:w="0" w:type="auto"/>
            <w:tcBorders>
              <w:top w:val="single" w:color="auto" w:sz="4" w:space="0"/>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每万人拥有支付宝账号数量</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支付宝绑卡用户比例</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平均每个支付宝账号绑定银行卡数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restart"/>
            <w:tcBorders>
              <w:top w:val="single" w:color="auto" w:sz="4" w:space="0"/>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使用深度</w:t>
            </w:r>
          </w:p>
        </w:tc>
        <w:tc>
          <w:tcPr>
            <w:tcW w:w="0" w:type="auto"/>
            <w:gridSpan w:val="2"/>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支付业务</w:t>
            </w:r>
          </w:p>
        </w:tc>
        <w:tc>
          <w:tcPr>
            <w:tcW w:w="0" w:type="auto"/>
            <w:tcBorders>
              <w:top w:val="single" w:color="auto" w:sz="4" w:space="0"/>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人均支付笔数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人均支付金额</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高频度（年活跃50次及以上）活跃用户数占年活跃1次及以上比</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货币基金业务</w:t>
            </w:r>
          </w:p>
        </w:tc>
        <w:tc>
          <w:tcPr>
            <w:tcW w:w="0" w:type="auto"/>
            <w:tcBorders>
              <w:top w:val="single" w:color="auto" w:sz="4" w:space="0"/>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人均购买余额宝笔数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人均购买余额宝金额</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每万支付宝用户购买余额宝的人数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restart"/>
            <w:tcBorders>
              <w:top w:val="single" w:color="auto" w:sz="4" w:space="0"/>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信贷业务</w:t>
            </w:r>
          </w:p>
        </w:tc>
        <w:tc>
          <w:tcPr>
            <w:tcW w:w="0" w:type="auto"/>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个人消费贷</w:t>
            </w:r>
          </w:p>
        </w:tc>
        <w:tc>
          <w:tcPr>
            <w:tcW w:w="0" w:type="auto"/>
            <w:tcBorders>
              <w:top w:val="single" w:color="auto" w:sz="4" w:space="0"/>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每万支付宝成年用户中有互联网消费贷的用户数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人均贷款笔数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人均贷款金额</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小微经营者</w:t>
            </w:r>
          </w:p>
        </w:tc>
        <w:tc>
          <w:tcPr>
            <w:tcW w:w="0" w:type="auto"/>
            <w:tcBorders>
              <w:top w:val="single" w:color="auto" w:sz="4" w:space="0"/>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每万支付宝成年用户中有互联网小微经营贷的用户数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小微经营者户均贷款笔数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vMerge w:val="continue"/>
            <w:tcBorders>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小微经营者平均贷款金额</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保险业务</w:t>
            </w:r>
          </w:p>
        </w:tc>
        <w:tc>
          <w:tcPr>
            <w:tcW w:w="0" w:type="auto"/>
            <w:tcBorders>
              <w:top w:val="single" w:color="auto" w:sz="4" w:space="0"/>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每万支付宝用户中被保险用户数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人均保险笔数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人均保险金额</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投资业务</w:t>
            </w:r>
          </w:p>
        </w:tc>
        <w:tc>
          <w:tcPr>
            <w:tcW w:w="0" w:type="auto"/>
            <w:tcBorders>
              <w:top w:val="single" w:color="auto" w:sz="4" w:space="0"/>
              <w:bottom w:val="nil"/>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每万人支付宝用户中参与互联网投资理财人数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人均投资笔数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人均投资金额</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信用业务</w:t>
            </w:r>
          </w:p>
        </w:tc>
        <w:tc>
          <w:tcPr>
            <w:tcW w:w="0" w:type="auto"/>
            <w:tcBorders>
              <w:top w:val="single" w:color="auto" w:sz="4" w:space="0"/>
              <w:bottom w:val="nil"/>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自然人信用人均调用次数</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tcBorders>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每万支付宝用户中使用基于信用的服务用户数（包括金融、住宿、出行、社交等）</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数字化程度</w:t>
            </w:r>
          </w:p>
        </w:tc>
        <w:tc>
          <w:tcPr>
            <w:tcW w:w="0" w:type="auto"/>
            <w:gridSpan w:val="2"/>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移动化</w:t>
            </w:r>
          </w:p>
        </w:tc>
        <w:tc>
          <w:tcPr>
            <w:tcW w:w="0" w:type="auto"/>
            <w:tcBorders>
              <w:top w:val="single" w:color="auto" w:sz="4" w:space="0"/>
              <w:bottom w:val="nil"/>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移动支付笔数占比</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移动支付金额占比</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tcBorders>
              <w:top w:val="nil"/>
            </w:tcBorders>
            <w:vAlign w:val="center"/>
          </w:tcPr>
          <w:p>
            <w:pPr>
              <w:widowControl/>
              <w:jc w:val="left"/>
              <w:rPr>
                <w:rFonts w:ascii="Times New Roman" w:hAnsi="Times New Roman" w:eastAsia="仿宋" w:cs="宋体"/>
                <w:kern w:val="0"/>
                <w:sz w:val="15"/>
                <w:szCs w:val="15"/>
              </w:rPr>
            </w:pPr>
          </w:p>
        </w:tc>
        <w:tc>
          <w:tcPr>
            <w:tcW w:w="0" w:type="auto"/>
            <w:gridSpan w:val="2"/>
            <w:vMerge w:val="restart"/>
            <w:tcBorders>
              <w:top w:val="nil"/>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实惠化</w:t>
            </w:r>
          </w:p>
        </w:tc>
        <w:tc>
          <w:tcPr>
            <w:tcW w:w="0" w:type="auto"/>
            <w:tcBorders>
              <w:top w:val="nil"/>
              <w:bottom w:val="nil"/>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小微经营者平均贷款利率</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noWrap/>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个人平均贷款利率</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restart"/>
            <w:tcBorders>
              <w:top w:val="single" w:color="auto" w:sz="4" w:space="0"/>
              <w:bottom w:val="nil"/>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信用化</w:t>
            </w:r>
          </w:p>
        </w:tc>
        <w:tc>
          <w:tcPr>
            <w:tcW w:w="0" w:type="auto"/>
            <w:tcBorders>
              <w:top w:val="single" w:color="auto" w:sz="4" w:space="0"/>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花呗支付笔数占比</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花呗支付金额占比</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nil"/>
            </w:tcBorders>
            <w:vAlign w:val="center"/>
          </w:tcPr>
          <w:p>
            <w:pPr>
              <w:widowControl/>
              <w:jc w:val="left"/>
              <w:rPr>
                <w:rFonts w:ascii="Times New Roman" w:hAnsi="Times New Roman" w:eastAsia="仿宋" w:cs="宋体"/>
                <w:kern w:val="0"/>
                <w:sz w:val="15"/>
                <w:szCs w:val="15"/>
              </w:rPr>
            </w:pPr>
          </w:p>
        </w:tc>
        <w:tc>
          <w:tcPr>
            <w:tcW w:w="0" w:type="auto"/>
            <w:tcBorders>
              <w:top w:val="nil"/>
              <w:bottom w:val="nil"/>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芝麻信用免押笔数占比（较全部需要押金情形）</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tcBorders>
              <w:top w:val="nil"/>
              <w:bottom w:val="single" w:color="auto" w:sz="4" w:space="0"/>
            </w:tcBorders>
            <w:vAlign w:val="center"/>
          </w:tcPr>
          <w:p>
            <w:pPr>
              <w:widowControl/>
              <w:jc w:val="left"/>
              <w:rPr>
                <w:rFonts w:ascii="Times New Roman" w:hAnsi="Times New Roman" w:eastAsia="仿宋" w:cs="宋体"/>
                <w:kern w:val="0"/>
                <w:sz w:val="15"/>
                <w:szCs w:val="15"/>
              </w:rPr>
            </w:pPr>
          </w:p>
        </w:tc>
        <w:tc>
          <w:tcPr>
            <w:tcW w:w="0" w:type="auto"/>
            <w:tcBorders>
              <w:top w:val="nil"/>
              <w:bottom w:val="single" w:color="auto" w:sz="4" w:space="0"/>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芝麻信用免押金额占比（较全部需要押金情形）</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restart"/>
            <w:tcBorders>
              <w:top w:val="single" w:color="auto" w:sz="4" w:space="0"/>
            </w:tcBorders>
            <w:shd w:val="clear" w:color="auto" w:fill="auto"/>
            <w:vAlign w:val="center"/>
          </w:tcPr>
          <w:p>
            <w:pPr>
              <w:widowControl/>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便利化</w:t>
            </w:r>
          </w:p>
        </w:tc>
        <w:tc>
          <w:tcPr>
            <w:tcW w:w="0" w:type="auto"/>
            <w:tcBorders>
              <w:top w:val="single" w:color="auto" w:sz="4" w:space="0"/>
            </w:tcBorders>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用户二维码支付的笔数占比</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0" w:hRule="atLeast"/>
        </w:trPr>
        <w:tc>
          <w:tcPr>
            <w:tcW w:w="0" w:type="auto"/>
            <w:vMerge w:val="continue"/>
            <w:vAlign w:val="center"/>
          </w:tcPr>
          <w:p>
            <w:pPr>
              <w:widowControl/>
              <w:jc w:val="left"/>
              <w:rPr>
                <w:rFonts w:ascii="Times New Roman" w:hAnsi="Times New Roman" w:eastAsia="仿宋" w:cs="宋体"/>
                <w:kern w:val="0"/>
                <w:sz w:val="15"/>
                <w:szCs w:val="15"/>
              </w:rPr>
            </w:pPr>
          </w:p>
        </w:tc>
        <w:tc>
          <w:tcPr>
            <w:tcW w:w="0" w:type="auto"/>
            <w:gridSpan w:val="2"/>
            <w:vMerge w:val="continue"/>
            <w:vAlign w:val="center"/>
          </w:tcPr>
          <w:p>
            <w:pPr>
              <w:widowControl/>
              <w:jc w:val="left"/>
              <w:rPr>
                <w:rFonts w:ascii="Times New Roman" w:hAnsi="Times New Roman" w:eastAsia="仿宋" w:cs="宋体"/>
                <w:kern w:val="0"/>
                <w:sz w:val="15"/>
                <w:szCs w:val="15"/>
              </w:rPr>
            </w:pPr>
          </w:p>
        </w:tc>
        <w:tc>
          <w:tcPr>
            <w:tcW w:w="0" w:type="auto"/>
            <w:shd w:val="clear" w:color="auto" w:fill="auto"/>
            <w:vAlign w:val="center"/>
          </w:tcPr>
          <w:p>
            <w:pPr>
              <w:widowControl/>
              <w:jc w:val="left"/>
              <w:rPr>
                <w:rFonts w:ascii="Times New Roman" w:hAnsi="Times New Roman" w:eastAsia="仿宋" w:cs="宋体"/>
                <w:kern w:val="0"/>
                <w:sz w:val="15"/>
                <w:szCs w:val="15"/>
              </w:rPr>
            </w:pPr>
            <w:r>
              <w:rPr>
                <w:rFonts w:hint="eastAsia" w:ascii="Times New Roman" w:hAnsi="Times New Roman" w:eastAsia="仿宋" w:cs="宋体"/>
                <w:kern w:val="0"/>
                <w:sz w:val="15"/>
                <w:szCs w:val="15"/>
              </w:rPr>
              <w:t>用户二维码支付的金额占比</w:t>
            </w:r>
          </w:p>
        </w:tc>
      </w:tr>
    </w:tbl>
    <w:p>
      <w:pPr>
        <w:autoSpaceDE w:val="0"/>
        <w:autoSpaceDN w:val="0"/>
        <w:adjustRightInd w:val="0"/>
        <w:spacing w:line="360" w:lineRule="auto"/>
        <w:jc w:val="center"/>
        <w:rPr>
          <w:rFonts w:ascii="Times New Roman" w:hAnsi="Times New Roman" w:cs="宋体"/>
          <w:kern w:val="0"/>
          <w:sz w:val="24"/>
          <w:szCs w:val="24"/>
        </w:rPr>
      </w:pPr>
      <w:bookmarkStart w:id="15" w:name="_Toc5714001"/>
      <w:r>
        <w:rPr>
          <w:rFonts w:ascii="Times New Roman" w:hAnsi="Times New Roman" w:cs="宋体"/>
          <w:kern w:val="0"/>
          <w:sz w:val="24"/>
          <w:szCs w:val="24"/>
        </w:rPr>
        <w:drawing>
          <wp:inline distT="0" distB="0" distL="0" distR="0">
            <wp:extent cx="5274310" cy="2867660"/>
            <wp:effectExtent l="0" t="0" r="2540" b="8890"/>
            <wp:docPr id="4" name="图片 4" descr="C:\Users\guofe\AppData\Local\Temp\WeChat Files\61c1668341fcdf940f05db17be75c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guofe\AppData\Local\Temp\WeChat Files\61c1668341fcdf940f05db17be75cd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867660"/>
                    </a:xfrm>
                    <a:prstGeom prst="rect">
                      <a:avLst/>
                    </a:prstGeom>
                    <a:noFill/>
                    <a:ln>
                      <a:noFill/>
                    </a:ln>
                  </pic:spPr>
                </pic:pic>
              </a:graphicData>
            </a:graphic>
          </wp:inline>
        </w:drawing>
      </w:r>
    </w:p>
    <w:p>
      <w:pPr>
        <w:jc w:val="center"/>
        <w:rPr>
          <w:rFonts w:ascii="仿宋" w:hAnsi="仿宋" w:eastAsia="仿宋" w:cstheme="minorBidi"/>
          <w:b/>
          <w:sz w:val="18"/>
          <w:szCs w:val="18"/>
        </w:rPr>
      </w:pPr>
      <w:r>
        <w:rPr>
          <w:rFonts w:hint="eastAsia" w:ascii="仿宋" w:hAnsi="仿宋" w:eastAsia="仿宋" w:cstheme="minorBidi"/>
          <w:b/>
          <w:sz w:val="18"/>
          <w:szCs w:val="18"/>
        </w:rPr>
        <w:t>图</w:t>
      </w:r>
      <w:r>
        <w:rPr>
          <w:rFonts w:ascii="仿宋" w:hAnsi="仿宋" w:eastAsia="仿宋" w:cstheme="minorBidi"/>
          <w:b/>
          <w:sz w:val="18"/>
          <w:szCs w:val="18"/>
        </w:rPr>
        <w:t>1</w:t>
      </w:r>
      <w:r>
        <w:rPr>
          <w:rFonts w:hint="eastAsia" w:ascii="仿宋" w:hAnsi="仿宋" w:eastAsia="仿宋" w:cstheme="minorBidi"/>
          <w:b/>
          <w:sz w:val="18"/>
          <w:szCs w:val="18"/>
        </w:rPr>
        <w:t xml:space="preserve"> </w:t>
      </w:r>
      <w:r>
        <w:rPr>
          <w:rFonts w:ascii="仿宋" w:hAnsi="仿宋" w:eastAsia="仿宋" w:cstheme="minorBidi"/>
          <w:b/>
          <w:sz w:val="18"/>
          <w:szCs w:val="18"/>
        </w:rPr>
        <w:t>数字普惠金融指数</w:t>
      </w:r>
      <w:r>
        <w:rPr>
          <w:rFonts w:hint="eastAsia" w:ascii="仿宋" w:hAnsi="仿宋" w:eastAsia="仿宋" w:cstheme="minorBidi"/>
          <w:b/>
          <w:sz w:val="18"/>
          <w:szCs w:val="18"/>
        </w:rPr>
        <w:t>框架</w:t>
      </w:r>
    </w:p>
    <w:bookmarkEnd w:id="14"/>
    <w:bookmarkEnd w:id="15"/>
    <w:p>
      <w:pPr>
        <w:spacing w:before="100" w:beforeAutospacing="1" w:after="100" w:afterAutospacing="1"/>
        <w:ind w:firstLine="420" w:firstLineChars="200"/>
        <w:rPr>
          <w:rFonts w:ascii="Times New Roman" w:hAnsi="Times New Roman" w:eastAsia="仿宋"/>
          <w:szCs w:val="24"/>
        </w:rPr>
      </w:pPr>
      <w:bookmarkStart w:id="16" w:name="_Toc5714002"/>
      <w:bookmarkStart w:id="17" w:name="_Toc330317096"/>
      <w:r>
        <w:rPr>
          <w:rFonts w:hint="eastAsia" w:ascii="Times New Roman" w:hAnsi="Times New Roman" w:eastAsia="仿宋"/>
          <w:szCs w:val="24"/>
        </w:rPr>
        <w:t>（二</w:t>
      </w:r>
      <w:r>
        <w:rPr>
          <w:rFonts w:ascii="Times New Roman" w:hAnsi="Times New Roman" w:eastAsia="仿宋"/>
          <w:szCs w:val="24"/>
        </w:rPr>
        <w:t>）</w:t>
      </w:r>
      <w:r>
        <w:rPr>
          <w:rFonts w:hint="eastAsia" w:ascii="Times New Roman" w:hAnsi="Times New Roman" w:eastAsia="仿宋"/>
          <w:szCs w:val="24"/>
        </w:rPr>
        <w:t>指标</w:t>
      </w:r>
      <w:r>
        <w:rPr>
          <w:rFonts w:ascii="Times New Roman" w:hAnsi="Times New Roman" w:eastAsia="仿宋"/>
          <w:szCs w:val="24"/>
        </w:rPr>
        <w:t>无量纲化</w:t>
      </w:r>
      <w:r>
        <w:rPr>
          <w:rFonts w:hint="eastAsia" w:ascii="Times New Roman" w:hAnsi="Times New Roman" w:eastAsia="仿宋"/>
          <w:szCs w:val="24"/>
        </w:rPr>
        <w:t>方法</w:t>
      </w:r>
      <w:bookmarkEnd w:id="16"/>
      <w:bookmarkEnd w:id="17"/>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数字普惠金融不同维度的指标虽然都包含了数字普惠金融某些方面的有用信息，但如果单独使用某一个指标或者某一维度指标，又可能会导致对数字普惠金融现状的片面解读，因此，可以参考传统普惠金融指数编制的方法，将数字普惠金融的多个指标合成一个数字普惠金融指数。不少机构和学者都在编制普惠金融指数方面进行了诸多努力和尝试，为我们提供了非常好的借鉴（</w:t>
      </w:r>
      <w:r>
        <w:rPr>
          <w:rFonts w:ascii="Times New Roman" w:hAnsi="Times New Roman" w:eastAsia="仿宋" w:cs="宋体"/>
          <w:kern w:val="0"/>
          <w:szCs w:val="24"/>
        </w:rPr>
        <w:t>Sarma</w:t>
      </w:r>
      <w:r>
        <w:rPr>
          <w:rFonts w:hint="eastAsia" w:ascii="Times New Roman" w:hAnsi="Times New Roman" w:eastAsia="仿宋" w:cs="宋体"/>
          <w:kern w:val="0"/>
          <w:szCs w:val="24"/>
        </w:rPr>
        <w:t>，</w:t>
      </w:r>
      <w:r>
        <w:rPr>
          <w:rFonts w:ascii="Times New Roman" w:hAnsi="Times New Roman" w:eastAsia="仿宋" w:cs="宋体"/>
          <w:kern w:val="0"/>
          <w:szCs w:val="24"/>
        </w:rPr>
        <w:t>2012</w:t>
      </w:r>
      <w:r>
        <w:rPr>
          <w:rFonts w:hint="eastAsia" w:ascii="Times New Roman" w:hAnsi="Times New Roman" w:eastAsia="仿宋" w:cs="宋体"/>
          <w:kern w:val="0"/>
          <w:szCs w:val="24"/>
        </w:rPr>
        <w:t>；王伟等，</w:t>
      </w:r>
      <w:r>
        <w:rPr>
          <w:rFonts w:ascii="Times New Roman" w:hAnsi="Times New Roman" w:eastAsia="仿宋" w:cs="宋体"/>
          <w:kern w:val="0"/>
          <w:szCs w:val="24"/>
        </w:rPr>
        <w:t>2011</w:t>
      </w:r>
      <w:r>
        <w:rPr>
          <w:rFonts w:hint="eastAsia" w:ascii="Times New Roman" w:hAnsi="Times New Roman" w:eastAsia="仿宋" w:cs="宋体"/>
          <w:kern w:val="0"/>
          <w:szCs w:val="24"/>
        </w:rPr>
        <w:t>；伍旭川和肖翔，</w:t>
      </w:r>
      <w:r>
        <w:rPr>
          <w:rFonts w:ascii="Times New Roman" w:hAnsi="Times New Roman" w:eastAsia="仿宋" w:cs="宋体"/>
          <w:kern w:val="0"/>
          <w:szCs w:val="24"/>
        </w:rPr>
        <w:t>2014</w:t>
      </w:r>
      <w:r>
        <w:rPr>
          <w:rFonts w:hint="eastAsia" w:ascii="Times New Roman" w:hAnsi="Times New Roman" w:eastAsia="仿宋" w:cs="宋体"/>
          <w:kern w:val="0"/>
          <w:szCs w:val="24"/>
        </w:rPr>
        <w:t>；焦瑾璞等，</w:t>
      </w:r>
      <w:r>
        <w:rPr>
          <w:rFonts w:ascii="Times New Roman" w:hAnsi="Times New Roman" w:eastAsia="仿宋" w:cs="宋体"/>
          <w:kern w:val="0"/>
          <w:szCs w:val="24"/>
        </w:rPr>
        <w:t>2015</w:t>
      </w:r>
      <w:r>
        <w:rPr>
          <w:rFonts w:hint="eastAsia" w:ascii="Times New Roman" w:hAnsi="Times New Roman" w:eastAsia="仿宋" w:cs="宋体"/>
          <w:kern w:val="0"/>
          <w:szCs w:val="24"/>
        </w:rPr>
        <w:t>；陈银娥等，</w:t>
      </w:r>
      <w:r>
        <w:rPr>
          <w:rFonts w:ascii="Times New Roman" w:hAnsi="Times New Roman" w:eastAsia="仿宋" w:cs="宋体"/>
          <w:kern w:val="0"/>
          <w:szCs w:val="24"/>
        </w:rPr>
        <w:t>2015</w:t>
      </w:r>
      <w:r>
        <w:rPr>
          <w:rFonts w:hint="eastAsia" w:ascii="Times New Roman" w:hAnsi="Times New Roman" w:eastAsia="仿宋" w:cs="宋体"/>
          <w:kern w:val="0"/>
          <w:szCs w:val="24"/>
        </w:rPr>
        <w:t>）。</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在指数合成之前，首先必须先将性质和计量单位不同的指标进行无量纲化处理。无量纲化函数的选取，一般要求严格单调、取值区间明确、结果直观、意义明确、不受指标正向或逆向形式的影响。现有文献一般都采用功效函数的方法。在功效函数多指标综合评价体系中，常见的功效函数很多，有线性功效函数法（或称传统功效函数法）、指数型功效函数法、对数型功效函数法、幂函数型功效函数法等等（彭非等，2007）。</w:t>
      </w:r>
      <w:r>
        <w:rPr>
          <w:rFonts w:ascii="Times New Roman" w:hAnsi="Times New Roman" w:eastAsia="仿宋" w:cs="宋体"/>
          <w:kern w:val="0"/>
          <w:szCs w:val="24"/>
        </w:rPr>
        <w:t>目前学术界关于普惠金融</w:t>
      </w:r>
      <w:r>
        <w:rPr>
          <w:rFonts w:hint="eastAsia" w:ascii="Times New Roman" w:hAnsi="Times New Roman" w:eastAsia="仿宋" w:cs="宋体"/>
          <w:kern w:val="0"/>
          <w:szCs w:val="24"/>
        </w:rPr>
        <w:t>指标</w:t>
      </w:r>
      <w:r>
        <w:rPr>
          <w:rFonts w:ascii="Times New Roman" w:hAnsi="Times New Roman" w:eastAsia="仿宋" w:cs="宋体"/>
          <w:kern w:val="0"/>
          <w:szCs w:val="24"/>
        </w:rPr>
        <w:t>的无量纲化方法主要有线性功效函数</w:t>
      </w:r>
      <w:r>
        <w:rPr>
          <w:rFonts w:hint="eastAsia" w:ascii="Times New Roman" w:hAnsi="Times New Roman" w:eastAsia="仿宋" w:cs="宋体"/>
          <w:kern w:val="0"/>
          <w:szCs w:val="24"/>
        </w:rPr>
        <w:t>法</w:t>
      </w:r>
      <w:r>
        <w:rPr>
          <w:rFonts w:ascii="Times New Roman" w:hAnsi="Times New Roman" w:eastAsia="仿宋" w:cs="宋体"/>
          <w:kern w:val="0"/>
          <w:szCs w:val="24"/>
        </w:rPr>
        <w:t>和</w:t>
      </w:r>
      <w:r>
        <w:rPr>
          <w:rFonts w:hint="eastAsia" w:ascii="Times New Roman" w:hAnsi="Times New Roman" w:eastAsia="仿宋" w:cs="宋体"/>
          <w:kern w:val="0"/>
          <w:szCs w:val="24"/>
        </w:rPr>
        <w:t>指数型</w:t>
      </w:r>
      <w:r>
        <w:rPr>
          <w:rFonts w:ascii="Times New Roman" w:hAnsi="Times New Roman" w:eastAsia="仿宋" w:cs="宋体"/>
          <w:kern w:val="0"/>
          <w:szCs w:val="24"/>
        </w:rPr>
        <w:t>功效函数法</w:t>
      </w:r>
      <w:r>
        <w:rPr>
          <w:rFonts w:hint="eastAsia" w:ascii="Times New Roman" w:hAnsi="Times New Roman" w:eastAsia="仿宋" w:cs="宋体"/>
          <w:kern w:val="0"/>
          <w:szCs w:val="24"/>
        </w:rPr>
        <w:t>（Sama，2012；焦</w:t>
      </w:r>
      <w:r>
        <w:rPr>
          <w:rFonts w:ascii="Times New Roman" w:hAnsi="Times New Roman" w:eastAsia="仿宋" w:cs="宋体"/>
          <w:kern w:val="0"/>
          <w:szCs w:val="24"/>
        </w:rPr>
        <w:t>瑾璞</w:t>
      </w:r>
      <w:r>
        <w:rPr>
          <w:rFonts w:hint="eastAsia" w:ascii="Times New Roman" w:hAnsi="Times New Roman" w:eastAsia="仿宋" w:cs="宋体"/>
          <w:kern w:val="0"/>
          <w:szCs w:val="24"/>
        </w:rPr>
        <w:t>等，2015；伍</w:t>
      </w:r>
      <w:r>
        <w:rPr>
          <w:rFonts w:ascii="Times New Roman" w:hAnsi="Times New Roman" w:eastAsia="仿宋" w:cs="宋体"/>
          <w:kern w:val="0"/>
          <w:szCs w:val="24"/>
        </w:rPr>
        <w:t>旭</w:t>
      </w:r>
      <w:r>
        <w:rPr>
          <w:rFonts w:hint="eastAsia" w:ascii="Times New Roman" w:hAnsi="Times New Roman" w:eastAsia="仿宋" w:cs="宋体"/>
          <w:kern w:val="0"/>
          <w:szCs w:val="24"/>
        </w:rPr>
        <w:t>川和</w:t>
      </w:r>
      <w:r>
        <w:rPr>
          <w:rFonts w:ascii="Times New Roman" w:hAnsi="Times New Roman" w:eastAsia="仿宋" w:cs="宋体"/>
          <w:kern w:val="0"/>
          <w:szCs w:val="24"/>
        </w:rPr>
        <w:t>肖翔</w:t>
      </w:r>
      <w:r>
        <w:rPr>
          <w:rFonts w:hint="eastAsia" w:ascii="Times New Roman" w:hAnsi="Times New Roman" w:eastAsia="仿宋" w:cs="宋体"/>
          <w:kern w:val="0"/>
          <w:szCs w:val="24"/>
        </w:rPr>
        <w:t>，2014）</w:t>
      </w:r>
      <w:r>
        <w:rPr>
          <w:rFonts w:ascii="Times New Roman" w:hAnsi="Times New Roman" w:eastAsia="仿宋" w:cs="宋体"/>
          <w:kern w:val="0"/>
          <w:szCs w:val="24"/>
        </w:rPr>
        <w:t>。</w:t>
      </w:r>
      <w:r>
        <w:rPr>
          <w:rFonts w:hint="eastAsia" w:ascii="Times New Roman" w:hAnsi="Times New Roman" w:eastAsia="仿宋" w:cs="宋体"/>
          <w:kern w:val="0"/>
          <w:szCs w:val="24"/>
        </w:rPr>
        <w:t>本文</w:t>
      </w:r>
      <w:r>
        <w:rPr>
          <w:rFonts w:ascii="Times New Roman" w:hAnsi="Times New Roman" w:eastAsia="仿宋" w:cs="宋体"/>
          <w:kern w:val="0"/>
          <w:szCs w:val="24"/>
        </w:rPr>
        <w:t>结合</w:t>
      </w:r>
      <w:r>
        <w:rPr>
          <w:rFonts w:hint="eastAsia" w:ascii="Times New Roman" w:hAnsi="Times New Roman" w:eastAsia="仿宋" w:cs="宋体"/>
          <w:kern w:val="0"/>
          <w:szCs w:val="24"/>
        </w:rPr>
        <w:t>数字</w:t>
      </w:r>
      <w:r>
        <w:rPr>
          <w:rFonts w:ascii="Times New Roman" w:hAnsi="Times New Roman" w:eastAsia="仿宋" w:cs="宋体"/>
          <w:kern w:val="0"/>
          <w:szCs w:val="24"/>
        </w:rPr>
        <w:t>金融快速扩张的特点，</w:t>
      </w:r>
      <w:r>
        <w:rPr>
          <w:rFonts w:hint="eastAsia" w:ascii="Times New Roman" w:hAnsi="Times New Roman" w:eastAsia="仿宋" w:cs="宋体"/>
          <w:kern w:val="0"/>
          <w:szCs w:val="24"/>
        </w:rPr>
        <w:t>为缓解极端值的影响，保持</w:t>
      </w:r>
      <w:r>
        <w:rPr>
          <w:rFonts w:ascii="Times New Roman" w:hAnsi="Times New Roman" w:eastAsia="仿宋" w:cs="宋体"/>
          <w:kern w:val="0"/>
          <w:szCs w:val="24"/>
        </w:rPr>
        <w:t>指数的</w:t>
      </w:r>
      <w:r>
        <w:rPr>
          <w:rFonts w:hint="eastAsia" w:ascii="Times New Roman" w:hAnsi="Times New Roman" w:eastAsia="仿宋" w:cs="宋体"/>
          <w:kern w:val="0"/>
          <w:szCs w:val="24"/>
        </w:rPr>
        <w:t>平稳性</w:t>
      </w:r>
      <w:r>
        <w:rPr>
          <w:rFonts w:ascii="Times New Roman" w:hAnsi="Times New Roman" w:eastAsia="仿宋" w:cs="宋体"/>
          <w:kern w:val="0"/>
          <w:szCs w:val="24"/>
        </w:rPr>
        <w:t>，采取对数</w:t>
      </w:r>
      <w:r>
        <w:rPr>
          <w:rFonts w:hint="eastAsia" w:ascii="Times New Roman" w:hAnsi="Times New Roman" w:eastAsia="仿宋" w:cs="宋体"/>
          <w:kern w:val="0"/>
          <w:szCs w:val="24"/>
        </w:rPr>
        <w:t>型</w:t>
      </w:r>
      <w:r>
        <w:rPr>
          <w:rFonts w:ascii="Times New Roman" w:hAnsi="Times New Roman" w:eastAsia="仿宋" w:cs="宋体"/>
          <w:kern w:val="0"/>
          <w:szCs w:val="24"/>
        </w:rPr>
        <w:t>功效函数法</w:t>
      </w:r>
      <w:r>
        <w:rPr>
          <w:rFonts w:hint="eastAsia" w:ascii="Times New Roman" w:hAnsi="Times New Roman" w:eastAsia="仿宋" w:cs="宋体"/>
          <w:kern w:val="0"/>
          <w:szCs w:val="24"/>
        </w:rPr>
        <w:t>。具体而言，</w:t>
      </w:r>
      <w:r>
        <w:rPr>
          <w:rFonts w:ascii="Times New Roman" w:hAnsi="Times New Roman" w:eastAsia="仿宋" w:cs="宋体"/>
          <w:kern w:val="0"/>
          <w:szCs w:val="24"/>
        </w:rPr>
        <w:t>对数</w:t>
      </w:r>
      <w:r>
        <w:rPr>
          <w:rFonts w:hint="eastAsia" w:ascii="Times New Roman" w:hAnsi="Times New Roman" w:eastAsia="仿宋" w:cs="宋体"/>
          <w:kern w:val="0"/>
          <w:szCs w:val="24"/>
        </w:rPr>
        <w:t>功效</w:t>
      </w:r>
      <w:r>
        <w:rPr>
          <w:rFonts w:ascii="Times New Roman" w:hAnsi="Times New Roman" w:eastAsia="仿宋" w:cs="宋体"/>
          <w:kern w:val="0"/>
          <w:szCs w:val="24"/>
        </w:rPr>
        <w:t>函数的</w:t>
      </w:r>
      <w:r>
        <w:rPr>
          <w:rFonts w:hint="eastAsia" w:ascii="Times New Roman" w:hAnsi="Times New Roman" w:eastAsia="仿宋" w:cs="宋体"/>
          <w:kern w:val="0"/>
          <w:szCs w:val="24"/>
        </w:rPr>
        <w:t>公式</w:t>
      </w:r>
      <w:r>
        <w:rPr>
          <w:rFonts w:ascii="Times New Roman" w:hAnsi="Times New Roman" w:eastAsia="仿宋" w:cs="宋体"/>
          <w:kern w:val="0"/>
          <w:szCs w:val="24"/>
        </w:rPr>
        <w:t>如下：</w:t>
      </w:r>
    </w:p>
    <w:p>
      <w:pPr>
        <w:autoSpaceDE w:val="0"/>
        <w:autoSpaceDN w:val="0"/>
        <w:adjustRightInd w:val="0"/>
        <w:ind w:firstLine="420" w:firstLineChars="200"/>
        <w:jc w:val="center"/>
        <w:rPr>
          <w:rFonts w:ascii="Times New Roman" w:hAnsi="Times New Roman" w:eastAsia="仿宋" w:cs="宋体"/>
          <w:kern w:val="0"/>
          <w:szCs w:val="24"/>
        </w:rPr>
      </w:pPr>
      <w:r>
        <w:rPr>
          <w:rFonts w:ascii="Times New Roman" w:hAnsi="Times New Roman" w:eastAsia="仿宋" w:cs="宋体"/>
          <w:kern w:val="0"/>
          <w:position w:val="-30"/>
          <w:szCs w:val="24"/>
        </w:rPr>
        <w:object>
          <v:shape id="_x0000_i1025" o:spt="75" type="#_x0000_t75" style="height:36.2pt;width:139pt;" o:ole="t" filled="f" o:preferrelative="t" stroked="f" coordsize="21600,21600">
            <v:path/>
            <v:fill on="f" focussize="0,0"/>
            <v:stroke on="f" joinstyle="miter"/>
            <v:imagedata r:id="rId8" o:title=""/>
            <o:lock v:ext="edit" aspectratio="t"/>
            <w10:wrap type="none"/>
            <w10:anchorlock/>
          </v:shape>
          <o:OLEObject Type="Embed" ProgID="Equation.DSMT4" ShapeID="_x0000_i1025" DrawAspect="Content" ObjectID="_1468075725" r:id="rId7">
            <o:LockedField>false</o:LockedField>
          </o:OLEObject>
        </w:object>
      </w:r>
      <w:r>
        <w:rPr>
          <w:rFonts w:ascii="Times New Roman" w:hAnsi="Times New Roman" w:eastAsia="仿宋" w:cs="宋体"/>
          <w:kern w:val="0"/>
          <w:szCs w:val="24"/>
        </w:rPr>
        <w:t xml:space="preserve">     </w:t>
      </w:r>
      <w:r>
        <w:rPr>
          <w:rFonts w:hint="eastAsia" w:ascii="Times New Roman" w:hAnsi="Times New Roman" w:eastAsia="仿宋" w:cs="宋体"/>
          <w:kern w:val="0"/>
          <w:szCs w:val="24"/>
        </w:rPr>
        <w:t>(</w:t>
      </w:r>
      <w:r>
        <w:rPr>
          <w:rFonts w:ascii="Times New Roman" w:hAnsi="Times New Roman" w:eastAsia="仿宋" w:cs="宋体"/>
          <w:kern w:val="0"/>
          <w:szCs w:val="24"/>
        </w:rPr>
        <w:t>1)</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关于</w:t>
      </w:r>
      <w:r>
        <w:rPr>
          <w:rFonts w:ascii="Times New Roman" w:hAnsi="Times New Roman" w:eastAsia="仿宋" w:cs="宋体"/>
          <w:kern w:val="0"/>
          <w:szCs w:val="24"/>
        </w:rPr>
        <w:t>功效函数公式</w:t>
      </w:r>
      <w:r>
        <w:rPr>
          <w:rFonts w:hint="eastAsia" w:ascii="Times New Roman" w:hAnsi="Times New Roman" w:eastAsia="仿宋" w:cs="宋体"/>
          <w:kern w:val="0"/>
          <w:szCs w:val="24"/>
        </w:rPr>
        <w:t>中阈值的确定，如果</w:t>
      </w:r>
      <w:r>
        <w:rPr>
          <w:rFonts w:ascii="Times New Roman" w:hAnsi="Times New Roman" w:eastAsia="仿宋" w:cs="宋体"/>
          <w:kern w:val="0"/>
          <w:szCs w:val="24"/>
        </w:rPr>
        <w:t>取各指标</w:t>
      </w:r>
      <w:r>
        <w:rPr>
          <w:rFonts w:hint="eastAsia" w:ascii="Times New Roman" w:hAnsi="Times New Roman" w:eastAsia="仿宋" w:cs="宋体"/>
          <w:kern w:val="0"/>
          <w:szCs w:val="24"/>
        </w:rPr>
        <w:t>不同</w:t>
      </w:r>
      <w:r>
        <w:rPr>
          <w:rFonts w:ascii="Times New Roman" w:hAnsi="Times New Roman" w:eastAsia="仿宋" w:cs="宋体"/>
          <w:kern w:val="0"/>
          <w:szCs w:val="24"/>
        </w:rPr>
        <w:t>年份的最大值</w:t>
      </w:r>
      <w:r>
        <w:rPr>
          <w:rFonts w:hint="eastAsia" w:ascii="Times New Roman" w:hAnsi="Times New Roman" w:eastAsia="仿宋" w:cs="宋体"/>
          <w:kern w:val="0"/>
          <w:szCs w:val="24"/>
        </w:rPr>
        <w:t>、</w:t>
      </w:r>
      <w:r>
        <w:rPr>
          <w:rFonts w:ascii="Times New Roman" w:hAnsi="Times New Roman" w:eastAsia="仿宋" w:cs="宋体"/>
          <w:kern w:val="0"/>
          <w:szCs w:val="24"/>
        </w:rPr>
        <w:t>最小值作为</w:t>
      </w:r>
      <w:r>
        <w:rPr>
          <w:rFonts w:hint="eastAsia" w:ascii="Times New Roman" w:hAnsi="Times New Roman" w:eastAsia="仿宋" w:cs="宋体"/>
          <w:kern w:val="0"/>
          <w:szCs w:val="24"/>
        </w:rPr>
        <w:t>上</w:t>
      </w:r>
      <w:r>
        <w:rPr>
          <w:rFonts w:ascii="Times New Roman" w:hAnsi="Times New Roman" w:eastAsia="仿宋" w:cs="宋体"/>
          <w:kern w:val="0"/>
          <w:szCs w:val="24"/>
        </w:rPr>
        <w:t>下限，</w:t>
      </w:r>
      <w:r>
        <w:rPr>
          <w:rFonts w:hint="eastAsia" w:ascii="Times New Roman" w:hAnsi="Times New Roman" w:eastAsia="仿宋" w:cs="宋体"/>
          <w:kern w:val="0"/>
          <w:szCs w:val="24"/>
        </w:rPr>
        <w:t>当</w:t>
      </w:r>
      <w:r>
        <w:rPr>
          <w:rFonts w:ascii="Times New Roman" w:hAnsi="Times New Roman" w:eastAsia="仿宋" w:cs="宋体"/>
          <w:kern w:val="0"/>
          <w:szCs w:val="24"/>
        </w:rPr>
        <w:t>最大值</w:t>
      </w:r>
      <w:r>
        <w:rPr>
          <w:rFonts w:hint="eastAsia" w:ascii="Times New Roman" w:hAnsi="Times New Roman" w:eastAsia="仿宋" w:cs="宋体"/>
          <w:kern w:val="0"/>
          <w:szCs w:val="24"/>
        </w:rPr>
        <w:t>或最小值</w:t>
      </w:r>
      <w:r>
        <w:rPr>
          <w:rFonts w:ascii="Times New Roman" w:hAnsi="Times New Roman" w:eastAsia="仿宋" w:cs="宋体"/>
          <w:kern w:val="0"/>
          <w:szCs w:val="24"/>
        </w:rPr>
        <w:t>为极端值</w:t>
      </w:r>
      <w:r>
        <w:rPr>
          <w:rFonts w:hint="eastAsia" w:ascii="Times New Roman" w:hAnsi="Times New Roman" w:eastAsia="仿宋" w:cs="宋体"/>
          <w:kern w:val="0"/>
          <w:szCs w:val="24"/>
        </w:rPr>
        <w:t>或</w:t>
      </w:r>
      <w:r>
        <w:rPr>
          <w:rFonts w:ascii="Times New Roman" w:hAnsi="Times New Roman" w:eastAsia="仿宋" w:cs="宋体"/>
          <w:kern w:val="0"/>
          <w:szCs w:val="24"/>
        </w:rPr>
        <w:t>异常值时，容易</w:t>
      </w:r>
      <w:r>
        <w:rPr>
          <w:rFonts w:hint="eastAsia" w:ascii="Times New Roman" w:hAnsi="Times New Roman" w:eastAsia="仿宋" w:cs="宋体"/>
          <w:kern w:val="0"/>
          <w:szCs w:val="24"/>
        </w:rPr>
        <w:t>扭曲</w:t>
      </w:r>
      <w:r>
        <w:rPr>
          <w:rFonts w:ascii="Times New Roman" w:hAnsi="Times New Roman" w:eastAsia="仿宋" w:cs="宋体"/>
          <w:kern w:val="0"/>
          <w:szCs w:val="24"/>
        </w:rPr>
        <w:t>指数值，导致地区指数</w:t>
      </w:r>
      <w:r>
        <w:rPr>
          <w:rFonts w:hint="eastAsia" w:ascii="Times New Roman" w:hAnsi="Times New Roman" w:eastAsia="仿宋" w:cs="宋体"/>
          <w:kern w:val="0"/>
          <w:szCs w:val="24"/>
        </w:rPr>
        <w:t>异常。另外</w:t>
      </w:r>
      <w:r>
        <w:rPr>
          <w:rFonts w:ascii="Times New Roman" w:hAnsi="Times New Roman" w:eastAsia="仿宋" w:cs="宋体"/>
          <w:kern w:val="0"/>
          <w:szCs w:val="24"/>
        </w:rPr>
        <w:t>，</w:t>
      </w:r>
      <w:r>
        <w:rPr>
          <w:rFonts w:hint="eastAsia" w:ascii="Times New Roman" w:hAnsi="Times New Roman" w:eastAsia="仿宋" w:cs="宋体"/>
          <w:kern w:val="0"/>
          <w:szCs w:val="24"/>
        </w:rPr>
        <w:t>如果</w:t>
      </w:r>
      <w:r>
        <w:rPr>
          <w:rFonts w:ascii="Times New Roman" w:hAnsi="Times New Roman" w:eastAsia="仿宋" w:cs="宋体"/>
          <w:kern w:val="0"/>
          <w:szCs w:val="24"/>
        </w:rPr>
        <w:t>各指标</w:t>
      </w:r>
      <w:r>
        <w:rPr>
          <w:rFonts w:hint="eastAsia" w:ascii="Times New Roman" w:hAnsi="Times New Roman" w:eastAsia="仿宋" w:cs="宋体"/>
          <w:kern w:val="0"/>
          <w:szCs w:val="24"/>
        </w:rPr>
        <w:t>的</w:t>
      </w:r>
      <w:r>
        <w:rPr>
          <w:rFonts w:ascii="Times New Roman" w:hAnsi="Times New Roman" w:eastAsia="仿宋" w:cs="宋体"/>
          <w:kern w:val="0"/>
          <w:szCs w:val="24"/>
        </w:rPr>
        <w:t>上下限都是</w:t>
      </w:r>
      <w:r>
        <w:rPr>
          <w:rFonts w:hint="eastAsia" w:ascii="Times New Roman" w:hAnsi="Times New Roman" w:eastAsia="仿宋" w:cs="宋体"/>
          <w:kern w:val="0"/>
          <w:szCs w:val="24"/>
        </w:rPr>
        <w:t>基于</w:t>
      </w:r>
      <w:r>
        <w:rPr>
          <w:rFonts w:ascii="Times New Roman" w:hAnsi="Times New Roman" w:eastAsia="仿宋" w:cs="宋体"/>
          <w:kern w:val="0"/>
          <w:szCs w:val="24"/>
        </w:rPr>
        <w:t>每年指标情况来</w:t>
      </w:r>
      <w:r>
        <w:rPr>
          <w:rFonts w:hint="eastAsia" w:ascii="Times New Roman" w:hAnsi="Times New Roman" w:eastAsia="仿宋" w:cs="宋体"/>
          <w:kern w:val="0"/>
          <w:szCs w:val="24"/>
        </w:rPr>
        <w:t>设定</w:t>
      </w:r>
      <w:r>
        <w:rPr>
          <w:rFonts w:ascii="Times New Roman" w:hAnsi="Times New Roman" w:eastAsia="仿宋" w:cs="宋体"/>
          <w:kern w:val="0"/>
          <w:szCs w:val="24"/>
        </w:rPr>
        <w:t>，会导致不同年份各地区间的</w:t>
      </w:r>
      <w:r>
        <w:rPr>
          <w:rFonts w:hint="eastAsia" w:ascii="Times New Roman" w:hAnsi="Times New Roman" w:eastAsia="仿宋" w:cs="宋体"/>
          <w:kern w:val="0"/>
          <w:szCs w:val="24"/>
        </w:rPr>
        <w:t>指标</w:t>
      </w:r>
      <w:r>
        <w:rPr>
          <w:rFonts w:ascii="Times New Roman" w:hAnsi="Times New Roman" w:eastAsia="仿宋" w:cs="宋体"/>
          <w:kern w:val="0"/>
          <w:szCs w:val="24"/>
        </w:rPr>
        <w:t>比较基准</w:t>
      </w:r>
      <w:r>
        <w:rPr>
          <w:rFonts w:hint="eastAsia" w:ascii="Times New Roman" w:hAnsi="Times New Roman" w:eastAsia="仿宋" w:cs="宋体"/>
          <w:kern w:val="0"/>
          <w:szCs w:val="24"/>
        </w:rPr>
        <w:t>发生变化</w:t>
      </w:r>
      <w:r>
        <w:rPr>
          <w:rFonts w:ascii="Times New Roman" w:hAnsi="Times New Roman" w:eastAsia="仿宋" w:cs="宋体"/>
          <w:kern w:val="0"/>
          <w:szCs w:val="24"/>
        </w:rPr>
        <w:t>，</w:t>
      </w:r>
      <w:r>
        <w:rPr>
          <w:rFonts w:hint="eastAsia" w:ascii="Times New Roman" w:hAnsi="Times New Roman" w:eastAsia="仿宋" w:cs="宋体"/>
          <w:kern w:val="0"/>
          <w:szCs w:val="24"/>
        </w:rPr>
        <w:t>从而纵向</w:t>
      </w:r>
      <w:r>
        <w:rPr>
          <w:rFonts w:ascii="Times New Roman" w:hAnsi="Times New Roman" w:eastAsia="仿宋" w:cs="宋体"/>
          <w:kern w:val="0"/>
          <w:szCs w:val="24"/>
        </w:rPr>
        <w:t>不可比。</w:t>
      </w:r>
      <w:r>
        <w:rPr>
          <w:rFonts w:hint="eastAsia" w:ascii="Times New Roman" w:hAnsi="Times New Roman" w:eastAsia="仿宋" w:cs="宋体"/>
          <w:kern w:val="0"/>
          <w:szCs w:val="24"/>
        </w:rPr>
        <w:t>因此</w:t>
      </w:r>
      <w:r>
        <w:rPr>
          <w:rFonts w:ascii="Times New Roman" w:hAnsi="Times New Roman" w:eastAsia="仿宋" w:cs="宋体"/>
          <w:kern w:val="0"/>
          <w:szCs w:val="24"/>
        </w:rPr>
        <w:t>，</w:t>
      </w:r>
      <w:r>
        <w:rPr>
          <w:rFonts w:hint="eastAsia" w:ascii="Times New Roman" w:hAnsi="Times New Roman" w:eastAsia="仿宋" w:cs="宋体"/>
          <w:kern w:val="0"/>
          <w:szCs w:val="24"/>
        </w:rPr>
        <w:t>为了便于今后对各地区数字</w:t>
      </w:r>
      <w:r>
        <w:rPr>
          <w:rFonts w:ascii="Times New Roman" w:hAnsi="Times New Roman" w:eastAsia="仿宋" w:cs="宋体"/>
          <w:kern w:val="0"/>
          <w:szCs w:val="24"/>
        </w:rPr>
        <w:t>普惠金融发展</w:t>
      </w:r>
      <w:r>
        <w:rPr>
          <w:rFonts w:hint="eastAsia" w:ascii="Times New Roman" w:hAnsi="Times New Roman" w:eastAsia="仿宋" w:cs="宋体"/>
          <w:kern w:val="0"/>
          <w:szCs w:val="24"/>
        </w:rPr>
        <w:t>水平同时进行横向</w:t>
      </w:r>
      <w:r>
        <w:rPr>
          <w:rFonts w:ascii="Times New Roman" w:hAnsi="Times New Roman" w:eastAsia="仿宋" w:cs="宋体"/>
          <w:kern w:val="0"/>
          <w:szCs w:val="24"/>
        </w:rPr>
        <w:t>和纵向比较</w:t>
      </w:r>
      <w:r>
        <w:rPr>
          <w:rFonts w:hint="eastAsia" w:ascii="Times New Roman" w:hAnsi="Times New Roman" w:eastAsia="仿宋" w:cs="宋体"/>
          <w:kern w:val="0"/>
          <w:szCs w:val="24"/>
        </w:rPr>
        <w:t>，我们作了如下处理：（i）对于正向指标，取固定</w:t>
      </w:r>
      <w:r>
        <w:rPr>
          <w:rFonts w:ascii="Times New Roman" w:hAnsi="Times New Roman" w:eastAsia="仿宋" w:cs="宋体"/>
          <w:kern w:val="0"/>
          <w:szCs w:val="24"/>
        </w:rPr>
        <w:t>2011</w:t>
      </w:r>
      <w:r>
        <w:rPr>
          <w:rFonts w:hint="eastAsia" w:ascii="Times New Roman" w:hAnsi="Times New Roman" w:eastAsia="仿宋" w:cs="宋体"/>
          <w:kern w:val="0"/>
          <w:szCs w:val="24"/>
        </w:rPr>
        <w:t>年各地区</w:t>
      </w:r>
      <w:r>
        <w:rPr>
          <w:rFonts w:ascii="Times New Roman" w:hAnsi="Times New Roman" w:eastAsia="仿宋" w:cs="宋体"/>
          <w:kern w:val="0"/>
          <w:szCs w:val="24"/>
        </w:rPr>
        <w:t>指标</w:t>
      </w:r>
      <w:r>
        <w:rPr>
          <w:rFonts w:hint="eastAsia" w:ascii="Times New Roman" w:hAnsi="Times New Roman" w:eastAsia="仿宋" w:cs="宋体"/>
          <w:kern w:val="0"/>
          <w:szCs w:val="24"/>
        </w:rPr>
        <w:t>数据实际值的95%分位数为上限</w:t>
      </w:r>
      <w:r>
        <w:rPr>
          <w:rFonts w:ascii="Times New Roman" w:hAnsi="Times New Roman" w:eastAsia="仿宋" w:cs="宋体"/>
          <w:kern w:val="0"/>
          <w:position w:val="-4"/>
          <w:szCs w:val="24"/>
        </w:rPr>
        <w:object>
          <v:shape id="_x0000_i1026" o:spt="75" type="#_x0000_t75" style="height:15.4pt;width:20.4pt;" o:ole="t" filled="f" o:preferrelative="t" stroked="f" coordsize="21600,21600">
            <v:path/>
            <v:fill on="f" focussize="0,0"/>
            <v:stroke on="f" joinstyle="miter"/>
            <v:imagedata r:id="rId10" o:title=""/>
            <o:lock v:ext="edit" aspectratio="t"/>
            <w10:wrap type="none"/>
            <w10:anchorlock/>
          </v:shape>
          <o:OLEObject Type="Embed" ProgID="Equation.DSMT4" ShapeID="_x0000_i1026" DrawAspect="Content" ObjectID="_1468075726" r:id="rId9">
            <o:LockedField>false</o:LockedField>
          </o:OLEObject>
        </w:object>
      </w:r>
      <w:r>
        <w:rPr>
          <w:rFonts w:hint="eastAsia" w:ascii="Times New Roman" w:hAnsi="Times New Roman" w:eastAsia="仿宋" w:cs="宋体"/>
          <w:kern w:val="0"/>
          <w:szCs w:val="24"/>
        </w:rPr>
        <w:t>，5</w:t>
      </w:r>
      <w:r>
        <w:rPr>
          <w:rFonts w:ascii="Times New Roman" w:hAnsi="Times New Roman" w:eastAsia="仿宋" w:cs="宋体"/>
          <w:kern w:val="0"/>
          <w:szCs w:val="24"/>
        </w:rPr>
        <w:t>%分位数</w:t>
      </w:r>
      <w:r>
        <w:rPr>
          <w:rFonts w:hint="eastAsia" w:ascii="Times New Roman" w:hAnsi="Times New Roman" w:eastAsia="仿宋" w:cs="宋体"/>
          <w:kern w:val="0"/>
          <w:szCs w:val="24"/>
        </w:rPr>
        <w:t>为下限</w:t>
      </w:r>
      <w:r>
        <w:rPr>
          <w:rFonts w:ascii="Times New Roman" w:hAnsi="Times New Roman" w:eastAsia="仿宋" w:cs="宋体"/>
          <w:kern w:val="0"/>
          <w:position w:val="-4"/>
          <w:szCs w:val="24"/>
        </w:rPr>
        <w:object>
          <v:shape id="_x0000_i1027" o:spt="75" type="#_x0000_t75" style="height:15.4pt;width:15.4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r>
        <w:rPr>
          <w:rFonts w:hint="eastAsia" w:ascii="Times New Roman" w:hAnsi="Times New Roman" w:eastAsia="仿宋" w:cs="宋体"/>
          <w:kern w:val="0"/>
          <w:szCs w:val="24"/>
        </w:rPr>
        <w:t>；（ii）对于逆向指标，取固定</w:t>
      </w:r>
      <w:r>
        <w:rPr>
          <w:rFonts w:ascii="Times New Roman" w:hAnsi="Times New Roman" w:eastAsia="仿宋" w:cs="宋体"/>
          <w:kern w:val="0"/>
          <w:szCs w:val="24"/>
        </w:rPr>
        <w:t>2011</w:t>
      </w:r>
      <w:r>
        <w:rPr>
          <w:rFonts w:hint="eastAsia" w:ascii="Times New Roman" w:hAnsi="Times New Roman" w:eastAsia="仿宋" w:cs="宋体"/>
          <w:kern w:val="0"/>
          <w:szCs w:val="24"/>
        </w:rPr>
        <w:t>年各</w:t>
      </w:r>
      <w:r>
        <w:rPr>
          <w:rFonts w:ascii="Times New Roman" w:hAnsi="Times New Roman" w:eastAsia="仿宋" w:cs="宋体"/>
          <w:kern w:val="0"/>
          <w:szCs w:val="24"/>
        </w:rPr>
        <w:t>地区指标</w:t>
      </w:r>
      <w:r>
        <w:rPr>
          <w:rFonts w:hint="eastAsia" w:ascii="Times New Roman" w:hAnsi="Times New Roman" w:eastAsia="仿宋" w:cs="宋体"/>
          <w:kern w:val="0"/>
          <w:szCs w:val="24"/>
        </w:rPr>
        <w:t>数据实际值的5</w:t>
      </w:r>
      <w:r>
        <w:rPr>
          <w:rFonts w:ascii="Times New Roman" w:hAnsi="Times New Roman" w:eastAsia="仿宋" w:cs="宋体"/>
          <w:kern w:val="0"/>
          <w:szCs w:val="24"/>
        </w:rPr>
        <w:t>%分位数</w:t>
      </w:r>
      <w:r>
        <w:rPr>
          <w:rFonts w:hint="eastAsia" w:ascii="Times New Roman" w:hAnsi="Times New Roman" w:eastAsia="仿宋" w:cs="宋体"/>
          <w:kern w:val="0"/>
          <w:szCs w:val="24"/>
        </w:rPr>
        <w:t>为</w:t>
      </w:r>
      <w:r>
        <w:rPr>
          <w:rFonts w:ascii="Times New Roman" w:hAnsi="Times New Roman" w:eastAsia="仿宋" w:cs="宋体"/>
          <w:kern w:val="0"/>
          <w:position w:val="-4"/>
          <w:szCs w:val="24"/>
        </w:rPr>
        <w:object>
          <v:shape id="_x0000_i1028" o:spt="75" type="#_x0000_t75" style="height:15.4pt;width:20.4pt;" o:ole="t" filled="f" o:preferrelative="t" stroked="f" coordsize="21600,21600">
            <v:path/>
            <v:fill on="f" focussize="0,0"/>
            <v:stroke on="f" joinstyle="miter"/>
            <v:imagedata r:id="rId10" o:title=""/>
            <o:lock v:ext="edit" aspectratio="t"/>
            <w10:wrap type="none"/>
            <w10:anchorlock/>
          </v:shape>
          <o:OLEObject Type="Embed" ProgID="Equation.DSMT4" ShapeID="_x0000_i1028" DrawAspect="Content" ObjectID="_1468075728" r:id="rId13">
            <o:LockedField>false</o:LockedField>
          </o:OLEObject>
        </w:object>
      </w:r>
      <w:r>
        <w:rPr>
          <w:rFonts w:hint="eastAsia" w:ascii="Times New Roman" w:hAnsi="Times New Roman" w:eastAsia="仿宋" w:cs="宋体"/>
          <w:kern w:val="0"/>
          <w:szCs w:val="24"/>
        </w:rPr>
        <w:t>，95</w:t>
      </w:r>
      <w:r>
        <w:rPr>
          <w:rFonts w:ascii="Times New Roman" w:hAnsi="Times New Roman" w:eastAsia="仿宋" w:cs="宋体"/>
          <w:kern w:val="0"/>
          <w:szCs w:val="24"/>
        </w:rPr>
        <w:t>%分位数</w:t>
      </w:r>
      <w:r>
        <w:rPr>
          <w:rFonts w:hint="eastAsia" w:ascii="Times New Roman" w:hAnsi="Times New Roman" w:eastAsia="仿宋" w:cs="宋体"/>
          <w:kern w:val="0"/>
          <w:szCs w:val="24"/>
        </w:rPr>
        <w:t>为</w:t>
      </w:r>
      <w:r>
        <w:rPr>
          <w:rFonts w:ascii="Times New Roman" w:hAnsi="Times New Roman" w:eastAsia="仿宋" w:cs="宋体"/>
          <w:kern w:val="0"/>
          <w:position w:val="-4"/>
          <w:szCs w:val="24"/>
        </w:rPr>
        <w:object>
          <v:shape id="_x0000_i1029" o:spt="75" type="#_x0000_t75" style="height:15.4pt;width:15.4pt;" o:ole="t" filled="f" o:preferrelative="t" stroked="f" coordsize="21600,21600">
            <v:path/>
            <v:fill on="f" focussize="0,0"/>
            <v:stroke on="f" joinstyle="miter"/>
            <v:imagedata r:id="rId12" o:title=""/>
            <o:lock v:ext="edit" aspectratio="t"/>
            <w10:wrap type="none"/>
            <w10:anchorlock/>
          </v:shape>
          <o:OLEObject Type="Embed" ProgID="Equation.DSMT4" ShapeID="_x0000_i1029" DrawAspect="Content" ObjectID="_1468075729" r:id="rId14">
            <o:LockedField>false</o:LockedField>
          </o:OLEObject>
        </w:object>
      </w:r>
      <w:r>
        <w:rPr>
          <w:rFonts w:hint="eastAsia" w:ascii="Times New Roman" w:hAnsi="Times New Roman" w:eastAsia="仿宋" w:cs="宋体"/>
          <w:kern w:val="0"/>
          <w:szCs w:val="24"/>
        </w:rPr>
        <w:t>。此外，为</w:t>
      </w:r>
      <w:r>
        <w:rPr>
          <w:rFonts w:ascii="Times New Roman" w:hAnsi="Times New Roman" w:eastAsia="仿宋" w:cs="宋体"/>
          <w:kern w:val="0"/>
          <w:szCs w:val="24"/>
        </w:rPr>
        <w:t>了平滑指数，</w:t>
      </w:r>
      <w:r>
        <w:rPr>
          <w:rFonts w:hint="eastAsia" w:ascii="Times New Roman" w:hAnsi="Times New Roman" w:eastAsia="仿宋" w:cs="宋体"/>
          <w:kern w:val="0"/>
          <w:szCs w:val="24"/>
        </w:rPr>
        <w:t>避免种种原因导致的极端值的出现，我们对超过指标</w:t>
      </w:r>
      <w:r>
        <w:rPr>
          <w:rFonts w:ascii="Times New Roman" w:hAnsi="Times New Roman" w:eastAsia="仿宋" w:cs="宋体"/>
          <w:kern w:val="0"/>
          <w:szCs w:val="24"/>
        </w:rPr>
        <w:t>上限的</w:t>
      </w:r>
      <w:r>
        <w:rPr>
          <w:rFonts w:hint="eastAsia" w:ascii="Times New Roman" w:hAnsi="Times New Roman" w:eastAsia="仿宋" w:cs="宋体"/>
          <w:kern w:val="0"/>
          <w:szCs w:val="24"/>
        </w:rPr>
        <w:t>地区</w:t>
      </w:r>
      <w:r>
        <w:rPr>
          <w:rFonts w:ascii="Times New Roman" w:hAnsi="Times New Roman" w:eastAsia="仿宋" w:cs="宋体"/>
          <w:kern w:val="0"/>
          <w:szCs w:val="24"/>
        </w:rPr>
        <w:t>进行</w:t>
      </w:r>
      <w:r>
        <w:rPr>
          <w:rFonts w:hint="eastAsia" w:ascii="Times New Roman" w:hAnsi="Times New Roman" w:eastAsia="仿宋" w:cs="宋体"/>
          <w:kern w:val="0"/>
          <w:szCs w:val="24"/>
        </w:rPr>
        <w:t>“缩尾”处理：如当某</w:t>
      </w:r>
      <w:r>
        <w:rPr>
          <w:rFonts w:ascii="Times New Roman" w:hAnsi="Times New Roman" w:eastAsia="仿宋" w:cs="宋体"/>
          <w:kern w:val="0"/>
          <w:szCs w:val="24"/>
        </w:rPr>
        <w:t>地区基准年</w:t>
      </w:r>
      <w:r>
        <w:rPr>
          <w:rFonts w:hint="eastAsia" w:ascii="Times New Roman" w:hAnsi="Times New Roman" w:eastAsia="仿宋" w:cs="宋体"/>
          <w:kern w:val="0"/>
          <w:szCs w:val="24"/>
        </w:rPr>
        <w:t>（2011年</w:t>
      </w:r>
      <w:r>
        <w:rPr>
          <w:rFonts w:ascii="Times New Roman" w:hAnsi="Times New Roman" w:eastAsia="仿宋" w:cs="宋体"/>
          <w:kern w:val="0"/>
          <w:szCs w:val="24"/>
        </w:rPr>
        <w:t>）</w:t>
      </w:r>
      <w:r>
        <w:rPr>
          <w:rFonts w:hint="eastAsia" w:ascii="Times New Roman" w:hAnsi="Times New Roman" w:eastAsia="仿宋" w:cs="宋体"/>
          <w:kern w:val="0"/>
          <w:szCs w:val="24"/>
        </w:rPr>
        <w:t>的指标值</w:t>
      </w:r>
      <w:r>
        <w:rPr>
          <w:rFonts w:ascii="Times New Roman" w:hAnsi="Times New Roman" w:eastAsia="仿宋" w:cs="宋体"/>
          <w:kern w:val="0"/>
          <w:szCs w:val="24"/>
        </w:rPr>
        <w:t>超过</w:t>
      </w:r>
      <w:r>
        <w:rPr>
          <w:rFonts w:hint="eastAsia" w:ascii="Times New Roman" w:hAnsi="Times New Roman" w:eastAsia="仿宋" w:cs="宋体"/>
          <w:kern w:val="0"/>
          <w:szCs w:val="24"/>
        </w:rPr>
        <w:t>该指标</w:t>
      </w:r>
      <w:r>
        <w:rPr>
          <w:rFonts w:ascii="Times New Roman" w:hAnsi="Times New Roman" w:eastAsia="仿宋" w:cs="宋体"/>
          <w:kern w:val="0"/>
          <w:szCs w:val="24"/>
        </w:rPr>
        <w:t>的上限</w:t>
      </w:r>
      <w:r>
        <w:rPr>
          <w:rFonts w:ascii="Times New Roman" w:hAnsi="Times New Roman" w:eastAsia="仿宋" w:cs="宋体"/>
          <w:kern w:val="0"/>
          <w:position w:val="-4"/>
          <w:szCs w:val="24"/>
        </w:rPr>
        <w:object>
          <v:shape id="_x0000_i1030" o:spt="75" type="#_x0000_t75" style="height:15.4pt;width:20.4pt;" o:ole="t" filled="f" o:preferrelative="t" stroked="f" coordsize="21600,21600">
            <v:path/>
            <v:fill on="f" focussize="0,0"/>
            <v:stroke on="f" joinstyle="miter"/>
            <v:imagedata r:id="rId10" o:title=""/>
            <o:lock v:ext="edit" aspectratio="t"/>
            <w10:wrap type="none"/>
            <w10:anchorlock/>
          </v:shape>
          <o:OLEObject Type="Embed" ProgID="Equation.DSMT4" ShapeID="_x0000_i1030" DrawAspect="Content" ObjectID="_1468075730" r:id="rId15">
            <o:LockedField>false</o:LockedField>
          </o:OLEObject>
        </w:object>
      </w:r>
      <w:r>
        <w:rPr>
          <w:rFonts w:hint="eastAsia" w:ascii="Times New Roman" w:hAnsi="Times New Roman" w:eastAsia="仿宋" w:cs="宋体"/>
          <w:kern w:val="0"/>
          <w:szCs w:val="24"/>
        </w:rPr>
        <w:t>时，则</w:t>
      </w:r>
      <w:r>
        <w:rPr>
          <w:rFonts w:ascii="Times New Roman" w:hAnsi="Times New Roman" w:eastAsia="仿宋" w:cs="宋体"/>
          <w:kern w:val="0"/>
          <w:szCs w:val="24"/>
        </w:rPr>
        <w:t>令</w:t>
      </w:r>
      <w:r>
        <w:rPr>
          <w:rFonts w:hint="eastAsia" w:ascii="Times New Roman" w:hAnsi="Times New Roman" w:eastAsia="仿宋" w:cs="宋体"/>
          <w:kern w:val="0"/>
          <w:szCs w:val="24"/>
        </w:rPr>
        <w:t>该</w:t>
      </w:r>
      <w:r>
        <w:rPr>
          <w:rFonts w:ascii="Times New Roman" w:hAnsi="Times New Roman" w:eastAsia="仿宋" w:cs="宋体"/>
          <w:kern w:val="0"/>
          <w:szCs w:val="24"/>
        </w:rPr>
        <w:t>地区</w:t>
      </w:r>
      <w:r>
        <w:rPr>
          <w:rFonts w:hint="eastAsia" w:ascii="Times New Roman" w:hAnsi="Times New Roman" w:eastAsia="仿宋" w:cs="宋体"/>
          <w:kern w:val="0"/>
          <w:szCs w:val="24"/>
        </w:rPr>
        <w:t>2011年</w:t>
      </w:r>
      <w:r>
        <w:rPr>
          <w:rFonts w:ascii="Times New Roman" w:hAnsi="Times New Roman" w:eastAsia="仿宋" w:cs="宋体"/>
          <w:kern w:val="0"/>
          <w:szCs w:val="24"/>
        </w:rPr>
        <w:t>指标值为上限值</w:t>
      </w:r>
      <w:r>
        <w:rPr>
          <w:rFonts w:ascii="Times New Roman" w:hAnsi="Times New Roman" w:eastAsia="仿宋" w:cs="宋体"/>
          <w:kern w:val="0"/>
          <w:position w:val="-4"/>
          <w:szCs w:val="24"/>
        </w:rPr>
        <w:object>
          <v:shape id="_x0000_i1031" o:spt="75" type="#_x0000_t75" style="height:15.4pt;width:20.4pt;" o:ole="t" filled="f" o:preferrelative="t" stroked="f" coordsize="21600,21600">
            <v:path/>
            <v:fill on="f" focussize="0,0"/>
            <v:stroke on="f" joinstyle="miter"/>
            <v:imagedata r:id="rId10" o:title=""/>
            <o:lock v:ext="edit" aspectratio="t"/>
            <w10:wrap type="none"/>
            <w10:anchorlock/>
          </v:shape>
          <o:OLEObject Type="Embed" ProgID="Equation.DSMT4" ShapeID="_x0000_i1031" DrawAspect="Content" ObjectID="_1468075731" r:id="rId16">
            <o:LockedField>false</o:LockedField>
          </o:OLEObject>
        </w:object>
      </w:r>
      <w:r>
        <w:rPr>
          <w:rFonts w:hint="eastAsia" w:ascii="Times New Roman" w:hAnsi="Times New Roman" w:eastAsia="仿宋" w:cs="宋体"/>
          <w:kern w:val="0"/>
          <w:szCs w:val="24"/>
        </w:rPr>
        <w:t>，当</w:t>
      </w:r>
      <w:r>
        <w:rPr>
          <w:rFonts w:ascii="Times New Roman" w:hAnsi="Times New Roman" w:eastAsia="仿宋" w:cs="宋体"/>
          <w:kern w:val="0"/>
          <w:szCs w:val="24"/>
        </w:rPr>
        <w:t>某地区</w:t>
      </w:r>
      <w:r>
        <w:rPr>
          <w:rFonts w:hint="eastAsia" w:ascii="Times New Roman" w:hAnsi="Times New Roman" w:eastAsia="仿宋" w:cs="宋体"/>
          <w:kern w:val="0"/>
          <w:szCs w:val="24"/>
        </w:rPr>
        <w:t>2011年</w:t>
      </w:r>
      <w:r>
        <w:rPr>
          <w:rFonts w:ascii="Times New Roman" w:hAnsi="Times New Roman" w:eastAsia="仿宋" w:cs="宋体"/>
          <w:kern w:val="0"/>
          <w:szCs w:val="24"/>
        </w:rPr>
        <w:t>的</w:t>
      </w:r>
      <w:r>
        <w:rPr>
          <w:rFonts w:hint="eastAsia" w:ascii="Times New Roman" w:hAnsi="Times New Roman" w:eastAsia="仿宋" w:cs="宋体"/>
          <w:kern w:val="0"/>
          <w:szCs w:val="24"/>
        </w:rPr>
        <w:t>指标值</w:t>
      </w:r>
      <w:r>
        <w:rPr>
          <w:rFonts w:ascii="Times New Roman" w:hAnsi="Times New Roman" w:eastAsia="仿宋" w:cs="宋体"/>
          <w:kern w:val="0"/>
          <w:szCs w:val="24"/>
        </w:rPr>
        <w:t>小于其下限</w:t>
      </w:r>
      <w:r>
        <w:rPr>
          <w:rFonts w:ascii="Times New Roman" w:hAnsi="Times New Roman" w:eastAsia="仿宋" w:cs="宋体"/>
          <w:kern w:val="0"/>
          <w:position w:val="-4"/>
          <w:szCs w:val="24"/>
        </w:rPr>
        <w:object>
          <v:shape id="_x0000_i1032" o:spt="75" type="#_x0000_t75" style="height:15.4pt;width:15.4pt;" o:ole="t" filled="f" o:preferrelative="t" stroked="f" coordsize="21600,21600">
            <v:path/>
            <v:fill on="f" focussize="0,0"/>
            <v:stroke on="f" joinstyle="miter"/>
            <v:imagedata r:id="rId12" o:title=""/>
            <o:lock v:ext="edit" aspectratio="t"/>
            <w10:wrap type="none"/>
            <w10:anchorlock/>
          </v:shape>
          <o:OLEObject Type="Embed" ProgID="Equation.DSMT4" ShapeID="_x0000_i1032" DrawAspect="Content" ObjectID="_1468075732" r:id="rId17">
            <o:LockedField>false</o:LockedField>
          </o:OLEObject>
        </w:object>
      </w:r>
      <w:r>
        <w:rPr>
          <w:rFonts w:hint="eastAsia" w:ascii="Times New Roman" w:hAnsi="Times New Roman" w:eastAsia="仿宋" w:cs="宋体"/>
          <w:kern w:val="0"/>
          <w:szCs w:val="24"/>
        </w:rPr>
        <w:t>时</w:t>
      </w:r>
      <w:r>
        <w:rPr>
          <w:rFonts w:ascii="Times New Roman" w:hAnsi="Times New Roman" w:eastAsia="仿宋" w:cs="宋体"/>
          <w:kern w:val="0"/>
          <w:szCs w:val="24"/>
        </w:rPr>
        <w:t>，</w:t>
      </w:r>
      <w:r>
        <w:rPr>
          <w:rFonts w:hint="eastAsia" w:ascii="Times New Roman" w:hAnsi="Times New Roman" w:eastAsia="仿宋" w:cs="宋体"/>
          <w:kern w:val="0"/>
          <w:szCs w:val="24"/>
        </w:rPr>
        <w:t>则</w:t>
      </w:r>
      <w:r>
        <w:rPr>
          <w:rFonts w:ascii="Times New Roman" w:hAnsi="Times New Roman" w:eastAsia="仿宋" w:cs="宋体"/>
          <w:kern w:val="0"/>
          <w:szCs w:val="24"/>
        </w:rPr>
        <w:t>令该</w:t>
      </w:r>
      <w:r>
        <w:rPr>
          <w:rFonts w:hint="eastAsia" w:ascii="Times New Roman" w:hAnsi="Times New Roman" w:eastAsia="仿宋" w:cs="宋体"/>
          <w:kern w:val="0"/>
          <w:szCs w:val="24"/>
        </w:rPr>
        <w:t>地区2011年</w:t>
      </w:r>
      <w:r>
        <w:rPr>
          <w:rFonts w:ascii="Times New Roman" w:hAnsi="Times New Roman" w:eastAsia="仿宋" w:cs="宋体"/>
          <w:kern w:val="0"/>
          <w:szCs w:val="24"/>
        </w:rPr>
        <w:t>指标</w:t>
      </w:r>
      <w:r>
        <w:rPr>
          <w:rFonts w:hint="eastAsia" w:ascii="Times New Roman" w:hAnsi="Times New Roman" w:eastAsia="仿宋" w:cs="宋体"/>
          <w:kern w:val="0"/>
          <w:szCs w:val="24"/>
        </w:rPr>
        <w:t>值</w:t>
      </w:r>
      <w:r>
        <w:rPr>
          <w:rFonts w:ascii="Times New Roman" w:hAnsi="Times New Roman" w:eastAsia="仿宋" w:cs="宋体"/>
          <w:kern w:val="0"/>
          <w:szCs w:val="24"/>
        </w:rPr>
        <w:t>为其下限值</w:t>
      </w:r>
      <w:r>
        <w:rPr>
          <w:rFonts w:ascii="Times New Roman" w:hAnsi="Times New Roman" w:eastAsia="仿宋" w:cs="宋体"/>
          <w:kern w:val="0"/>
          <w:position w:val="-4"/>
          <w:szCs w:val="24"/>
        </w:rPr>
        <w:object>
          <v:shape id="_x0000_i1033" o:spt="75" type="#_x0000_t75" style="height:15.4pt;width:15.4pt;" o:ole="t" filled="f" o:preferrelative="t" stroked="f" coordsize="21600,21600">
            <v:path/>
            <v:fill on="f" focussize="0,0"/>
            <v:stroke on="f" joinstyle="miter"/>
            <v:imagedata r:id="rId12" o:title=""/>
            <o:lock v:ext="edit" aspectratio="t"/>
            <w10:wrap type="none"/>
            <w10:anchorlock/>
          </v:shape>
          <o:OLEObject Type="Embed" ProgID="Equation.DSMT4" ShapeID="_x0000_i1033" DrawAspect="Content" ObjectID="_1468075733" r:id="rId18">
            <o:LockedField>false</o:LockedField>
          </o:OLEObject>
        </w:object>
      </w:r>
      <w:r>
        <w:rPr>
          <w:rFonts w:hint="eastAsia" w:ascii="Times New Roman" w:hAnsi="Times New Roman" w:eastAsia="仿宋" w:cs="宋体"/>
          <w:kern w:val="0"/>
          <w:szCs w:val="24"/>
        </w:rPr>
        <w:t>。</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根据上述方法，我们就可以计算出某年某地区某指标无量纲化后的数值，在基准年（省级和地市级基准年为</w:t>
      </w:r>
      <w:r>
        <w:rPr>
          <w:rFonts w:ascii="Times New Roman" w:hAnsi="Times New Roman" w:eastAsia="仿宋" w:cs="宋体"/>
          <w:kern w:val="0"/>
          <w:szCs w:val="24"/>
        </w:rPr>
        <w:t>2011</w:t>
      </w:r>
      <w:r>
        <w:rPr>
          <w:rFonts w:hint="eastAsia" w:ascii="Times New Roman" w:hAnsi="Times New Roman" w:eastAsia="仿宋" w:cs="宋体"/>
          <w:kern w:val="0"/>
          <w:szCs w:val="24"/>
        </w:rPr>
        <w:t>年，县域则以</w:t>
      </w:r>
      <w:r>
        <w:rPr>
          <w:rFonts w:ascii="Times New Roman" w:hAnsi="Times New Roman" w:eastAsia="仿宋" w:cs="宋体"/>
          <w:kern w:val="0"/>
          <w:szCs w:val="24"/>
        </w:rPr>
        <w:t>2014</w:t>
      </w:r>
      <w:r>
        <w:rPr>
          <w:rFonts w:hint="eastAsia" w:ascii="Times New Roman" w:hAnsi="Times New Roman" w:eastAsia="仿宋" w:cs="宋体"/>
          <w:kern w:val="0"/>
          <w:szCs w:val="24"/>
        </w:rPr>
        <w:t>年为基准年），每个相应指标的无量纲化数值得分区间在</w:t>
      </w:r>
      <w:r>
        <w:rPr>
          <w:rFonts w:ascii="Times New Roman" w:hAnsi="Times New Roman" w:eastAsia="仿宋" w:cs="宋体"/>
          <w:kern w:val="0"/>
          <w:szCs w:val="24"/>
        </w:rPr>
        <w:t>0</w:t>
      </w:r>
      <w:r>
        <w:rPr>
          <w:rFonts w:hint="eastAsia" w:ascii="Times New Roman" w:hAnsi="Times New Roman" w:eastAsia="仿宋" w:cs="宋体"/>
          <w:kern w:val="0"/>
          <w:szCs w:val="24"/>
        </w:rPr>
        <w:t>和1</w:t>
      </w:r>
      <w:r>
        <w:rPr>
          <w:rFonts w:ascii="Times New Roman" w:hAnsi="Times New Roman" w:eastAsia="仿宋" w:cs="宋体"/>
          <w:kern w:val="0"/>
          <w:szCs w:val="24"/>
        </w:rPr>
        <w:t>00</w:t>
      </w:r>
      <w:r>
        <w:rPr>
          <w:rFonts w:hint="eastAsia" w:ascii="Times New Roman" w:hAnsi="Times New Roman" w:eastAsia="仿宋" w:cs="宋体"/>
          <w:kern w:val="0"/>
          <w:szCs w:val="24"/>
        </w:rPr>
        <w:t>之间，得分越高的地区，相应指标的发展水平就越高。基准年之后年份的数据，指标的功效分值有可能小于</w:t>
      </w:r>
      <w:r>
        <w:rPr>
          <w:rFonts w:ascii="Times New Roman" w:hAnsi="Times New Roman" w:eastAsia="仿宋" w:cs="宋体"/>
          <w:kern w:val="0"/>
          <w:szCs w:val="24"/>
        </w:rPr>
        <w:t>0</w:t>
      </w:r>
      <w:r>
        <w:rPr>
          <w:rFonts w:hint="eastAsia" w:ascii="Times New Roman" w:hAnsi="Times New Roman" w:eastAsia="仿宋" w:cs="宋体"/>
          <w:kern w:val="0"/>
          <w:szCs w:val="24"/>
        </w:rPr>
        <w:t>或大于</w:t>
      </w:r>
      <w:r>
        <w:rPr>
          <w:rFonts w:ascii="Times New Roman" w:hAnsi="Times New Roman" w:eastAsia="仿宋" w:cs="宋体"/>
          <w:kern w:val="0"/>
          <w:szCs w:val="24"/>
        </w:rPr>
        <w:t>100</w:t>
      </w:r>
      <w:r>
        <w:rPr>
          <w:rFonts w:hint="eastAsia" w:ascii="Times New Roman" w:hAnsi="Times New Roman" w:eastAsia="仿宋" w:cs="宋体"/>
          <w:kern w:val="0"/>
          <w:szCs w:val="24"/>
        </w:rPr>
        <w:t>。</w:t>
      </w:r>
    </w:p>
    <w:p>
      <w:pPr>
        <w:spacing w:before="100" w:beforeAutospacing="1" w:after="100" w:afterAutospacing="1"/>
        <w:ind w:firstLine="420" w:firstLineChars="200"/>
        <w:rPr>
          <w:rFonts w:ascii="Times New Roman" w:hAnsi="Times New Roman" w:eastAsia="仿宋"/>
          <w:szCs w:val="24"/>
        </w:rPr>
      </w:pPr>
      <w:bookmarkStart w:id="18" w:name="_Toc330317097"/>
      <w:bookmarkStart w:id="19" w:name="_Toc5714003"/>
      <w:r>
        <w:rPr>
          <w:rFonts w:hint="eastAsia" w:ascii="Times New Roman" w:hAnsi="Times New Roman" w:eastAsia="仿宋"/>
          <w:szCs w:val="24"/>
        </w:rPr>
        <w:t>（三）</w:t>
      </w:r>
      <w:r>
        <w:rPr>
          <w:rFonts w:ascii="Times New Roman" w:hAnsi="Times New Roman" w:eastAsia="仿宋"/>
          <w:szCs w:val="24"/>
        </w:rPr>
        <w:t>层次分析法</w:t>
      </w:r>
      <w:bookmarkEnd w:id="18"/>
      <w:bookmarkEnd w:id="19"/>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指标无量纲化之后的任务就是确定不同指标合成时的权重</w:t>
      </w:r>
      <w:r>
        <w:rPr>
          <w:rFonts w:ascii="Times New Roman" w:hAnsi="Times New Roman" w:eastAsia="仿宋" w:cs="宋体"/>
          <w:kern w:val="0"/>
          <w:szCs w:val="24"/>
        </w:rPr>
        <w:t>。确定</w:t>
      </w:r>
      <w:r>
        <w:rPr>
          <w:rFonts w:hint="eastAsia" w:ascii="Times New Roman" w:hAnsi="Times New Roman" w:eastAsia="仿宋" w:cs="宋体"/>
          <w:kern w:val="0"/>
          <w:szCs w:val="24"/>
        </w:rPr>
        <w:t>权重</w:t>
      </w:r>
      <w:r>
        <w:rPr>
          <w:rFonts w:ascii="Times New Roman" w:hAnsi="Times New Roman" w:eastAsia="仿宋" w:cs="宋体"/>
          <w:kern w:val="0"/>
          <w:szCs w:val="24"/>
        </w:rPr>
        <w:t>的方法有很多，</w:t>
      </w:r>
      <w:r>
        <w:rPr>
          <w:rFonts w:hint="eastAsia" w:ascii="Times New Roman" w:hAnsi="Times New Roman" w:eastAsia="仿宋" w:cs="宋体"/>
          <w:kern w:val="0"/>
          <w:szCs w:val="24"/>
        </w:rPr>
        <w:t>根据计算</w:t>
      </w:r>
      <w:r>
        <w:rPr>
          <w:rFonts w:ascii="Times New Roman" w:hAnsi="Times New Roman" w:eastAsia="仿宋" w:cs="宋体"/>
          <w:kern w:val="0"/>
          <w:szCs w:val="24"/>
        </w:rPr>
        <w:t>权重时原始数据的来源不同，大体</w:t>
      </w:r>
      <w:r>
        <w:rPr>
          <w:rFonts w:hint="eastAsia" w:ascii="Times New Roman" w:hAnsi="Times New Roman" w:eastAsia="仿宋" w:cs="宋体"/>
          <w:kern w:val="0"/>
          <w:szCs w:val="24"/>
        </w:rPr>
        <w:t>上</w:t>
      </w:r>
      <w:r>
        <w:rPr>
          <w:rFonts w:ascii="Times New Roman" w:hAnsi="Times New Roman" w:eastAsia="仿宋" w:cs="宋体"/>
          <w:kern w:val="0"/>
          <w:szCs w:val="24"/>
        </w:rPr>
        <w:t>可分为</w:t>
      </w:r>
      <w:r>
        <w:rPr>
          <w:rFonts w:hint="eastAsia" w:ascii="Times New Roman" w:hAnsi="Times New Roman" w:eastAsia="仿宋" w:cs="宋体"/>
          <w:kern w:val="0"/>
          <w:szCs w:val="24"/>
        </w:rPr>
        <w:t>主观</w:t>
      </w:r>
      <w:r>
        <w:rPr>
          <w:rFonts w:ascii="Times New Roman" w:hAnsi="Times New Roman" w:eastAsia="仿宋" w:cs="宋体"/>
          <w:kern w:val="0"/>
          <w:szCs w:val="24"/>
        </w:rPr>
        <w:t>赋权法和客观赋权法两大类。主观</w:t>
      </w:r>
      <w:r>
        <w:rPr>
          <w:rFonts w:hint="eastAsia" w:ascii="Times New Roman" w:hAnsi="Times New Roman" w:eastAsia="仿宋" w:cs="宋体"/>
          <w:kern w:val="0"/>
          <w:szCs w:val="24"/>
        </w:rPr>
        <w:t>赋权法</w:t>
      </w:r>
      <w:r>
        <w:rPr>
          <w:rFonts w:ascii="Times New Roman" w:hAnsi="Times New Roman" w:eastAsia="仿宋" w:cs="宋体"/>
          <w:kern w:val="0"/>
          <w:szCs w:val="24"/>
        </w:rPr>
        <w:t>主要由专家根据经验主观判断而得到</w:t>
      </w:r>
      <w:r>
        <w:rPr>
          <w:rFonts w:hint="eastAsia" w:ascii="Times New Roman" w:hAnsi="Times New Roman" w:eastAsia="仿宋" w:cs="宋体"/>
          <w:kern w:val="0"/>
          <w:szCs w:val="24"/>
        </w:rPr>
        <w:t>，</w:t>
      </w:r>
      <w:r>
        <w:rPr>
          <w:rFonts w:ascii="Times New Roman" w:hAnsi="Times New Roman" w:eastAsia="仿宋" w:cs="宋体"/>
          <w:kern w:val="0"/>
          <w:szCs w:val="24"/>
        </w:rPr>
        <w:t>如Delphi</w:t>
      </w:r>
      <w:r>
        <w:rPr>
          <w:rFonts w:hint="eastAsia" w:ascii="Times New Roman" w:hAnsi="Times New Roman" w:eastAsia="仿宋" w:cs="宋体"/>
          <w:kern w:val="0"/>
          <w:szCs w:val="24"/>
        </w:rPr>
        <w:t>法</w:t>
      </w:r>
      <w:r>
        <w:rPr>
          <w:rFonts w:ascii="Times New Roman" w:hAnsi="Times New Roman" w:eastAsia="仿宋" w:cs="宋体"/>
          <w:kern w:val="0"/>
          <w:szCs w:val="24"/>
        </w:rPr>
        <w:t>，</w:t>
      </w:r>
      <w:r>
        <w:rPr>
          <w:rFonts w:hint="eastAsia" w:ascii="Times New Roman" w:hAnsi="Times New Roman" w:eastAsia="仿宋" w:cs="宋体"/>
          <w:kern w:val="0"/>
          <w:szCs w:val="24"/>
        </w:rPr>
        <w:t>层次</w:t>
      </w:r>
      <w:r>
        <w:rPr>
          <w:rFonts w:ascii="Times New Roman" w:hAnsi="Times New Roman" w:eastAsia="仿宋" w:cs="宋体"/>
          <w:kern w:val="0"/>
          <w:szCs w:val="24"/>
        </w:rPr>
        <w:t>分析法</w:t>
      </w:r>
      <w:r>
        <w:rPr>
          <w:rFonts w:hint="eastAsia" w:ascii="Times New Roman" w:hAnsi="Times New Roman" w:eastAsia="仿宋" w:cs="宋体"/>
          <w:kern w:val="0"/>
          <w:szCs w:val="24"/>
        </w:rPr>
        <w:t>（</w:t>
      </w:r>
      <w:r>
        <w:rPr>
          <w:rFonts w:ascii="Times New Roman" w:hAnsi="Times New Roman" w:eastAsia="仿宋" w:cs="宋体"/>
          <w:kern w:val="0"/>
          <w:szCs w:val="24"/>
        </w:rPr>
        <w:t>Analytic Hierarchy Process</w:t>
      </w:r>
      <w:r>
        <w:rPr>
          <w:rFonts w:hint="eastAsia" w:ascii="Times New Roman" w:hAnsi="Times New Roman" w:eastAsia="仿宋" w:cs="宋体"/>
          <w:kern w:val="0"/>
          <w:szCs w:val="24"/>
        </w:rPr>
        <w:t>）</w:t>
      </w:r>
      <w:r>
        <w:rPr>
          <w:rFonts w:ascii="Times New Roman" w:hAnsi="Times New Roman" w:eastAsia="仿宋" w:cs="宋体"/>
          <w:kern w:val="0"/>
          <w:szCs w:val="24"/>
        </w:rPr>
        <w:t>等</w:t>
      </w:r>
      <w:r>
        <w:rPr>
          <w:rFonts w:hint="eastAsia" w:ascii="Times New Roman" w:hAnsi="Times New Roman" w:eastAsia="仿宋" w:cs="宋体"/>
          <w:kern w:val="0"/>
          <w:szCs w:val="24"/>
        </w:rPr>
        <w:t>；</w:t>
      </w:r>
      <w:r>
        <w:rPr>
          <w:rFonts w:ascii="Times New Roman" w:hAnsi="Times New Roman" w:eastAsia="仿宋" w:cs="宋体"/>
          <w:kern w:val="0"/>
          <w:szCs w:val="24"/>
        </w:rPr>
        <w:t>客观</w:t>
      </w:r>
      <w:r>
        <w:rPr>
          <w:rFonts w:hint="eastAsia" w:ascii="Times New Roman" w:hAnsi="Times New Roman" w:eastAsia="仿宋" w:cs="宋体"/>
          <w:kern w:val="0"/>
          <w:szCs w:val="24"/>
        </w:rPr>
        <w:t>赋权</w:t>
      </w:r>
      <w:r>
        <w:rPr>
          <w:rFonts w:ascii="Times New Roman" w:hAnsi="Times New Roman" w:eastAsia="仿宋" w:cs="宋体"/>
          <w:kern w:val="0"/>
          <w:szCs w:val="24"/>
        </w:rPr>
        <w:t>法</w:t>
      </w:r>
      <w:r>
        <w:rPr>
          <w:rFonts w:hint="eastAsia" w:ascii="Times New Roman" w:hAnsi="Times New Roman" w:eastAsia="仿宋" w:cs="宋体"/>
          <w:kern w:val="0"/>
          <w:szCs w:val="24"/>
        </w:rPr>
        <w:t>主要</w:t>
      </w:r>
      <w:r>
        <w:rPr>
          <w:rFonts w:ascii="Times New Roman" w:hAnsi="Times New Roman" w:eastAsia="仿宋" w:cs="宋体"/>
          <w:kern w:val="0"/>
          <w:szCs w:val="24"/>
        </w:rPr>
        <w:t>是</w:t>
      </w:r>
      <w:r>
        <w:rPr>
          <w:rFonts w:hint="eastAsia" w:ascii="Times New Roman" w:hAnsi="Times New Roman" w:eastAsia="仿宋" w:cs="宋体"/>
          <w:kern w:val="0"/>
          <w:szCs w:val="24"/>
        </w:rPr>
        <w:t>依据</w:t>
      </w:r>
      <w:r>
        <w:rPr>
          <w:rFonts w:ascii="Times New Roman" w:hAnsi="Times New Roman" w:eastAsia="仿宋" w:cs="宋体"/>
          <w:kern w:val="0"/>
          <w:szCs w:val="24"/>
        </w:rPr>
        <w:t>各指标的具体数值计算而得到，</w:t>
      </w:r>
      <w:r>
        <w:rPr>
          <w:rFonts w:hint="eastAsia" w:ascii="Times New Roman" w:hAnsi="Times New Roman" w:eastAsia="仿宋" w:cs="宋体"/>
          <w:kern w:val="0"/>
          <w:szCs w:val="24"/>
        </w:rPr>
        <w:t>它</w:t>
      </w:r>
      <w:r>
        <w:rPr>
          <w:rFonts w:ascii="Times New Roman" w:hAnsi="Times New Roman" w:eastAsia="仿宋" w:cs="宋体"/>
          <w:kern w:val="0"/>
          <w:szCs w:val="24"/>
        </w:rPr>
        <w:t>不依赖于人的</w:t>
      </w:r>
      <w:r>
        <w:rPr>
          <w:rFonts w:hint="eastAsia" w:ascii="Times New Roman" w:hAnsi="Times New Roman" w:eastAsia="仿宋" w:cs="宋体"/>
          <w:kern w:val="0"/>
          <w:szCs w:val="24"/>
        </w:rPr>
        <w:t>主观</w:t>
      </w:r>
      <w:r>
        <w:rPr>
          <w:rFonts w:ascii="Times New Roman" w:hAnsi="Times New Roman" w:eastAsia="仿宋" w:cs="宋体"/>
          <w:kern w:val="0"/>
          <w:szCs w:val="24"/>
        </w:rPr>
        <w:t>判断，因此客观性较强，</w:t>
      </w:r>
      <w:r>
        <w:rPr>
          <w:rFonts w:hint="eastAsia" w:ascii="Times New Roman" w:hAnsi="Times New Roman" w:eastAsia="仿宋" w:cs="宋体"/>
          <w:kern w:val="0"/>
          <w:szCs w:val="24"/>
        </w:rPr>
        <w:t>但</w:t>
      </w:r>
      <w:r>
        <w:rPr>
          <w:rFonts w:ascii="Times New Roman" w:hAnsi="Times New Roman" w:eastAsia="仿宋" w:cs="宋体"/>
          <w:kern w:val="0"/>
          <w:szCs w:val="24"/>
        </w:rPr>
        <w:t>不能反映决策者的</w:t>
      </w:r>
      <w:r>
        <w:rPr>
          <w:rFonts w:hint="eastAsia" w:ascii="Times New Roman" w:hAnsi="Times New Roman" w:eastAsia="仿宋" w:cs="宋体"/>
          <w:kern w:val="0"/>
          <w:szCs w:val="24"/>
        </w:rPr>
        <w:t>主观</w:t>
      </w:r>
      <w:r>
        <w:rPr>
          <w:rFonts w:ascii="Times New Roman" w:hAnsi="Times New Roman" w:eastAsia="仿宋" w:cs="宋体"/>
          <w:kern w:val="0"/>
          <w:szCs w:val="24"/>
        </w:rPr>
        <w:t>要求</w:t>
      </w:r>
      <w:r>
        <w:rPr>
          <w:rFonts w:hint="eastAsia" w:ascii="Times New Roman" w:hAnsi="Times New Roman" w:eastAsia="仿宋" w:cs="宋体"/>
          <w:kern w:val="0"/>
          <w:szCs w:val="24"/>
        </w:rPr>
        <w:t>，常见方法包括</w:t>
      </w:r>
      <w:r>
        <w:rPr>
          <w:rFonts w:ascii="Times New Roman" w:hAnsi="Times New Roman" w:eastAsia="仿宋" w:cs="宋体"/>
          <w:kern w:val="0"/>
          <w:szCs w:val="24"/>
        </w:rPr>
        <w:t>主成分分析法、变异系数法等。</w:t>
      </w:r>
      <w:r>
        <w:rPr>
          <w:rFonts w:hint="eastAsia" w:ascii="Times New Roman" w:hAnsi="Times New Roman" w:eastAsia="仿宋" w:cs="宋体"/>
          <w:kern w:val="0"/>
          <w:szCs w:val="24"/>
        </w:rPr>
        <w:t>主观</w:t>
      </w:r>
      <w:r>
        <w:rPr>
          <w:rFonts w:ascii="Times New Roman" w:hAnsi="Times New Roman" w:eastAsia="仿宋" w:cs="宋体"/>
          <w:kern w:val="0"/>
          <w:szCs w:val="24"/>
        </w:rPr>
        <w:t>赋权法和客观赋权法</w:t>
      </w:r>
      <w:r>
        <w:rPr>
          <w:rFonts w:hint="eastAsia" w:ascii="Times New Roman" w:hAnsi="Times New Roman" w:eastAsia="仿宋" w:cs="宋体"/>
          <w:kern w:val="0"/>
          <w:szCs w:val="24"/>
        </w:rPr>
        <w:t>各有</w:t>
      </w:r>
      <w:r>
        <w:rPr>
          <w:rFonts w:ascii="Times New Roman" w:hAnsi="Times New Roman" w:eastAsia="仿宋" w:cs="宋体"/>
          <w:kern w:val="0"/>
          <w:szCs w:val="24"/>
        </w:rPr>
        <w:t>优劣，</w:t>
      </w:r>
      <w:r>
        <w:rPr>
          <w:rFonts w:hint="eastAsia" w:ascii="Times New Roman" w:hAnsi="Times New Roman" w:eastAsia="仿宋" w:cs="宋体"/>
          <w:kern w:val="0"/>
          <w:szCs w:val="24"/>
        </w:rPr>
        <w:t>本文</w:t>
      </w:r>
      <w:r>
        <w:rPr>
          <w:rFonts w:ascii="Times New Roman" w:hAnsi="Times New Roman" w:eastAsia="仿宋" w:cs="宋体"/>
          <w:kern w:val="0"/>
          <w:szCs w:val="24"/>
        </w:rPr>
        <w:t>采用</w:t>
      </w:r>
      <w:r>
        <w:rPr>
          <w:rFonts w:hint="eastAsia" w:ascii="Times New Roman" w:hAnsi="Times New Roman" w:eastAsia="仿宋" w:cs="宋体"/>
          <w:kern w:val="0"/>
          <w:szCs w:val="24"/>
        </w:rPr>
        <w:t>了主观</w:t>
      </w:r>
      <w:r>
        <w:rPr>
          <w:rFonts w:ascii="Times New Roman" w:hAnsi="Times New Roman" w:eastAsia="仿宋" w:cs="宋体"/>
          <w:kern w:val="0"/>
          <w:szCs w:val="24"/>
        </w:rPr>
        <w:t>赋权与客观赋权相结合的</w:t>
      </w:r>
      <w:r>
        <w:rPr>
          <w:rFonts w:hint="eastAsia" w:ascii="Times New Roman" w:hAnsi="Times New Roman" w:eastAsia="仿宋" w:cs="宋体"/>
          <w:kern w:val="0"/>
          <w:szCs w:val="24"/>
        </w:rPr>
        <w:t>方法来确定权重。具体而言，先利用变异系数法求各具体指标对上一层准则层的权重，再通过层次分析法求各准则层指标对上层目标的权重，最后求得总指数。</w:t>
      </w:r>
    </w:p>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变异</w:t>
      </w:r>
      <w:r>
        <w:rPr>
          <w:rFonts w:ascii="Times New Roman" w:hAnsi="Times New Roman" w:eastAsia="仿宋" w:cs="宋体"/>
          <w:kern w:val="0"/>
          <w:szCs w:val="24"/>
        </w:rPr>
        <w:t>系数法定</w:t>
      </w:r>
      <w:r>
        <w:rPr>
          <w:rFonts w:hint="eastAsia" w:ascii="Times New Roman" w:hAnsi="Times New Roman" w:eastAsia="仿宋" w:cs="宋体"/>
          <w:kern w:val="0"/>
          <w:szCs w:val="24"/>
        </w:rPr>
        <w:t>权重的基本思路是根据各个指标在所有评价对象上观测值的变异程度大小，对其进行赋权，如果一项指标的变异系数较大，那么说明这个指标在衡量该对象的差异上具有较大的解释力，则这个指标就应该赋予较大的权重。变异系数法的具体步骤这里就不展开了。而层次分析法是一种系统分析与决策的综合评价方法，它较合理地解决了定性问题定量化的处理过程。层次分析法的主要特点是通过建立递阶层次结构，把人们的判断转化为若干因素两两之间的重要性比较，从而把难于量化的定性判断转化为可操作的定量判断。“数字普惠金融体系”层面下的三个维度，我们认为数字金融覆盖广度是前提条件，使用深度代表实际使用情况，而数字化程</w:t>
      </w:r>
      <w:r>
        <w:rPr>
          <w:rFonts w:ascii="Times New Roman" w:hAnsi="Times New Roman" w:eastAsia="仿宋" w:cs="宋体"/>
          <w:kern w:val="0"/>
          <w:szCs w:val="24"/>
        </w:rPr>
        <w:t>度</w:t>
      </w:r>
      <w:r>
        <w:rPr>
          <w:rFonts w:hint="eastAsia" w:ascii="Times New Roman" w:hAnsi="Times New Roman" w:eastAsia="仿宋" w:cs="宋体"/>
          <w:kern w:val="0"/>
          <w:szCs w:val="24"/>
        </w:rPr>
        <w:t>可以被看作是</w:t>
      </w:r>
      <w:r>
        <w:rPr>
          <w:rFonts w:ascii="Times New Roman" w:hAnsi="Times New Roman" w:eastAsia="仿宋" w:cs="宋体"/>
          <w:kern w:val="0"/>
          <w:szCs w:val="24"/>
        </w:rPr>
        <w:t>潜在条件</w:t>
      </w:r>
      <w:r>
        <w:rPr>
          <w:rFonts w:hint="eastAsia" w:ascii="Times New Roman" w:hAnsi="Times New Roman" w:eastAsia="仿宋" w:cs="宋体"/>
          <w:kern w:val="0"/>
          <w:szCs w:val="24"/>
        </w:rPr>
        <w:t>。这里，</w:t>
      </w:r>
      <w:r>
        <w:rPr>
          <w:rFonts w:ascii="Times New Roman" w:hAnsi="Times New Roman" w:eastAsia="仿宋" w:cs="宋体"/>
          <w:kern w:val="0"/>
          <w:szCs w:val="24"/>
        </w:rPr>
        <w:t>前两者是</w:t>
      </w:r>
      <w:r>
        <w:rPr>
          <w:rFonts w:hint="eastAsia" w:ascii="Times New Roman" w:hAnsi="Times New Roman" w:eastAsia="仿宋" w:cs="宋体"/>
          <w:kern w:val="0"/>
          <w:szCs w:val="24"/>
        </w:rPr>
        <w:t>“普”的</w:t>
      </w:r>
      <w:r>
        <w:rPr>
          <w:rFonts w:ascii="Times New Roman" w:hAnsi="Times New Roman" w:eastAsia="仿宋" w:cs="宋体"/>
          <w:kern w:val="0"/>
          <w:szCs w:val="24"/>
        </w:rPr>
        <w:t>体现，后者是</w:t>
      </w:r>
      <w:r>
        <w:rPr>
          <w:rFonts w:hint="eastAsia" w:ascii="Times New Roman" w:hAnsi="Times New Roman" w:eastAsia="仿宋" w:cs="宋体"/>
          <w:kern w:val="0"/>
          <w:szCs w:val="24"/>
        </w:rPr>
        <w:t>“惠”的</w:t>
      </w:r>
      <w:r>
        <w:rPr>
          <w:rFonts w:ascii="Times New Roman" w:hAnsi="Times New Roman" w:eastAsia="仿宋" w:cs="宋体"/>
          <w:kern w:val="0"/>
          <w:szCs w:val="24"/>
        </w:rPr>
        <w:t>体现。</w:t>
      </w:r>
      <w:r>
        <w:rPr>
          <w:rFonts w:hint="eastAsia" w:ascii="Times New Roman" w:hAnsi="Times New Roman" w:eastAsia="仿宋" w:cs="宋体"/>
          <w:kern w:val="0"/>
          <w:szCs w:val="24"/>
        </w:rPr>
        <w:t>因此，根据这三者的相对重要性，我们</w:t>
      </w:r>
      <w:r>
        <w:rPr>
          <w:rFonts w:ascii="Times New Roman" w:hAnsi="Times New Roman" w:eastAsia="仿宋" w:cs="宋体"/>
          <w:kern w:val="0"/>
          <w:szCs w:val="24"/>
        </w:rPr>
        <w:t>构建了如</w:t>
      </w:r>
      <w:r>
        <w:rPr>
          <w:rFonts w:hint="eastAsia" w:ascii="Times New Roman" w:hAnsi="Times New Roman" w:eastAsia="仿宋" w:cs="宋体"/>
          <w:kern w:val="0"/>
          <w:szCs w:val="24"/>
        </w:rPr>
        <w:t>表2所示</w:t>
      </w:r>
      <w:r>
        <w:rPr>
          <w:rFonts w:ascii="Times New Roman" w:hAnsi="Times New Roman" w:eastAsia="仿宋" w:cs="宋体"/>
          <w:kern w:val="0"/>
          <w:szCs w:val="24"/>
        </w:rPr>
        <w:t>的判断矩阵</w:t>
      </w:r>
      <w:r>
        <w:rPr>
          <w:rFonts w:hint="eastAsia" w:ascii="Times New Roman" w:hAnsi="Times New Roman" w:eastAsia="仿宋" w:cs="宋体"/>
          <w:kern w:val="0"/>
          <w:szCs w:val="24"/>
        </w:rPr>
        <w:t>。</w:t>
      </w:r>
    </w:p>
    <w:p>
      <w:pPr>
        <w:jc w:val="center"/>
        <w:rPr>
          <w:rFonts w:ascii="仿宋" w:hAnsi="仿宋" w:eastAsia="仿宋" w:cstheme="minorBidi"/>
          <w:b/>
          <w:sz w:val="18"/>
          <w:szCs w:val="18"/>
        </w:rPr>
      </w:pPr>
      <w:r>
        <w:rPr>
          <w:rFonts w:hint="eastAsia" w:ascii="仿宋" w:hAnsi="仿宋" w:eastAsia="仿宋" w:cstheme="minorBidi"/>
          <w:b/>
          <w:sz w:val="18"/>
          <w:szCs w:val="18"/>
        </w:rPr>
        <w:t>表2 数字普惠金融体系判断矩阵</w:t>
      </w:r>
    </w:p>
    <w:tbl>
      <w:tblPr>
        <w:tblStyle w:val="34"/>
        <w:tblW w:w="5000" w:type="pct"/>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3"/>
        <w:gridCol w:w="1938"/>
        <w:gridCol w:w="1938"/>
        <w:gridCol w:w="232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rPr>
          <w:jc w:val="center"/>
        </w:trPr>
        <w:tc>
          <w:tcPr>
            <w:tcW w:w="1363" w:type="pct"/>
            <w:tcBorders>
              <w:top w:val="double" w:color="000000" w:sz="4" w:space="0"/>
              <w:bottom w:val="single" w:color="000000" w:sz="4" w:space="0"/>
              <w:right w:val="single" w:color="000000" w:sz="4" w:space="0"/>
            </w:tcBorders>
          </w:tcPr>
          <w:p>
            <w:pPr>
              <w:autoSpaceDE w:val="0"/>
              <w:autoSpaceDN w:val="0"/>
              <w:adjustRightInd w:val="0"/>
              <w:jc w:val="center"/>
              <w:rPr>
                <w:rFonts w:ascii="Times New Roman" w:hAnsi="Times New Roman" w:eastAsia="仿宋" w:cs="宋体"/>
                <w:kern w:val="0"/>
                <w:sz w:val="15"/>
                <w:szCs w:val="15"/>
              </w:rPr>
            </w:pPr>
          </w:p>
        </w:tc>
        <w:tc>
          <w:tcPr>
            <w:tcW w:w="1137" w:type="pct"/>
            <w:tcBorders>
              <w:top w:val="double" w:color="000000" w:sz="4" w:space="0"/>
              <w:left w:val="sing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覆盖广度</w:t>
            </w:r>
          </w:p>
        </w:tc>
        <w:tc>
          <w:tcPr>
            <w:tcW w:w="1137"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使用深度</w:t>
            </w:r>
          </w:p>
        </w:tc>
        <w:tc>
          <w:tcPr>
            <w:tcW w:w="136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数字化程度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rPr>
          <w:jc w:val="center"/>
        </w:trPr>
        <w:tc>
          <w:tcPr>
            <w:tcW w:w="1363" w:type="pct"/>
            <w:tcBorders>
              <w:top w:val="single" w:color="000000" w:sz="4" w:space="0"/>
              <w:bottom w:val="nil"/>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覆盖广度</w:t>
            </w:r>
          </w:p>
        </w:tc>
        <w:tc>
          <w:tcPr>
            <w:tcW w:w="1137" w:type="pct"/>
            <w:tcBorders>
              <w:top w:val="single" w:color="000000" w:sz="4" w:space="0"/>
              <w:left w:val="single" w:color="000000" w:sz="4" w:space="0"/>
              <w:bottom w:val="nil"/>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1137" w:type="pct"/>
            <w:tcBorders>
              <w:top w:val="single" w:color="000000" w:sz="4" w:space="0"/>
              <w:bottom w:val="nil"/>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w:t>
            </w:r>
          </w:p>
        </w:tc>
        <w:tc>
          <w:tcPr>
            <w:tcW w:w="1363" w:type="pct"/>
            <w:tcBorders>
              <w:top w:val="single" w:color="000000" w:sz="4" w:space="0"/>
              <w:bottom w:val="nil"/>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3</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rPr>
          <w:jc w:val="center"/>
        </w:trPr>
        <w:tc>
          <w:tcPr>
            <w:tcW w:w="1363" w:type="pct"/>
            <w:tcBorders>
              <w:top w:val="nil"/>
              <w:bottom w:val="nil"/>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使用深度</w:t>
            </w:r>
          </w:p>
        </w:tc>
        <w:tc>
          <w:tcPr>
            <w:tcW w:w="1137" w:type="pct"/>
            <w:tcBorders>
              <w:top w:val="nil"/>
              <w:left w:val="single" w:color="000000" w:sz="4" w:space="0"/>
              <w:bottom w:val="nil"/>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c>
          <w:tcPr>
            <w:tcW w:w="1137" w:type="pct"/>
            <w:tcBorders>
              <w:top w:val="nil"/>
              <w:bottom w:val="nil"/>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1363" w:type="pct"/>
            <w:tcBorders>
              <w:top w:val="nil"/>
              <w:bottom w:val="nil"/>
            </w:tcBorders>
          </w:tcPr>
          <w:p>
            <w:pPr>
              <w:autoSpaceDE w:val="0"/>
              <w:autoSpaceDN w:val="0"/>
              <w:adjustRightInd w:val="0"/>
              <w:jc w:val="center"/>
              <w:rPr>
                <w:rFonts w:ascii="Times New Roman" w:hAnsi="Times New Roman" w:eastAsia="仿宋" w:cs="宋体"/>
                <w:kern w:val="0"/>
                <w:sz w:val="15"/>
                <w:szCs w:val="15"/>
              </w:rPr>
            </w:pPr>
            <w:r>
              <w:rPr>
                <w:rFonts w:ascii="Times New Roman" w:hAnsi="Times New Roman" w:eastAsia="仿宋" w:cs="宋体"/>
                <w:kern w:val="0"/>
                <w:sz w:val="15"/>
                <w:szCs w:val="15"/>
              </w:rPr>
              <w:t>2</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rPr>
          <w:jc w:val="center"/>
        </w:trPr>
        <w:tc>
          <w:tcPr>
            <w:tcW w:w="1363" w:type="pct"/>
            <w:tcBorders>
              <w:top w:val="nil"/>
              <w:bottom w:val="double" w:color="000000" w:sz="4" w:space="0"/>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数字化程度</w:t>
            </w:r>
          </w:p>
        </w:tc>
        <w:tc>
          <w:tcPr>
            <w:tcW w:w="1137" w:type="pct"/>
            <w:tcBorders>
              <w:top w:val="nil"/>
              <w:left w:val="single" w:color="000000" w:sz="4" w:space="0"/>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1/3</w:t>
            </w:r>
          </w:p>
        </w:tc>
        <w:tc>
          <w:tcPr>
            <w:tcW w:w="1137" w:type="pct"/>
            <w:tcBorders>
              <w:top w:val="nil"/>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c>
          <w:tcPr>
            <w:tcW w:w="1363" w:type="pct"/>
            <w:tcBorders>
              <w:top w:val="nil"/>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r>
    </w:tbl>
    <w:p>
      <w:pPr>
        <w:autoSpaceDE w:val="0"/>
        <w:autoSpaceDN w:val="0"/>
        <w:adjustRightInd w:val="0"/>
        <w:ind w:firstLine="420" w:firstLineChars="200"/>
        <w:rPr>
          <w:rFonts w:hint="eastAsia" w:ascii="time" w:hAnsi="time" w:eastAsia="仿宋" w:cs="宋体"/>
          <w:kern w:val="0"/>
          <w:szCs w:val="24"/>
        </w:rPr>
      </w:pPr>
      <w:r>
        <w:rPr>
          <w:rFonts w:hint="eastAsia" w:ascii="time" w:hAnsi="time" w:eastAsia="仿宋" w:cs="宋体"/>
          <w:kern w:val="0"/>
          <w:szCs w:val="24"/>
        </w:rPr>
        <w:t>对于“使用</w:t>
      </w:r>
      <w:r>
        <w:rPr>
          <w:rFonts w:ascii="time" w:hAnsi="time" w:eastAsia="仿宋" w:cs="宋体"/>
          <w:kern w:val="0"/>
          <w:szCs w:val="24"/>
        </w:rPr>
        <w:t>深度</w:t>
      </w:r>
      <w:r>
        <w:rPr>
          <w:rFonts w:hint="eastAsia" w:ascii="time" w:hAnsi="time" w:eastAsia="仿宋" w:cs="宋体"/>
          <w:kern w:val="0"/>
          <w:szCs w:val="24"/>
        </w:rPr>
        <w:t>”层面下</w:t>
      </w:r>
      <w:r>
        <w:rPr>
          <w:rFonts w:ascii="time" w:hAnsi="time" w:eastAsia="仿宋" w:cs="宋体"/>
          <w:kern w:val="0"/>
          <w:szCs w:val="24"/>
        </w:rPr>
        <w:t>的</w:t>
      </w:r>
      <w:r>
        <w:rPr>
          <w:rFonts w:hint="eastAsia" w:ascii="time" w:hAnsi="time" w:eastAsia="仿宋" w:cs="宋体"/>
          <w:kern w:val="0"/>
          <w:szCs w:val="24"/>
        </w:rPr>
        <w:t>6</w:t>
      </w:r>
      <w:r>
        <w:rPr>
          <w:rFonts w:ascii="time" w:hAnsi="time" w:eastAsia="仿宋" w:cs="宋体"/>
          <w:kern w:val="0"/>
          <w:szCs w:val="24"/>
        </w:rPr>
        <w:t>个</w:t>
      </w:r>
      <w:r>
        <w:rPr>
          <w:rFonts w:hint="eastAsia" w:ascii="time" w:hAnsi="time" w:eastAsia="仿宋" w:cs="宋体"/>
          <w:kern w:val="0"/>
          <w:szCs w:val="24"/>
        </w:rPr>
        <w:t>金融</w:t>
      </w:r>
      <w:r>
        <w:rPr>
          <w:rFonts w:ascii="time" w:hAnsi="time" w:eastAsia="仿宋" w:cs="宋体"/>
          <w:kern w:val="0"/>
          <w:szCs w:val="24"/>
        </w:rPr>
        <w:t>业务维度，</w:t>
      </w:r>
      <w:r>
        <w:rPr>
          <w:rFonts w:hint="eastAsia" w:ascii="time" w:hAnsi="time" w:eastAsia="仿宋" w:cs="宋体"/>
          <w:kern w:val="0"/>
          <w:szCs w:val="24"/>
        </w:rPr>
        <w:t>我们则</w:t>
      </w:r>
      <w:r>
        <w:rPr>
          <w:rFonts w:ascii="time" w:hAnsi="time" w:eastAsia="仿宋" w:cs="宋体"/>
          <w:kern w:val="0"/>
          <w:szCs w:val="24"/>
        </w:rPr>
        <w:t>按照</w:t>
      </w:r>
      <w:r>
        <w:rPr>
          <w:rFonts w:hint="eastAsia" w:ascii="time" w:hAnsi="time" w:eastAsia="仿宋" w:cs="宋体"/>
          <w:kern w:val="0"/>
          <w:szCs w:val="24"/>
        </w:rPr>
        <w:t>金融</w:t>
      </w:r>
      <w:r>
        <w:rPr>
          <w:rFonts w:ascii="time" w:hAnsi="time" w:eastAsia="仿宋" w:cs="宋体"/>
          <w:kern w:val="0"/>
          <w:szCs w:val="24"/>
        </w:rPr>
        <w:t>服务的门槛</w:t>
      </w:r>
      <w:r>
        <w:rPr>
          <w:rFonts w:hint="eastAsia" w:ascii="time" w:hAnsi="time" w:eastAsia="仿宋" w:cs="宋体"/>
          <w:kern w:val="0"/>
          <w:szCs w:val="24"/>
        </w:rPr>
        <w:t>（</w:t>
      </w:r>
      <w:r>
        <w:rPr>
          <w:rFonts w:ascii="time" w:hAnsi="time" w:eastAsia="仿宋" w:cs="宋体"/>
          <w:kern w:val="0"/>
          <w:szCs w:val="24"/>
        </w:rPr>
        <w:t>复杂性和风险性）和普及程度作为</w:t>
      </w:r>
      <w:r>
        <w:rPr>
          <w:rFonts w:hint="eastAsia" w:ascii="time" w:hAnsi="time" w:eastAsia="仿宋" w:cs="宋体"/>
          <w:kern w:val="0"/>
          <w:szCs w:val="24"/>
        </w:rPr>
        <w:t>判断</w:t>
      </w:r>
      <w:r>
        <w:rPr>
          <w:rFonts w:ascii="time" w:hAnsi="time" w:eastAsia="仿宋" w:cs="宋体"/>
          <w:kern w:val="0"/>
          <w:szCs w:val="24"/>
        </w:rPr>
        <w:t>标准，普及程度越高</w:t>
      </w:r>
      <w:r>
        <w:rPr>
          <w:rFonts w:hint="eastAsia" w:ascii="time" w:hAnsi="time" w:eastAsia="仿宋" w:cs="宋体"/>
          <w:kern w:val="0"/>
          <w:szCs w:val="24"/>
        </w:rPr>
        <w:t>门槛</w:t>
      </w:r>
      <w:r>
        <w:rPr>
          <w:rFonts w:ascii="time" w:hAnsi="time" w:eastAsia="仿宋" w:cs="宋体"/>
          <w:kern w:val="0"/>
          <w:szCs w:val="24"/>
        </w:rPr>
        <w:t>越低</w:t>
      </w:r>
      <w:r>
        <w:rPr>
          <w:rFonts w:hint="eastAsia" w:ascii="time" w:hAnsi="time" w:eastAsia="仿宋" w:cs="宋体"/>
          <w:kern w:val="0"/>
          <w:szCs w:val="24"/>
        </w:rPr>
        <w:t>的</w:t>
      </w:r>
      <w:r>
        <w:rPr>
          <w:rFonts w:ascii="time" w:hAnsi="time" w:eastAsia="仿宋" w:cs="宋体"/>
          <w:kern w:val="0"/>
          <w:szCs w:val="24"/>
        </w:rPr>
        <w:t>业务权重越低，</w:t>
      </w:r>
      <w:r>
        <w:rPr>
          <w:rFonts w:hint="eastAsia" w:ascii="time" w:hAnsi="time" w:eastAsia="仿宋" w:cs="宋体"/>
          <w:kern w:val="0"/>
          <w:szCs w:val="24"/>
        </w:rPr>
        <w:t>相反</w:t>
      </w:r>
      <w:r>
        <w:rPr>
          <w:rFonts w:ascii="time" w:hAnsi="time" w:eastAsia="仿宋" w:cs="宋体"/>
          <w:kern w:val="0"/>
          <w:szCs w:val="24"/>
        </w:rPr>
        <w:t>则越高。据此</w:t>
      </w:r>
      <w:r>
        <w:rPr>
          <w:rFonts w:hint="eastAsia" w:ascii="time" w:hAnsi="time" w:eastAsia="仿宋" w:cs="宋体"/>
          <w:kern w:val="0"/>
          <w:szCs w:val="24"/>
        </w:rPr>
        <w:t>，</w:t>
      </w:r>
      <w:r>
        <w:rPr>
          <w:rFonts w:ascii="time" w:hAnsi="time" w:eastAsia="仿宋" w:cs="宋体"/>
          <w:kern w:val="0"/>
          <w:szCs w:val="24"/>
        </w:rPr>
        <w:t>得到以下</w:t>
      </w:r>
      <w:r>
        <w:rPr>
          <w:rFonts w:hint="eastAsia" w:ascii="time" w:hAnsi="time" w:eastAsia="仿宋" w:cs="宋体"/>
          <w:kern w:val="0"/>
          <w:szCs w:val="24"/>
        </w:rPr>
        <w:t>表3的</w:t>
      </w:r>
      <w:r>
        <w:rPr>
          <w:rFonts w:ascii="time" w:hAnsi="time" w:eastAsia="仿宋" w:cs="宋体"/>
          <w:kern w:val="0"/>
          <w:szCs w:val="24"/>
        </w:rPr>
        <w:t>判断矩阵：</w:t>
      </w:r>
    </w:p>
    <w:p>
      <w:pPr>
        <w:jc w:val="center"/>
        <w:rPr>
          <w:rFonts w:ascii="仿宋" w:hAnsi="仿宋" w:eastAsia="仿宋" w:cstheme="minorBidi"/>
          <w:b/>
          <w:sz w:val="18"/>
          <w:szCs w:val="18"/>
        </w:rPr>
      </w:pPr>
      <w:r>
        <w:rPr>
          <w:rFonts w:hint="eastAsia" w:ascii="仿宋" w:hAnsi="仿宋" w:eastAsia="仿宋" w:cstheme="minorBidi"/>
          <w:b/>
          <w:sz w:val="18"/>
          <w:szCs w:val="18"/>
        </w:rPr>
        <w:t>表3 使用深度判断矩阵</w:t>
      </w:r>
    </w:p>
    <w:tbl>
      <w:tblPr>
        <w:tblStyle w:val="34"/>
        <w:tblW w:w="5000" w:type="pct"/>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1123"/>
        <w:gridCol w:w="1273"/>
        <w:gridCol w:w="1289"/>
        <w:gridCol w:w="1074"/>
        <w:gridCol w:w="1072"/>
        <w:gridCol w:w="1104"/>
      </w:tblGrid>
      <w:tr>
        <w:trPr>
          <w:jc w:val="center"/>
        </w:trPr>
        <w:tc>
          <w:tcPr>
            <w:tcW w:w="931" w:type="pct"/>
            <w:tcBorders>
              <w:top w:val="double" w:color="000000" w:sz="4" w:space="0"/>
              <w:bottom w:val="single" w:color="000000" w:sz="4" w:space="0"/>
              <w:right w:val="single" w:color="000000" w:sz="4" w:space="0"/>
            </w:tcBorders>
          </w:tcPr>
          <w:p>
            <w:pPr>
              <w:autoSpaceDE w:val="0"/>
              <w:autoSpaceDN w:val="0"/>
              <w:adjustRightInd w:val="0"/>
              <w:jc w:val="center"/>
              <w:rPr>
                <w:rFonts w:ascii="Times New Roman" w:hAnsi="Times New Roman" w:eastAsia="仿宋" w:cs="宋体"/>
                <w:kern w:val="0"/>
                <w:sz w:val="15"/>
                <w:szCs w:val="15"/>
              </w:rPr>
            </w:pPr>
          </w:p>
        </w:tc>
        <w:tc>
          <w:tcPr>
            <w:tcW w:w="659" w:type="pct"/>
            <w:tcBorders>
              <w:top w:val="double" w:color="000000" w:sz="4" w:space="0"/>
              <w:left w:val="sing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支付</w:t>
            </w:r>
          </w:p>
        </w:tc>
        <w:tc>
          <w:tcPr>
            <w:tcW w:w="747"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货基</w:t>
            </w:r>
          </w:p>
        </w:tc>
        <w:tc>
          <w:tcPr>
            <w:tcW w:w="756"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信用</w:t>
            </w:r>
          </w:p>
        </w:tc>
        <w:tc>
          <w:tcPr>
            <w:tcW w:w="630"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保险</w:t>
            </w:r>
          </w:p>
        </w:tc>
        <w:tc>
          <w:tcPr>
            <w:tcW w:w="629"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投资</w:t>
            </w:r>
          </w:p>
        </w:tc>
        <w:tc>
          <w:tcPr>
            <w:tcW w:w="648"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信贷</w:t>
            </w:r>
          </w:p>
        </w:tc>
      </w:tr>
      <w:tr>
        <w:trPr>
          <w:jc w:val="center"/>
        </w:trPr>
        <w:tc>
          <w:tcPr>
            <w:tcW w:w="931" w:type="pct"/>
            <w:tcBorders>
              <w:top w:val="single" w:color="000000" w:sz="4" w:space="0"/>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支付</w:t>
            </w:r>
          </w:p>
        </w:tc>
        <w:tc>
          <w:tcPr>
            <w:tcW w:w="659" w:type="pct"/>
            <w:tcBorders>
              <w:top w:val="single" w:color="000000" w:sz="4" w:space="0"/>
              <w:lef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747"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c>
          <w:tcPr>
            <w:tcW w:w="756"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1/3</w:t>
            </w:r>
          </w:p>
        </w:tc>
        <w:tc>
          <w:tcPr>
            <w:tcW w:w="630"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1/4</w:t>
            </w:r>
          </w:p>
        </w:tc>
        <w:tc>
          <w:tcPr>
            <w:tcW w:w="629"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1/5</w:t>
            </w:r>
          </w:p>
        </w:tc>
        <w:tc>
          <w:tcPr>
            <w:tcW w:w="648"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1/6</w:t>
            </w:r>
          </w:p>
        </w:tc>
      </w:tr>
      <w:tr>
        <w:trPr>
          <w:jc w:val="center"/>
        </w:trPr>
        <w:tc>
          <w:tcPr>
            <w:tcW w:w="931" w:type="pct"/>
            <w:tcBorders>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货基</w:t>
            </w:r>
          </w:p>
        </w:tc>
        <w:tc>
          <w:tcPr>
            <w:tcW w:w="659" w:type="pct"/>
            <w:tcBorders>
              <w:lef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w:t>
            </w:r>
          </w:p>
        </w:tc>
        <w:tc>
          <w:tcPr>
            <w:tcW w:w="747"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756"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c>
          <w:tcPr>
            <w:tcW w:w="630"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1/3</w:t>
            </w:r>
          </w:p>
        </w:tc>
        <w:tc>
          <w:tcPr>
            <w:tcW w:w="629"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1/4</w:t>
            </w:r>
          </w:p>
        </w:tc>
        <w:tc>
          <w:tcPr>
            <w:tcW w:w="648"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1/5</w:t>
            </w:r>
          </w:p>
        </w:tc>
      </w:tr>
      <w:tr>
        <w:trPr>
          <w:jc w:val="center"/>
        </w:trPr>
        <w:tc>
          <w:tcPr>
            <w:tcW w:w="931" w:type="pct"/>
            <w:tcBorders>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信用</w:t>
            </w:r>
          </w:p>
        </w:tc>
        <w:tc>
          <w:tcPr>
            <w:tcW w:w="659" w:type="pct"/>
            <w:tcBorders>
              <w:lef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3</w:t>
            </w:r>
          </w:p>
        </w:tc>
        <w:tc>
          <w:tcPr>
            <w:tcW w:w="747"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w:t>
            </w:r>
          </w:p>
        </w:tc>
        <w:tc>
          <w:tcPr>
            <w:tcW w:w="756"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630"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c>
          <w:tcPr>
            <w:tcW w:w="629"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1/3</w:t>
            </w:r>
          </w:p>
        </w:tc>
        <w:tc>
          <w:tcPr>
            <w:tcW w:w="648"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1/4</w:t>
            </w:r>
          </w:p>
        </w:tc>
      </w:tr>
      <w:tr>
        <w:trPr>
          <w:jc w:val="center"/>
        </w:trPr>
        <w:tc>
          <w:tcPr>
            <w:tcW w:w="931" w:type="pct"/>
            <w:tcBorders>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保险</w:t>
            </w:r>
          </w:p>
        </w:tc>
        <w:tc>
          <w:tcPr>
            <w:tcW w:w="659" w:type="pct"/>
            <w:tcBorders>
              <w:lef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4</w:t>
            </w:r>
          </w:p>
        </w:tc>
        <w:tc>
          <w:tcPr>
            <w:tcW w:w="747"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3</w:t>
            </w:r>
          </w:p>
        </w:tc>
        <w:tc>
          <w:tcPr>
            <w:tcW w:w="756"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w:t>
            </w:r>
          </w:p>
        </w:tc>
        <w:tc>
          <w:tcPr>
            <w:tcW w:w="630"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629"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c>
          <w:tcPr>
            <w:tcW w:w="648"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1/3</w:t>
            </w:r>
          </w:p>
        </w:tc>
      </w:tr>
      <w:tr>
        <w:trPr>
          <w:jc w:val="center"/>
        </w:trPr>
        <w:tc>
          <w:tcPr>
            <w:tcW w:w="931" w:type="pct"/>
            <w:tcBorders>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投资</w:t>
            </w:r>
          </w:p>
        </w:tc>
        <w:tc>
          <w:tcPr>
            <w:tcW w:w="659" w:type="pct"/>
            <w:tcBorders>
              <w:lef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5</w:t>
            </w:r>
          </w:p>
        </w:tc>
        <w:tc>
          <w:tcPr>
            <w:tcW w:w="747"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4</w:t>
            </w:r>
          </w:p>
        </w:tc>
        <w:tc>
          <w:tcPr>
            <w:tcW w:w="756"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3</w:t>
            </w:r>
          </w:p>
        </w:tc>
        <w:tc>
          <w:tcPr>
            <w:tcW w:w="630"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w:t>
            </w:r>
          </w:p>
        </w:tc>
        <w:tc>
          <w:tcPr>
            <w:tcW w:w="629"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648"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r>
      <w:tr>
        <w:trPr>
          <w:jc w:val="center"/>
        </w:trPr>
        <w:tc>
          <w:tcPr>
            <w:tcW w:w="931" w:type="pct"/>
            <w:tcBorders>
              <w:bottom w:val="double" w:color="000000" w:sz="4" w:space="0"/>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信贷</w:t>
            </w:r>
          </w:p>
        </w:tc>
        <w:tc>
          <w:tcPr>
            <w:tcW w:w="659" w:type="pct"/>
            <w:tcBorders>
              <w:left w:val="single" w:color="000000" w:sz="4" w:space="0"/>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6</w:t>
            </w:r>
          </w:p>
        </w:tc>
        <w:tc>
          <w:tcPr>
            <w:tcW w:w="747" w:type="pct"/>
            <w:tcBorders>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5</w:t>
            </w:r>
          </w:p>
        </w:tc>
        <w:tc>
          <w:tcPr>
            <w:tcW w:w="756" w:type="pct"/>
            <w:tcBorders>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4</w:t>
            </w:r>
          </w:p>
        </w:tc>
        <w:tc>
          <w:tcPr>
            <w:tcW w:w="630" w:type="pct"/>
            <w:tcBorders>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3</w:t>
            </w:r>
          </w:p>
        </w:tc>
        <w:tc>
          <w:tcPr>
            <w:tcW w:w="629" w:type="pct"/>
            <w:tcBorders>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w:t>
            </w:r>
          </w:p>
        </w:tc>
        <w:tc>
          <w:tcPr>
            <w:tcW w:w="648" w:type="pct"/>
            <w:tcBorders>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r>
    </w:tbl>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对于“数字化程度”层面下</w:t>
      </w:r>
      <w:r>
        <w:rPr>
          <w:rFonts w:ascii="Times New Roman" w:hAnsi="Times New Roman" w:eastAsia="仿宋" w:cs="宋体"/>
          <w:kern w:val="0"/>
          <w:szCs w:val="24"/>
        </w:rPr>
        <w:t>的</w:t>
      </w:r>
      <w:r>
        <w:rPr>
          <w:rFonts w:hint="eastAsia" w:ascii="Times New Roman" w:hAnsi="Times New Roman" w:eastAsia="仿宋" w:cs="宋体"/>
          <w:kern w:val="0"/>
          <w:szCs w:val="24"/>
        </w:rPr>
        <w:t>4</w:t>
      </w:r>
      <w:r>
        <w:rPr>
          <w:rFonts w:ascii="Times New Roman" w:hAnsi="Times New Roman" w:eastAsia="仿宋" w:cs="宋体"/>
          <w:kern w:val="0"/>
          <w:szCs w:val="24"/>
        </w:rPr>
        <w:t>个维度，</w:t>
      </w:r>
      <w:r>
        <w:rPr>
          <w:rFonts w:hint="eastAsia" w:ascii="Times New Roman" w:hAnsi="Times New Roman" w:eastAsia="仿宋" w:cs="宋体"/>
          <w:kern w:val="0"/>
          <w:szCs w:val="24"/>
        </w:rPr>
        <w:t>我们</w:t>
      </w:r>
      <w:r>
        <w:rPr>
          <w:rFonts w:ascii="Times New Roman" w:hAnsi="Times New Roman" w:eastAsia="仿宋" w:cs="宋体"/>
          <w:kern w:val="0"/>
          <w:szCs w:val="24"/>
        </w:rPr>
        <w:t>按照</w:t>
      </w:r>
      <w:r>
        <w:rPr>
          <w:rFonts w:hint="eastAsia" w:ascii="Times New Roman" w:hAnsi="Times New Roman" w:eastAsia="仿宋" w:cs="宋体"/>
          <w:kern w:val="0"/>
          <w:szCs w:val="24"/>
        </w:rPr>
        <w:t>其对实际生活影响的重要性和业务成熟</w:t>
      </w:r>
      <w:r>
        <w:rPr>
          <w:rFonts w:ascii="Times New Roman" w:hAnsi="Times New Roman" w:eastAsia="仿宋" w:cs="宋体"/>
          <w:kern w:val="0"/>
          <w:szCs w:val="24"/>
        </w:rPr>
        <w:t>程度作为</w:t>
      </w:r>
      <w:r>
        <w:rPr>
          <w:rFonts w:hint="eastAsia" w:ascii="Times New Roman" w:hAnsi="Times New Roman" w:eastAsia="仿宋" w:cs="宋体"/>
          <w:kern w:val="0"/>
          <w:szCs w:val="24"/>
        </w:rPr>
        <w:t>判断</w:t>
      </w:r>
      <w:r>
        <w:rPr>
          <w:rFonts w:ascii="Times New Roman" w:hAnsi="Times New Roman" w:eastAsia="仿宋" w:cs="宋体"/>
          <w:kern w:val="0"/>
          <w:szCs w:val="24"/>
        </w:rPr>
        <w:t>标准，</w:t>
      </w:r>
      <w:r>
        <w:rPr>
          <w:rFonts w:hint="eastAsia" w:ascii="Times New Roman" w:hAnsi="Times New Roman" w:eastAsia="仿宋" w:cs="宋体"/>
          <w:kern w:val="0"/>
          <w:szCs w:val="24"/>
        </w:rPr>
        <w:t>业务越不成熟、对实际生活影响越小的</w:t>
      </w:r>
      <w:r>
        <w:rPr>
          <w:rFonts w:ascii="Times New Roman" w:hAnsi="Times New Roman" w:eastAsia="仿宋" w:cs="宋体"/>
          <w:kern w:val="0"/>
          <w:szCs w:val="24"/>
        </w:rPr>
        <w:t>业务权重越低，</w:t>
      </w:r>
      <w:r>
        <w:rPr>
          <w:rFonts w:hint="eastAsia" w:ascii="Times New Roman" w:hAnsi="Times New Roman" w:eastAsia="仿宋" w:cs="宋体"/>
          <w:kern w:val="0"/>
          <w:szCs w:val="24"/>
        </w:rPr>
        <w:t>相反</w:t>
      </w:r>
      <w:r>
        <w:rPr>
          <w:rFonts w:ascii="Times New Roman" w:hAnsi="Times New Roman" w:eastAsia="仿宋" w:cs="宋体"/>
          <w:kern w:val="0"/>
          <w:szCs w:val="24"/>
        </w:rPr>
        <w:t>则越高。据此</w:t>
      </w:r>
      <w:r>
        <w:rPr>
          <w:rFonts w:hint="eastAsia" w:ascii="Times New Roman" w:hAnsi="Times New Roman" w:eastAsia="仿宋" w:cs="宋体"/>
          <w:kern w:val="0"/>
          <w:szCs w:val="24"/>
        </w:rPr>
        <w:t>，</w:t>
      </w:r>
      <w:r>
        <w:rPr>
          <w:rFonts w:ascii="Times New Roman" w:hAnsi="Times New Roman" w:eastAsia="仿宋" w:cs="宋体"/>
          <w:kern w:val="0"/>
          <w:szCs w:val="24"/>
        </w:rPr>
        <w:t>得到以下</w:t>
      </w:r>
      <w:r>
        <w:rPr>
          <w:rFonts w:hint="eastAsia" w:ascii="Times New Roman" w:hAnsi="Times New Roman" w:eastAsia="仿宋" w:cs="宋体"/>
          <w:kern w:val="0"/>
          <w:szCs w:val="24"/>
        </w:rPr>
        <w:t>表4的</w:t>
      </w:r>
      <w:r>
        <w:rPr>
          <w:rFonts w:ascii="Times New Roman" w:hAnsi="Times New Roman" w:eastAsia="仿宋" w:cs="宋体"/>
          <w:kern w:val="0"/>
          <w:szCs w:val="24"/>
        </w:rPr>
        <w:t>判断矩阵：</w:t>
      </w:r>
    </w:p>
    <w:p>
      <w:pPr>
        <w:jc w:val="center"/>
        <w:rPr>
          <w:rFonts w:ascii="仿宋" w:hAnsi="仿宋" w:eastAsia="仿宋" w:cstheme="minorBidi"/>
          <w:b/>
          <w:sz w:val="18"/>
          <w:szCs w:val="18"/>
        </w:rPr>
      </w:pPr>
      <w:r>
        <w:rPr>
          <w:rFonts w:hint="eastAsia" w:ascii="仿宋" w:hAnsi="仿宋" w:eastAsia="仿宋" w:cstheme="minorBidi"/>
          <w:b/>
          <w:sz w:val="18"/>
          <w:szCs w:val="18"/>
        </w:rPr>
        <w:t>表4 数字化程度判断矩阵</w:t>
      </w:r>
    </w:p>
    <w:tbl>
      <w:tblPr>
        <w:tblStyle w:val="34"/>
        <w:tblW w:w="5000" w:type="pct"/>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6"/>
        <w:gridCol w:w="1679"/>
        <w:gridCol w:w="1469"/>
        <w:gridCol w:w="1512"/>
        <w:gridCol w:w="163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rPr>
          <w:jc w:val="center"/>
        </w:trPr>
        <w:tc>
          <w:tcPr>
            <w:tcW w:w="1306" w:type="pct"/>
            <w:tcBorders>
              <w:top w:val="double" w:color="000000" w:sz="4" w:space="0"/>
              <w:bottom w:val="single" w:color="000000" w:sz="4" w:space="0"/>
              <w:right w:val="single" w:color="000000" w:sz="4" w:space="0"/>
            </w:tcBorders>
          </w:tcPr>
          <w:p>
            <w:pPr>
              <w:autoSpaceDE w:val="0"/>
              <w:autoSpaceDN w:val="0"/>
              <w:adjustRightInd w:val="0"/>
              <w:jc w:val="center"/>
              <w:rPr>
                <w:rFonts w:ascii="Times New Roman" w:hAnsi="Times New Roman" w:eastAsia="仿宋" w:cs="宋体"/>
                <w:b/>
                <w:bCs/>
                <w:kern w:val="0"/>
                <w:sz w:val="15"/>
                <w:szCs w:val="15"/>
              </w:rPr>
            </w:pPr>
          </w:p>
        </w:tc>
        <w:tc>
          <w:tcPr>
            <w:tcW w:w="985" w:type="pct"/>
            <w:tcBorders>
              <w:top w:val="double" w:color="000000" w:sz="4" w:space="0"/>
              <w:left w:val="sing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信用化</w:t>
            </w:r>
          </w:p>
        </w:tc>
        <w:tc>
          <w:tcPr>
            <w:tcW w:w="862"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便利化</w:t>
            </w:r>
          </w:p>
        </w:tc>
        <w:tc>
          <w:tcPr>
            <w:tcW w:w="887"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实惠化</w:t>
            </w:r>
          </w:p>
        </w:tc>
        <w:tc>
          <w:tcPr>
            <w:tcW w:w="961"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移动化</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rPr>
          <w:jc w:val="center"/>
        </w:trPr>
        <w:tc>
          <w:tcPr>
            <w:tcW w:w="1306" w:type="pct"/>
            <w:tcBorders>
              <w:top w:val="single" w:color="000000" w:sz="4" w:space="0"/>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信用化</w:t>
            </w:r>
          </w:p>
        </w:tc>
        <w:tc>
          <w:tcPr>
            <w:tcW w:w="985" w:type="pct"/>
            <w:tcBorders>
              <w:top w:val="single" w:color="000000" w:sz="4" w:space="0"/>
              <w:lef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862"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c>
          <w:tcPr>
            <w:tcW w:w="887"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1/3</w:t>
            </w:r>
          </w:p>
        </w:tc>
        <w:tc>
          <w:tcPr>
            <w:tcW w:w="961"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1/4</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rPr>
          <w:jc w:val="center"/>
        </w:trPr>
        <w:tc>
          <w:tcPr>
            <w:tcW w:w="1306" w:type="pct"/>
            <w:tcBorders>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便利化</w:t>
            </w:r>
          </w:p>
        </w:tc>
        <w:tc>
          <w:tcPr>
            <w:tcW w:w="985" w:type="pct"/>
            <w:tcBorders>
              <w:lef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w:t>
            </w:r>
          </w:p>
        </w:tc>
        <w:tc>
          <w:tcPr>
            <w:tcW w:w="862"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887"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c>
          <w:tcPr>
            <w:tcW w:w="961"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1/3</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rPr>
          <w:jc w:val="center"/>
        </w:trPr>
        <w:tc>
          <w:tcPr>
            <w:tcW w:w="1306" w:type="pct"/>
            <w:tcBorders>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实惠化</w:t>
            </w:r>
          </w:p>
        </w:tc>
        <w:tc>
          <w:tcPr>
            <w:tcW w:w="985" w:type="pct"/>
            <w:tcBorders>
              <w:lef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3</w:t>
            </w:r>
          </w:p>
        </w:tc>
        <w:tc>
          <w:tcPr>
            <w:tcW w:w="862"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w:t>
            </w:r>
          </w:p>
        </w:tc>
        <w:tc>
          <w:tcPr>
            <w:tcW w:w="887"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c>
          <w:tcPr>
            <w:tcW w:w="961" w:type="pct"/>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1/2</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rPr>
          <w:jc w:val="center"/>
        </w:trPr>
        <w:tc>
          <w:tcPr>
            <w:tcW w:w="1306" w:type="pct"/>
            <w:tcBorders>
              <w:bottom w:val="double" w:color="000000" w:sz="4" w:space="0"/>
              <w:right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移动化</w:t>
            </w:r>
          </w:p>
        </w:tc>
        <w:tc>
          <w:tcPr>
            <w:tcW w:w="985" w:type="pct"/>
            <w:tcBorders>
              <w:left w:val="single" w:color="000000" w:sz="4" w:space="0"/>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4</w:t>
            </w:r>
          </w:p>
        </w:tc>
        <w:tc>
          <w:tcPr>
            <w:tcW w:w="862" w:type="pct"/>
            <w:tcBorders>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3</w:t>
            </w:r>
          </w:p>
        </w:tc>
        <w:tc>
          <w:tcPr>
            <w:tcW w:w="887" w:type="pct"/>
            <w:tcBorders>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w:t>
            </w:r>
          </w:p>
        </w:tc>
        <w:tc>
          <w:tcPr>
            <w:tcW w:w="961" w:type="pct"/>
            <w:tcBorders>
              <w:bottom w:val="doub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w:t>
            </w:r>
          </w:p>
        </w:tc>
      </w:tr>
    </w:tbl>
    <w:p>
      <w:pPr>
        <w:autoSpaceDE w:val="0"/>
        <w:autoSpaceDN w:val="0"/>
        <w:adjustRightInd w:val="0"/>
        <w:ind w:firstLine="420" w:firstLineChars="200"/>
        <w:rPr>
          <w:rFonts w:ascii="Times New Roman" w:hAnsi="Times New Roman" w:eastAsia="仿宋" w:cs="宋体"/>
          <w:kern w:val="0"/>
          <w:szCs w:val="24"/>
        </w:rPr>
      </w:pPr>
      <w:r>
        <w:rPr>
          <w:rFonts w:hint="eastAsia" w:ascii="Times New Roman" w:hAnsi="Times New Roman" w:eastAsia="仿宋" w:cs="宋体"/>
          <w:kern w:val="0"/>
          <w:szCs w:val="24"/>
        </w:rPr>
        <w:t>最后，在运用判断矩阵确定各指标权重时，实际上是构造判断矩阵的特征向量。通过</w:t>
      </w:r>
      <w:r>
        <w:rPr>
          <w:rFonts w:ascii="Times New Roman" w:hAnsi="Times New Roman" w:eastAsia="仿宋" w:cs="宋体"/>
          <w:kern w:val="0"/>
          <w:szCs w:val="24"/>
        </w:rPr>
        <w:t>解正互反矩阵的最大特征值，可求得相应的特征向量，经</w:t>
      </w:r>
      <w:r>
        <w:rPr>
          <w:rFonts w:hint="eastAsia" w:ascii="Times New Roman" w:hAnsi="Times New Roman" w:eastAsia="仿宋" w:cs="宋体"/>
          <w:kern w:val="0"/>
          <w:szCs w:val="24"/>
        </w:rPr>
        <w:t>归一化</w:t>
      </w:r>
      <w:r>
        <w:rPr>
          <w:rFonts w:ascii="Times New Roman" w:hAnsi="Times New Roman" w:eastAsia="仿宋" w:cs="宋体"/>
          <w:kern w:val="0"/>
          <w:szCs w:val="24"/>
        </w:rPr>
        <w:t>后</w:t>
      </w:r>
      <w:r>
        <w:rPr>
          <w:rFonts w:hint="eastAsia" w:ascii="Times New Roman" w:hAnsi="Times New Roman" w:eastAsia="仿宋" w:cs="宋体"/>
          <w:kern w:val="0"/>
          <w:szCs w:val="24"/>
        </w:rPr>
        <w:t>即为权重向量。</w:t>
      </w:r>
      <w:bookmarkStart w:id="20" w:name="_Toc450032779"/>
      <w:bookmarkStart w:id="21" w:name="_Toc330317099"/>
      <w:r>
        <w:rPr>
          <w:rFonts w:hint="eastAsia" w:ascii="Times New Roman" w:hAnsi="Times New Roman" w:eastAsia="仿宋" w:cs="宋体"/>
          <w:kern w:val="0"/>
          <w:szCs w:val="24"/>
        </w:rPr>
        <w:t>最后将通过</w:t>
      </w:r>
      <w:r>
        <w:rPr>
          <w:rFonts w:ascii="Times New Roman" w:hAnsi="Times New Roman" w:eastAsia="仿宋" w:cs="宋体"/>
          <w:kern w:val="0"/>
          <w:szCs w:val="24"/>
        </w:rPr>
        <w:t>一致性检验的</w:t>
      </w:r>
      <w:r>
        <w:rPr>
          <w:rFonts w:hint="eastAsia" w:ascii="Times New Roman" w:hAnsi="Times New Roman" w:eastAsia="仿宋" w:cs="宋体"/>
          <w:kern w:val="0"/>
          <w:szCs w:val="24"/>
        </w:rPr>
        <w:t>判断</w:t>
      </w:r>
      <w:r>
        <w:rPr>
          <w:rFonts w:ascii="Times New Roman" w:hAnsi="Times New Roman" w:eastAsia="仿宋" w:cs="宋体"/>
          <w:kern w:val="0"/>
          <w:szCs w:val="24"/>
        </w:rPr>
        <w:t>矩阵最大特征值所对应的特征向量进行归一化即可得到该层各因素对上</w:t>
      </w:r>
      <w:r>
        <w:rPr>
          <w:rFonts w:hint="eastAsia" w:ascii="Times New Roman" w:hAnsi="Times New Roman" w:eastAsia="仿宋" w:cs="宋体"/>
          <w:kern w:val="0"/>
          <w:szCs w:val="24"/>
        </w:rPr>
        <w:t>层因素</w:t>
      </w:r>
      <w:r>
        <w:rPr>
          <w:rFonts w:ascii="Times New Roman" w:hAnsi="Times New Roman" w:eastAsia="仿宋" w:cs="宋体"/>
          <w:kern w:val="0"/>
          <w:szCs w:val="24"/>
        </w:rPr>
        <w:t>的权重</w:t>
      </w:r>
      <w:r>
        <w:rPr>
          <w:rFonts w:hint="eastAsia" w:ascii="Times New Roman" w:hAnsi="Times New Roman" w:eastAsia="仿宋" w:cs="宋体"/>
          <w:kern w:val="0"/>
          <w:szCs w:val="24"/>
        </w:rPr>
        <w:t>大小</w:t>
      </w:r>
      <w:r>
        <w:rPr>
          <w:rFonts w:ascii="Times New Roman" w:hAnsi="Times New Roman" w:eastAsia="仿宋" w:cs="宋体"/>
          <w:kern w:val="0"/>
          <w:szCs w:val="24"/>
        </w:rPr>
        <w:t>。</w:t>
      </w:r>
      <w:r>
        <w:rPr>
          <w:rFonts w:hint="eastAsia" w:ascii="Times New Roman" w:hAnsi="Times New Roman" w:eastAsia="仿宋" w:cs="宋体"/>
          <w:kern w:val="0"/>
          <w:szCs w:val="24"/>
        </w:rPr>
        <w:t>三个</w:t>
      </w:r>
      <w:r>
        <w:rPr>
          <w:rFonts w:ascii="Times New Roman" w:hAnsi="Times New Roman" w:eastAsia="仿宋" w:cs="宋体"/>
          <w:kern w:val="0"/>
          <w:szCs w:val="24"/>
        </w:rPr>
        <w:t>判断矩阵对应的权重向量如表</w:t>
      </w:r>
      <w:r>
        <w:rPr>
          <w:rFonts w:hint="eastAsia" w:ascii="Times New Roman" w:hAnsi="Times New Roman" w:eastAsia="仿宋" w:cs="宋体"/>
          <w:kern w:val="0"/>
          <w:szCs w:val="24"/>
        </w:rPr>
        <w:t>5、</w:t>
      </w:r>
      <w:r>
        <w:rPr>
          <w:rFonts w:ascii="Times New Roman" w:hAnsi="Times New Roman" w:eastAsia="仿宋" w:cs="宋体"/>
          <w:kern w:val="0"/>
          <w:szCs w:val="24"/>
        </w:rPr>
        <w:t>表</w:t>
      </w:r>
      <w:r>
        <w:rPr>
          <w:rFonts w:hint="eastAsia" w:ascii="Times New Roman" w:hAnsi="Times New Roman" w:eastAsia="仿宋" w:cs="宋体"/>
          <w:kern w:val="0"/>
          <w:szCs w:val="24"/>
        </w:rPr>
        <w:t>6和表7所示。</w:t>
      </w:r>
    </w:p>
    <w:p>
      <w:pPr>
        <w:jc w:val="center"/>
        <w:rPr>
          <w:rFonts w:ascii="仿宋" w:hAnsi="仿宋" w:eastAsia="仿宋" w:cstheme="minorBidi"/>
          <w:b/>
          <w:sz w:val="18"/>
          <w:szCs w:val="18"/>
        </w:rPr>
      </w:pPr>
      <w:r>
        <w:rPr>
          <w:rFonts w:hint="eastAsia" w:ascii="仿宋" w:hAnsi="仿宋" w:eastAsia="仿宋" w:cstheme="minorBidi"/>
          <w:b/>
          <w:sz w:val="18"/>
          <w:szCs w:val="18"/>
        </w:rPr>
        <w:t>表5 数字普惠金融体系下三个维度权重向量</w:t>
      </w:r>
    </w:p>
    <w:tbl>
      <w:tblPr>
        <w:tblStyle w:val="34"/>
        <w:tblW w:w="5000" w:type="pct"/>
        <w:jc w:val="center"/>
        <w:tblBorders>
          <w:top w:val="double" w:color="000000" w:sz="4" w:space="0"/>
          <w:left w:val="none" w:color="auto" w:sz="0" w:space="0"/>
          <w:bottom w:val="doub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78"/>
        <w:gridCol w:w="2286"/>
        <w:gridCol w:w="2286"/>
        <w:gridCol w:w="2572"/>
      </w:tblGrid>
      <w:tr>
        <w:tblPrEx>
          <w:tblBorders>
            <w:top w:val="double" w:color="000000" w:sz="4" w:space="0"/>
            <w:left w:val="none" w:color="auto" w:sz="0" w:space="0"/>
            <w:bottom w:val="double" w:color="000000" w:sz="4" w:space="0"/>
            <w:right w:val="none" w:color="auto" w:sz="0" w:space="0"/>
            <w:insideH w:val="none" w:color="auto" w:sz="0" w:space="0"/>
            <w:insideV w:val="none" w:color="auto" w:sz="0" w:space="0"/>
          </w:tblBorders>
        </w:tblPrEx>
        <w:trPr>
          <w:jc w:val="center"/>
        </w:trPr>
        <w:tc>
          <w:tcPr>
            <w:tcW w:w="809"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维度</w:t>
            </w:r>
          </w:p>
        </w:tc>
        <w:tc>
          <w:tcPr>
            <w:tcW w:w="1341"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覆盖广度</w:t>
            </w:r>
          </w:p>
        </w:tc>
        <w:tc>
          <w:tcPr>
            <w:tcW w:w="1341"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使用深度</w:t>
            </w:r>
          </w:p>
        </w:tc>
        <w:tc>
          <w:tcPr>
            <w:tcW w:w="1509" w:type="pct"/>
            <w:tcBorders>
              <w:top w:val="double" w:color="000000" w:sz="4" w:space="0"/>
              <w:bottom w:val="single" w:color="000000" w:sz="4" w:space="0"/>
            </w:tcBorders>
          </w:tcPr>
          <w:p>
            <w:pPr>
              <w:autoSpaceDE w:val="0"/>
              <w:autoSpaceDN w:val="0"/>
              <w:adjustRightInd w:val="0"/>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数字化程度</w:t>
            </w:r>
          </w:p>
        </w:tc>
      </w:tr>
      <w:tr>
        <w:tblPrEx>
          <w:tblBorders>
            <w:top w:val="double" w:color="000000" w:sz="4" w:space="0"/>
            <w:left w:val="none" w:color="auto" w:sz="0" w:space="0"/>
            <w:bottom w:val="double" w:color="000000" w:sz="4" w:space="0"/>
            <w:right w:val="none" w:color="auto" w:sz="0" w:space="0"/>
            <w:insideH w:val="none" w:color="auto" w:sz="0" w:space="0"/>
            <w:insideV w:val="none" w:color="auto" w:sz="0" w:space="0"/>
          </w:tblBorders>
        </w:tblPrEx>
        <w:trPr>
          <w:jc w:val="center"/>
        </w:trPr>
        <w:tc>
          <w:tcPr>
            <w:tcW w:w="809"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权重</w:t>
            </w:r>
          </w:p>
        </w:tc>
        <w:tc>
          <w:tcPr>
            <w:tcW w:w="1341"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54.0%</w:t>
            </w:r>
          </w:p>
        </w:tc>
        <w:tc>
          <w:tcPr>
            <w:tcW w:w="1341"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ascii="Times New Roman" w:hAnsi="Times New Roman" w:eastAsia="仿宋" w:cs="宋体"/>
                <w:kern w:val="0"/>
                <w:sz w:val="15"/>
                <w:szCs w:val="15"/>
              </w:rPr>
              <w:t>29.7</w:t>
            </w:r>
            <w:r>
              <w:rPr>
                <w:rFonts w:hint="eastAsia" w:ascii="Times New Roman" w:hAnsi="Times New Roman" w:eastAsia="仿宋" w:cs="宋体"/>
                <w:kern w:val="0"/>
                <w:sz w:val="15"/>
                <w:szCs w:val="15"/>
              </w:rPr>
              <w:t>%</w:t>
            </w:r>
          </w:p>
        </w:tc>
        <w:tc>
          <w:tcPr>
            <w:tcW w:w="1509" w:type="pct"/>
            <w:tcBorders>
              <w:top w:val="single" w:color="000000" w:sz="4" w:space="0"/>
            </w:tcBorders>
          </w:tcPr>
          <w:p>
            <w:pPr>
              <w:autoSpaceDE w:val="0"/>
              <w:autoSpaceDN w:val="0"/>
              <w:adjustRightInd w:val="0"/>
              <w:rPr>
                <w:rFonts w:ascii="Times New Roman" w:hAnsi="Times New Roman" w:eastAsia="仿宋" w:cs="宋体"/>
                <w:kern w:val="0"/>
                <w:sz w:val="15"/>
                <w:szCs w:val="15"/>
              </w:rPr>
            </w:pPr>
            <w:r>
              <w:rPr>
                <w:rFonts w:hint="eastAsia" w:ascii="Times New Roman" w:hAnsi="Times New Roman" w:eastAsia="仿宋" w:cs="宋体"/>
                <w:kern w:val="0"/>
                <w:sz w:val="15"/>
                <w:szCs w:val="15"/>
              </w:rPr>
              <w:t>16</w:t>
            </w:r>
            <w:r>
              <w:rPr>
                <w:rFonts w:ascii="Times New Roman" w:hAnsi="Times New Roman" w:eastAsia="仿宋" w:cs="宋体"/>
                <w:kern w:val="0"/>
                <w:sz w:val="15"/>
                <w:szCs w:val="15"/>
              </w:rPr>
              <w:t>.3</w:t>
            </w:r>
            <w:r>
              <w:rPr>
                <w:rFonts w:hint="eastAsia" w:ascii="Times New Roman" w:hAnsi="Times New Roman" w:eastAsia="仿宋" w:cs="宋体"/>
                <w:kern w:val="0"/>
                <w:sz w:val="15"/>
                <w:szCs w:val="15"/>
              </w:rPr>
              <w:t>%</w:t>
            </w:r>
          </w:p>
        </w:tc>
      </w:tr>
    </w:tbl>
    <w:p>
      <w:pPr>
        <w:autoSpaceDE w:val="0"/>
        <w:autoSpaceDN w:val="0"/>
        <w:adjustRightInd w:val="0"/>
        <w:ind w:left="-840" w:leftChars="-400" w:right="-945" w:rightChars="-450"/>
        <w:jc w:val="center"/>
        <w:rPr>
          <w:rFonts w:cs="宋体" w:asciiTheme="minorEastAsia" w:hAnsiTheme="minorEastAsia" w:eastAsiaTheme="minorEastAsia"/>
          <w:b/>
          <w:kern w:val="0"/>
          <w:szCs w:val="21"/>
        </w:rPr>
      </w:pPr>
    </w:p>
    <w:p>
      <w:pPr>
        <w:jc w:val="center"/>
        <w:rPr>
          <w:rFonts w:ascii="仿宋" w:hAnsi="仿宋" w:eastAsia="仿宋" w:cstheme="minorBidi"/>
          <w:b/>
          <w:sz w:val="18"/>
          <w:szCs w:val="18"/>
        </w:rPr>
      </w:pPr>
      <w:r>
        <w:rPr>
          <w:rFonts w:hint="eastAsia" w:ascii="仿宋" w:hAnsi="仿宋" w:eastAsia="仿宋" w:cstheme="minorBidi"/>
          <w:b/>
          <w:sz w:val="18"/>
          <w:szCs w:val="18"/>
        </w:rPr>
        <w:t>表6</w:t>
      </w:r>
      <w:r>
        <w:rPr>
          <w:rFonts w:ascii="仿宋" w:hAnsi="仿宋" w:eastAsia="仿宋" w:cstheme="minorBidi"/>
          <w:b/>
          <w:sz w:val="18"/>
          <w:szCs w:val="18"/>
        </w:rPr>
        <w:t xml:space="preserve"> </w:t>
      </w:r>
      <w:r>
        <w:rPr>
          <w:rFonts w:hint="eastAsia" w:ascii="仿宋" w:hAnsi="仿宋" w:eastAsia="仿宋" w:cstheme="minorBidi"/>
          <w:b/>
          <w:sz w:val="18"/>
          <w:szCs w:val="18"/>
        </w:rPr>
        <w:t>使用深度下六个业务维度权重向量</w:t>
      </w:r>
    </w:p>
    <w:tbl>
      <w:tblPr>
        <w:tblStyle w:val="34"/>
        <w:tblW w:w="5000" w:type="pct"/>
        <w:jc w:val="center"/>
        <w:tblBorders>
          <w:top w:val="double" w:color="000000" w:sz="4" w:space="0"/>
          <w:left w:val="none" w:color="auto" w:sz="0" w:space="0"/>
          <w:bottom w:val="doub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7"/>
        <w:gridCol w:w="1113"/>
        <w:gridCol w:w="1113"/>
        <w:gridCol w:w="1113"/>
        <w:gridCol w:w="1113"/>
        <w:gridCol w:w="1113"/>
        <w:gridCol w:w="1110"/>
      </w:tblGrid>
      <w:tr>
        <w:trPr>
          <w:jc w:val="center"/>
        </w:trPr>
        <w:tc>
          <w:tcPr>
            <w:tcW w:w="1084"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业务维度</w:t>
            </w:r>
          </w:p>
        </w:tc>
        <w:tc>
          <w:tcPr>
            <w:tcW w:w="65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支付</w:t>
            </w:r>
          </w:p>
        </w:tc>
        <w:tc>
          <w:tcPr>
            <w:tcW w:w="65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货基</w:t>
            </w:r>
          </w:p>
        </w:tc>
        <w:tc>
          <w:tcPr>
            <w:tcW w:w="65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信用</w:t>
            </w:r>
          </w:p>
        </w:tc>
        <w:tc>
          <w:tcPr>
            <w:tcW w:w="65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保险</w:t>
            </w:r>
          </w:p>
        </w:tc>
        <w:tc>
          <w:tcPr>
            <w:tcW w:w="65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投资</w:t>
            </w:r>
          </w:p>
        </w:tc>
        <w:tc>
          <w:tcPr>
            <w:tcW w:w="65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信贷</w:t>
            </w:r>
          </w:p>
        </w:tc>
      </w:tr>
      <w:tr>
        <w:tblPrEx>
          <w:tblBorders>
            <w:top w:val="double" w:color="000000" w:sz="4" w:space="0"/>
            <w:left w:val="none" w:color="auto" w:sz="0" w:space="0"/>
            <w:bottom w:val="double" w:color="000000" w:sz="4" w:space="0"/>
            <w:right w:val="none" w:color="auto" w:sz="0" w:space="0"/>
            <w:insideH w:val="none" w:color="auto" w:sz="0" w:space="0"/>
            <w:insideV w:val="none" w:color="auto" w:sz="0" w:space="0"/>
          </w:tblBorders>
        </w:tblPrEx>
        <w:trPr>
          <w:jc w:val="center"/>
        </w:trPr>
        <w:tc>
          <w:tcPr>
            <w:tcW w:w="1084"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权重</w:t>
            </w:r>
          </w:p>
        </w:tc>
        <w:tc>
          <w:tcPr>
            <w:tcW w:w="653"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4</w:t>
            </w:r>
            <w:r>
              <w:rPr>
                <w:rFonts w:ascii="Times New Roman" w:hAnsi="Times New Roman" w:eastAsia="仿宋" w:cs="宋体"/>
                <w:kern w:val="0"/>
                <w:sz w:val="15"/>
                <w:szCs w:val="15"/>
              </w:rPr>
              <w:t>.3</w:t>
            </w:r>
            <w:r>
              <w:rPr>
                <w:rFonts w:hint="eastAsia" w:ascii="Times New Roman" w:hAnsi="Times New Roman" w:eastAsia="仿宋" w:cs="宋体"/>
                <w:kern w:val="0"/>
                <w:sz w:val="15"/>
                <w:szCs w:val="15"/>
              </w:rPr>
              <w:t>%</w:t>
            </w:r>
          </w:p>
        </w:tc>
        <w:tc>
          <w:tcPr>
            <w:tcW w:w="653"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6</w:t>
            </w:r>
            <w:r>
              <w:rPr>
                <w:rFonts w:ascii="Times New Roman" w:hAnsi="Times New Roman" w:eastAsia="仿宋" w:cs="宋体"/>
                <w:kern w:val="0"/>
                <w:sz w:val="15"/>
                <w:szCs w:val="15"/>
              </w:rPr>
              <w:t>.4</w:t>
            </w:r>
            <w:r>
              <w:rPr>
                <w:rFonts w:hint="eastAsia" w:ascii="Times New Roman" w:hAnsi="Times New Roman" w:eastAsia="仿宋" w:cs="宋体"/>
                <w:kern w:val="0"/>
                <w:sz w:val="15"/>
                <w:szCs w:val="15"/>
              </w:rPr>
              <w:t>%</w:t>
            </w:r>
          </w:p>
        </w:tc>
        <w:tc>
          <w:tcPr>
            <w:tcW w:w="653"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10</w:t>
            </w:r>
            <w:r>
              <w:rPr>
                <w:rFonts w:ascii="Times New Roman" w:hAnsi="Times New Roman" w:eastAsia="仿宋" w:cs="宋体"/>
                <w:kern w:val="0"/>
                <w:sz w:val="15"/>
                <w:szCs w:val="15"/>
              </w:rPr>
              <w:t>.0</w:t>
            </w:r>
            <w:r>
              <w:rPr>
                <w:rFonts w:hint="eastAsia" w:ascii="Times New Roman" w:hAnsi="Times New Roman" w:eastAsia="仿宋" w:cs="宋体"/>
                <w:kern w:val="0"/>
                <w:sz w:val="15"/>
                <w:szCs w:val="15"/>
              </w:rPr>
              <w:t>%</w:t>
            </w:r>
          </w:p>
        </w:tc>
        <w:tc>
          <w:tcPr>
            <w:tcW w:w="653"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16</w:t>
            </w:r>
            <w:r>
              <w:rPr>
                <w:rFonts w:ascii="Times New Roman" w:hAnsi="Times New Roman" w:eastAsia="仿宋" w:cs="宋体"/>
                <w:kern w:val="0"/>
                <w:sz w:val="15"/>
                <w:szCs w:val="15"/>
              </w:rPr>
              <w:t>.0</w:t>
            </w:r>
            <w:r>
              <w:rPr>
                <w:rFonts w:hint="eastAsia" w:ascii="Times New Roman" w:hAnsi="Times New Roman" w:eastAsia="仿宋" w:cs="宋体"/>
                <w:kern w:val="0"/>
                <w:sz w:val="15"/>
                <w:szCs w:val="15"/>
              </w:rPr>
              <w:t>%</w:t>
            </w:r>
          </w:p>
        </w:tc>
        <w:tc>
          <w:tcPr>
            <w:tcW w:w="653"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25</w:t>
            </w:r>
            <w:r>
              <w:rPr>
                <w:rFonts w:ascii="Times New Roman" w:hAnsi="Times New Roman" w:eastAsia="仿宋" w:cs="宋体"/>
                <w:kern w:val="0"/>
                <w:sz w:val="15"/>
                <w:szCs w:val="15"/>
              </w:rPr>
              <w:t>.0</w:t>
            </w:r>
            <w:r>
              <w:rPr>
                <w:rFonts w:hint="eastAsia" w:ascii="Times New Roman" w:hAnsi="Times New Roman" w:eastAsia="仿宋" w:cs="宋体"/>
                <w:kern w:val="0"/>
                <w:sz w:val="15"/>
                <w:szCs w:val="15"/>
              </w:rPr>
              <w:t>%</w:t>
            </w:r>
          </w:p>
        </w:tc>
        <w:tc>
          <w:tcPr>
            <w:tcW w:w="653"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38</w:t>
            </w:r>
            <w:r>
              <w:rPr>
                <w:rFonts w:ascii="Times New Roman" w:hAnsi="Times New Roman" w:eastAsia="仿宋" w:cs="宋体"/>
                <w:kern w:val="0"/>
                <w:sz w:val="15"/>
                <w:szCs w:val="15"/>
              </w:rPr>
              <w:t>.3</w:t>
            </w:r>
            <w:r>
              <w:rPr>
                <w:rFonts w:hint="eastAsia" w:ascii="Times New Roman" w:hAnsi="Times New Roman" w:eastAsia="仿宋" w:cs="宋体"/>
                <w:kern w:val="0"/>
                <w:sz w:val="15"/>
                <w:szCs w:val="15"/>
              </w:rPr>
              <w:t>%</w:t>
            </w:r>
          </w:p>
        </w:tc>
      </w:tr>
    </w:tbl>
    <w:p>
      <w:pPr>
        <w:jc w:val="center"/>
        <w:rPr>
          <w:rFonts w:ascii="仿宋" w:hAnsi="仿宋" w:eastAsia="仿宋" w:cstheme="minorBidi"/>
          <w:b/>
          <w:sz w:val="18"/>
          <w:szCs w:val="18"/>
        </w:rPr>
      </w:pPr>
    </w:p>
    <w:p>
      <w:pPr>
        <w:jc w:val="center"/>
        <w:rPr>
          <w:rFonts w:ascii="仿宋" w:hAnsi="仿宋" w:eastAsia="仿宋" w:cstheme="minorBidi"/>
          <w:b/>
          <w:sz w:val="18"/>
          <w:szCs w:val="18"/>
        </w:rPr>
      </w:pPr>
      <w:r>
        <w:rPr>
          <w:rFonts w:hint="eastAsia" w:ascii="仿宋" w:hAnsi="仿宋" w:eastAsia="仿宋" w:cstheme="minorBidi"/>
          <w:b/>
          <w:sz w:val="18"/>
          <w:szCs w:val="18"/>
        </w:rPr>
        <w:t>表7 数字化程度下四个指标的权重向量</w:t>
      </w:r>
      <w:r>
        <w:rPr>
          <w:rStyle w:val="43"/>
          <w:rFonts w:ascii="仿宋" w:hAnsi="仿宋" w:eastAsia="仿宋"/>
          <w:b/>
          <w:sz w:val="18"/>
          <w:szCs w:val="18"/>
        </w:rPr>
        <w:footnoteReference w:id="5"/>
      </w:r>
    </w:p>
    <w:tbl>
      <w:tblPr>
        <w:tblStyle w:val="34"/>
        <w:tblW w:w="5000" w:type="pct"/>
        <w:jc w:val="center"/>
        <w:tblBorders>
          <w:top w:val="double" w:color="000000" w:sz="4" w:space="0"/>
          <w:left w:val="none" w:color="auto" w:sz="0" w:space="0"/>
          <w:bottom w:val="doub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7"/>
        <w:gridCol w:w="1624"/>
        <w:gridCol w:w="1624"/>
        <w:gridCol w:w="1624"/>
        <w:gridCol w:w="1623"/>
      </w:tblGrid>
      <w:tr>
        <w:trPr>
          <w:jc w:val="center"/>
        </w:trPr>
        <w:tc>
          <w:tcPr>
            <w:tcW w:w="1189"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业务维度</w:t>
            </w:r>
          </w:p>
        </w:tc>
        <w:tc>
          <w:tcPr>
            <w:tcW w:w="95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信用化</w:t>
            </w:r>
          </w:p>
        </w:tc>
        <w:tc>
          <w:tcPr>
            <w:tcW w:w="95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便利化</w:t>
            </w:r>
          </w:p>
        </w:tc>
        <w:tc>
          <w:tcPr>
            <w:tcW w:w="953"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实惠化</w:t>
            </w:r>
          </w:p>
        </w:tc>
        <w:tc>
          <w:tcPr>
            <w:tcW w:w="952" w:type="pct"/>
            <w:tcBorders>
              <w:top w:val="double" w:color="000000" w:sz="4" w:space="0"/>
              <w:bottom w:val="single" w:color="000000" w:sz="4" w:space="0"/>
            </w:tcBorders>
          </w:tcPr>
          <w:p>
            <w:pPr>
              <w:autoSpaceDE w:val="0"/>
              <w:autoSpaceDN w:val="0"/>
              <w:adjustRightInd w:val="0"/>
              <w:jc w:val="center"/>
              <w:rPr>
                <w:rFonts w:ascii="Times New Roman" w:hAnsi="Times New Roman" w:eastAsia="仿宋" w:cs="宋体"/>
                <w:b/>
                <w:bCs/>
                <w:kern w:val="0"/>
                <w:sz w:val="15"/>
                <w:szCs w:val="15"/>
              </w:rPr>
            </w:pPr>
            <w:r>
              <w:rPr>
                <w:rFonts w:hint="eastAsia" w:ascii="Times New Roman" w:hAnsi="Times New Roman" w:eastAsia="仿宋" w:cs="宋体"/>
                <w:b/>
                <w:bCs/>
                <w:kern w:val="0"/>
                <w:sz w:val="15"/>
                <w:szCs w:val="15"/>
              </w:rPr>
              <w:t>移动化</w:t>
            </w:r>
          </w:p>
        </w:tc>
      </w:tr>
      <w:tr>
        <w:tblPrEx>
          <w:tblBorders>
            <w:top w:val="double" w:color="000000" w:sz="4" w:space="0"/>
            <w:left w:val="none" w:color="auto" w:sz="0" w:space="0"/>
            <w:bottom w:val="double" w:color="000000" w:sz="4" w:space="0"/>
            <w:right w:val="none" w:color="auto" w:sz="0" w:space="0"/>
            <w:insideH w:val="none" w:color="auto" w:sz="0" w:space="0"/>
            <w:insideV w:val="none" w:color="auto" w:sz="0" w:space="0"/>
          </w:tblBorders>
        </w:tblPrEx>
        <w:trPr>
          <w:jc w:val="center"/>
        </w:trPr>
        <w:tc>
          <w:tcPr>
            <w:tcW w:w="1189"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hint="eastAsia" w:ascii="Times New Roman" w:hAnsi="Times New Roman" w:eastAsia="仿宋" w:cs="宋体"/>
                <w:kern w:val="0"/>
                <w:sz w:val="15"/>
                <w:szCs w:val="15"/>
              </w:rPr>
              <w:t>权重</w:t>
            </w:r>
          </w:p>
        </w:tc>
        <w:tc>
          <w:tcPr>
            <w:tcW w:w="953"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ascii="Times New Roman" w:hAnsi="Times New Roman" w:eastAsia="仿宋" w:cs="宋体"/>
                <w:kern w:val="0"/>
                <w:sz w:val="15"/>
                <w:szCs w:val="15"/>
              </w:rPr>
              <w:t>9.5</w:t>
            </w:r>
            <w:r>
              <w:rPr>
                <w:rFonts w:hint="eastAsia" w:ascii="Times New Roman" w:hAnsi="Times New Roman" w:eastAsia="仿宋" w:cs="宋体"/>
                <w:kern w:val="0"/>
                <w:sz w:val="15"/>
                <w:szCs w:val="15"/>
              </w:rPr>
              <w:t>%</w:t>
            </w:r>
          </w:p>
        </w:tc>
        <w:tc>
          <w:tcPr>
            <w:tcW w:w="953"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ascii="Times New Roman" w:hAnsi="Times New Roman" w:eastAsia="仿宋" w:cs="宋体"/>
                <w:kern w:val="0"/>
                <w:sz w:val="15"/>
                <w:szCs w:val="15"/>
              </w:rPr>
              <w:t>16.0%</w:t>
            </w:r>
          </w:p>
        </w:tc>
        <w:tc>
          <w:tcPr>
            <w:tcW w:w="953"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ascii="Times New Roman" w:hAnsi="Times New Roman" w:eastAsia="仿宋" w:cs="宋体"/>
                <w:kern w:val="0"/>
                <w:sz w:val="15"/>
                <w:szCs w:val="15"/>
              </w:rPr>
              <w:t>24.8%</w:t>
            </w:r>
          </w:p>
        </w:tc>
        <w:tc>
          <w:tcPr>
            <w:tcW w:w="952" w:type="pct"/>
            <w:tcBorders>
              <w:top w:val="single" w:color="000000" w:sz="4" w:space="0"/>
            </w:tcBorders>
          </w:tcPr>
          <w:p>
            <w:pPr>
              <w:autoSpaceDE w:val="0"/>
              <w:autoSpaceDN w:val="0"/>
              <w:adjustRightInd w:val="0"/>
              <w:jc w:val="center"/>
              <w:rPr>
                <w:rFonts w:ascii="Times New Roman" w:hAnsi="Times New Roman" w:eastAsia="仿宋" w:cs="宋体"/>
                <w:kern w:val="0"/>
                <w:sz w:val="15"/>
                <w:szCs w:val="15"/>
              </w:rPr>
            </w:pPr>
            <w:r>
              <w:rPr>
                <w:rFonts w:ascii="Times New Roman" w:hAnsi="Times New Roman" w:eastAsia="仿宋" w:cs="宋体"/>
                <w:kern w:val="0"/>
                <w:sz w:val="15"/>
                <w:szCs w:val="15"/>
              </w:rPr>
              <w:t>49.7</w:t>
            </w:r>
            <w:r>
              <w:rPr>
                <w:rFonts w:hint="eastAsia" w:ascii="Times New Roman" w:hAnsi="Times New Roman" w:eastAsia="仿宋" w:cs="宋体"/>
                <w:kern w:val="0"/>
                <w:sz w:val="15"/>
                <w:szCs w:val="15"/>
              </w:rPr>
              <w:t>%</w:t>
            </w:r>
          </w:p>
        </w:tc>
      </w:tr>
      <w:bookmarkEnd w:id="20"/>
      <w:bookmarkEnd w:id="21"/>
    </w:tbl>
    <w:p>
      <w:pPr>
        <w:autoSpaceDE w:val="0"/>
        <w:autoSpaceDN w:val="0"/>
        <w:adjustRightInd w:val="0"/>
        <w:ind w:firstLine="420" w:firstLineChars="200"/>
        <w:rPr>
          <w:rFonts w:ascii="Times New Roman" w:hAnsi="Times New Roman" w:eastAsia="仿宋"/>
          <w:szCs w:val="24"/>
        </w:rPr>
      </w:pPr>
      <w:bookmarkStart w:id="22" w:name="_Toc5714004"/>
      <w:bookmarkStart w:id="23" w:name="_Toc330317100"/>
      <w:r>
        <w:rPr>
          <w:rFonts w:hint="eastAsia" w:ascii="Times New Roman" w:hAnsi="Times New Roman" w:eastAsia="仿宋"/>
          <w:szCs w:val="24"/>
        </w:rPr>
        <w:t>（四</w:t>
      </w:r>
      <w:r>
        <w:rPr>
          <w:rFonts w:ascii="Times New Roman" w:hAnsi="Times New Roman" w:eastAsia="仿宋"/>
          <w:szCs w:val="24"/>
        </w:rPr>
        <w:t>）</w:t>
      </w:r>
      <w:r>
        <w:rPr>
          <w:rFonts w:hint="eastAsia" w:ascii="Times New Roman" w:hAnsi="Times New Roman" w:eastAsia="仿宋"/>
          <w:szCs w:val="24"/>
        </w:rPr>
        <w:t>指数</w:t>
      </w:r>
      <w:r>
        <w:rPr>
          <w:rFonts w:ascii="Times New Roman" w:hAnsi="Times New Roman" w:eastAsia="仿宋"/>
          <w:szCs w:val="24"/>
        </w:rPr>
        <w:t>合成方法</w:t>
      </w:r>
      <w:bookmarkEnd w:id="22"/>
      <w:bookmarkEnd w:id="23"/>
    </w:p>
    <w:p>
      <w:pPr>
        <w:autoSpaceDE w:val="0"/>
        <w:autoSpaceDN w:val="0"/>
        <w:adjustRightInd w:val="0"/>
        <w:ind w:firstLine="367" w:firstLineChars="175"/>
        <w:rPr>
          <w:rFonts w:ascii="Times New Roman" w:hAnsi="Times New Roman" w:eastAsia="仿宋" w:cs="宋体"/>
          <w:kern w:val="0"/>
          <w:szCs w:val="24"/>
        </w:rPr>
      </w:pPr>
      <w:r>
        <w:rPr>
          <w:rFonts w:hint="eastAsia" w:ascii="Times New Roman" w:hAnsi="Times New Roman" w:eastAsia="仿宋" w:cs="宋体"/>
          <w:kern w:val="0"/>
          <w:szCs w:val="24"/>
        </w:rPr>
        <w:t>在完成指标无量纲化处理和确定指标权重后，就可以进行指数合成了。可用于合成的数学方法很多，常见的合成模型有加权算术平均合成模型、加权几何平均合成模型，或者加权算术平均和加权几何平均联合使用的混合合成模型。在综合比较了三种合成方法之后，我们选用了算术</w:t>
      </w:r>
      <w:r>
        <w:rPr>
          <w:rFonts w:ascii="Times New Roman" w:hAnsi="Times New Roman" w:eastAsia="仿宋" w:cs="宋体"/>
          <w:kern w:val="0"/>
          <w:szCs w:val="24"/>
        </w:rPr>
        <w:t>平均</w:t>
      </w:r>
      <w:r>
        <w:rPr>
          <w:rFonts w:hint="eastAsia" w:ascii="Times New Roman" w:hAnsi="Times New Roman" w:eastAsia="仿宋" w:cs="宋体"/>
          <w:kern w:val="0"/>
          <w:szCs w:val="24"/>
        </w:rPr>
        <w:t>合成模型，其中主要考虑到该方法的如下特点：在根据对数</w:t>
      </w:r>
      <w:r>
        <w:rPr>
          <w:rFonts w:ascii="Times New Roman" w:hAnsi="Times New Roman" w:eastAsia="仿宋" w:cs="宋体"/>
          <w:kern w:val="0"/>
          <w:szCs w:val="24"/>
        </w:rPr>
        <w:t>功效函数</w:t>
      </w:r>
      <w:r>
        <w:rPr>
          <w:rFonts w:hint="eastAsia" w:ascii="Times New Roman" w:hAnsi="Times New Roman" w:eastAsia="仿宋" w:cs="宋体"/>
          <w:kern w:val="0"/>
          <w:szCs w:val="24"/>
        </w:rPr>
        <w:t>计算</w:t>
      </w:r>
      <w:r>
        <w:rPr>
          <w:rFonts w:ascii="Times New Roman" w:hAnsi="Times New Roman" w:eastAsia="仿宋" w:cs="宋体"/>
          <w:kern w:val="0"/>
          <w:szCs w:val="24"/>
        </w:rPr>
        <w:t>各指标</w:t>
      </w:r>
      <w:r>
        <w:rPr>
          <w:rFonts w:hint="eastAsia" w:ascii="Times New Roman" w:hAnsi="Times New Roman" w:eastAsia="仿宋" w:cs="宋体"/>
          <w:kern w:val="0"/>
          <w:szCs w:val="24"/>
        </w:rPr>
        <w:t>得分时，各</w:t>
      </w:r>
      <w:r>
        <w:rPr>
          <w:rFonts w:ascii="Times New Roman" w:hAnsi="Times New Roman" w:eastAsia="仿宋" w:cs="宋体"/>
          <w:kern w:val="0"/>
          <w:szCs w:val="24"/>
        </w:rPr>
        <w:t>年都以</w:t>
      </w:r>
      <w:r>
        <w:rPr>
          <w:rFonts w:hint="eastAsia" w:ascii="Times New Roman" w:hAnsi="Times New Roman" w:eastAsia="仿宋" w:cs="宋体"/>
          <w:kern w:val="0"/>
          <w:szCs w:val="24"/>
        </w:rPr>
        <w:t>2011年相应</w:t>
      </w:r>
      <w:r>
        <w:rPr>
          <w:rFonts w:ascii="Times New Roman" w:hAnsi="Times New Roman" w:eastAsia="仿宋" w:cs="宋体"/>
          <w:kern w:val="0"/>
          <w:szCs w:val="24"/>
        </w:rPr>
        <w:t>指标值的上</w:t>
      </w:r>
      <w:r>
        <w:rPr>
          <w:rFonts w:hint="eastAsia" w:ascii="Times New Roman" w:hAnsi="Times New Roman" w:eastAsia="仿宋" w:cs="宋体"/>
          <w:kern w:val="0"/>
          <w:szCs w:val="24"/>
        </w:rPr>
        <w:t>下</w:t>
      </w:r>
      <w:r>
        <w:rPr>
          <w:rFonts w:ascii="Times New Roman" w:hAnsi="Times New Roman" w:eastAsia="仿宋" w:cs="宋体"/>
          <w:kern w:val="0"/>
          <w:szCs w:val="24"/>
        </w:rPr>
        <w:t>限为比较基准</w:t>
      </w:r>
      <w:r>
        <w:rPr>
          <w:rFonts w:hint="eastAsia" w:ascii="Times New Roman" w:hAnsi="Times New Roman" w:eastAsia="仿宋" w:cs="宋体"/>
          <w:kern w:val="0"/>
          <w:szCs w:val="24"/>
        </w:rPr>
        <w:t>，</w:t>
      </w:r>
      <w:r>
        <w:rPr>
          <w:rFonts w:ascii="Times New Roman" w:hAnsi="Times New Roman" w:eastAsia="仿宋" w:cs="宋体"/>
          <w:kern w:val="0"/>
          <w:szCs w:val="24"/>
        </w:rPr>
        <w:t>因此</w:t>
      </w:r>
      <w:r>
        <w:rPr>
          <w:rFonts w:hint="eastAsia" w:ascii="Times New Roman" w:hAnsi="Times New Roman" w:eastAsia="仿宋" w:cs="宋体"/>
          <w:kern w:val="0"/>
          <w:szCs w:val="24"/>
        </w:rPr>
        <w:t>指标</w:t>
      </w:r>
      <w:r>
        <w:rPr>
          <w:rFonts w:ascii="Times New Roman" w:hAnsi="Times New Roman" w:eastAsia="仿宋" w:cs="宋体"/>
          <w:kern w:val="0"/>
          <w:szCs w:val="24"/>
        </w:rPr>
        <w:t>无量纲得分有可能为</w:t>
      </w:r>
      <w:r>
        <w:rPr>
          <w:rFonts w:hint="eastAsia" w:ascii="Times New Roman" w:hAnsi="Times New Roman" w:eastAsia="仿宋" w:cs="宋体"/>
          <w:kern w:val="0"/>
          <w:szCs w:val="24"/>
        </w:rPr>
        <w:t>0或负数</w:t>
      </w:r>
      <w:r>
        <w:rPr>
          <w:rFonts w:ascii="Times New Roman" w:hAnsi="Times New Roman" w:eastAsia="仿宋" w:cs="宋体"/>
          <w:kern w:val="0"/>
          <w:szCs w:val="24"/>
        </w:rPr>
        <w:t>，为避免最终加权汇总指数值为</w:t>
      </w:r>
      <w:r>
        <w:rPr>
          <w:rFonts w:hint="eastAsia" w:ascii="Times New Roman" w:hAnsi="Times New Roman" w:eastAsia="仿宋" w:cs="宋体"/>
          <w:kern w:val="0"/>
          <w:szCs w:val="24"/>
        </w:rPr>
        <w:t>0，</w:t>
      </w:r>
      <w:r>
        <w:rPr>
          <w:rFonts w:ascii="Times New Roman" w:hAnsi="Times New Roman" w:eastAsia="仿宋" w:cs="宋体"/>
          <w:kern w:val="0"/>
          <w:szCs w:val="24"/>
        </w:rPr>
        <w:t>应采取算术加权平均法。</w:t>
      </w:r>
      <w:r>
        <w:rPr>
          <w:rFonts w:hint="eastAsia" w:ascii="Times New Roman" w:hAnsi="Times New Roman" w:eastAsia="仿宋" w:cs="宋体"/>
          <w:kern w:val="0"/>
          <w:szCs w:val="24"/>
        </w:rPr>
        <w:t>加权</w:t>
      </w:r>
      <w:r>
        <w:rPr>
          <w:rFonts w:ascii="Times New Roman" w:hAnsi="Times New Roman" w:eastAsia="仿宋" w:cs="宋体"/>
          <w:kern w:val="0"/>
          <w:szCs w:val="24"/>
        </w:rPr>
        <w:t>算术</w:t>
      </w:r>
      <w:r>
        <w:rPr>
          <w:rFonts w:hint="eastAsia" w:ascii="Times New Roman" w:hAnsi="Times New Roman" w:eastAsia="仿宋" w:cs="宋体"/>
          <w:kern w:val="0"/>
          <w:szCs w:val="24"/>
        </w:rPr>
        <w:t>平均合成模型的公式如下：</w:t>
      </w:r>
    </w:p>
    <w:p>
      <w:pPr>
        <w:autoSpaceDE w:val="0"/>
        <w:autoSpaceDN w:val="0"/>
        <w:adjustRightInd w:val="0"/>
        <w:ind w:firstLine="367" w:firstLineChars="175"/>
        <w:jc w:val="center"/>
        <w:rPr>
          <w:rFonts w:ascii="Times New Roman" w:hAnsi="Times New Roman" w:eastAsia="仿宋" w:cs="宋体"/>
          <w:kern w:val="0"/>
          <w:szCs w:val="24"/>
        </w:rPr>
      </w:pPr>
      <w:r>
        <w:rPr>
          <w:rFonts w:ascii="Times New Roman" w:hAnsi="Times New Roman" w:eastAsia="仿宋" w:cs="宋体"/>
          <w:kern w:val="0"/>
          <w:position w:val="-28"/>
          <w:szCs w:val="24"/>
        </w:rPr>
        <w:object>
          <v:shape id="_x0000_i1034" o:spt="75" type="#_x0000_t75" style="height:31.65pt;width:62pt;" o:ole="t" filled="f" o:preferrelative="t" stroked="f" coordsize="21600,21600">
            <v:path/>
            <v:fill on="f" focussize="0,0"/>
            <v:stroke on="f" joinstyle="miter"/>
            <v:imagedata r:id="rId20" o:title=""/>
            <o:lock v:ext="edit" aspectratio="t"/>
            <w10:wrap type="none"/>
            <w10:anchorlock/>
          </v:shape>
          <o:OLEObject Type="Embed" ProgID="Equation.DSMT4" ShapeID="_x0000_i1034" DrawAspect="Content" ObjectID="_1468075734" r:id="rId19">
            <o:LockedField>false</o:LockedField>
          </o:OLEObject>
        </w:object>
      </w:r>
      <w:r>
        <w:rPr>
          <w:rFonts w:ascii="Times New Roman" w:hAnsi="Times New Roman" w:eastAsia="仿宋" w:cs="宋体"/>
          <w:kern w:val="0"/>
          <w:szCs w:val="24"/>
        </w:rPr>
        <w:t xml:space="preserve">       (2)</w:t>
      </w:r>
    </w:p>
    <w:p>
      <w:pPr>
        <w:autoSpaceDE w:val="0"/>
        <w:autoSpaceDN w:val="0"/>
        <w:adjustRightInd w:val="0"/>
        <w:ind w:firstLine="367" w:firstLineChars="175"/>
        <w:rPr>
          <w:rFonts w:ascii="Times New Roman" w:hAnsi="Times New Roman" w:eastAsia="仿宋" w:cs="宋体"/>
          <w:kern w:val="0"/>
          <w:szCs w:val="24"/>
        </w:rPr>
      </w:pPr>
      <w:r>
        <w:rPr>
          <w:rFonts w:hint="eastAsia" w:ascii="Times New Roman" w:hAnsi="Times New Roman" w:eastAsia="仿宋" w:cs="宋体"/>
          <w:kern w:val="0"/>
          <w:szCs w:val="24"/>
        </w:rPr>
        <w:t>其中，</w:t>
      </w:r>
      <w:r>
        <w:rPr>
          <w:rFonts w:ascii="Times New Roman" w:hAnsi="Times New Roman" w:eastAsia="仿宋" w:cs="宋体"/>
          <w:kern w:val="0"/>
          <w:position w:val="-6"/>
          <w:szCs w:val="24"/>
        </w:rPr>
        <w:object>
          <v:shape id="_x0000_i1035" o:spt="75" type="#_x0000_t75" style="height:15pt;width:15pt;" o:ole="t" filled="f" o:preferrelative="t" stroked="f" coordsize="21600,21600">
            <v:path/>
            <v:fill on="f" focussize="0,0"/>
            <v:stroke on="f" joinstyle="miter"/>
            <v:imagedata r:id="rId22" o:title=""/>
            <o:lock v:ext="edit" aspectratio="t"/>
            <w10:wrap type="none"/>
            <w10:anchorlock/>
          </v:shape>
          <o:OLEObject Type="Embed" ProgID="Equation.DSMT4" ShapeID="_x0000_i1035" DrawAspect="Content" ObjectID="_1468075735" r:id="rId21">
            <o:LockedField>false</o:LockedField>
          </o:OLEObject>
        </w:object>
      </w:r>
      <w:r>
        <w:rPr>
          <w:rFonts w:hint="eastAsia" w:ascii="Times New Roman" w:hAnsi="Times New Roman" w:eastAsia="仿宋" w:cs="宋体"/>
          <w:kern w:val="0"/>
          <w:szCs w:val="24"/>
        </w:rPr>
        <w:t>为综合</w:t>
      </w:r>
      <w:r>
        <w:rPr>
          <w:rFonts w:ascii="Times New Roman" w:hAnsi="Times New Roman" w:eastAsia="仿宋" w:cs="宋体"/>
          <w:kern w:val="0"/>
          <w:szCs w:val="24"/>
        </w:rPr>
        <w:t>指数，</w:t>
      </w:r>
      <w:r>
        <w:rPr>
          <w:rFonts w:ascii="Times New Roman" w:hAnsi="Times New Roman" w:eastAsia="仿宋" w:cs="宋体"/>
          <w:kern w:val="0"/>
          <w:position w:val="-12"/>
          <w:szCs w:val="24"/>
        </w:rPr>
        <w:object>
          <v:shape id="_x0000_i1036" o:spt="75" type="#_x0000_t75" style="height:21.25pt;width:15pt;" o:ole="t" filled="f" o:preferrelative="t" stroked="f" coordsize="21600,21600">
            <v:path/>
            <v:fill on="f" focussize="0,0"/>
            <v:stroke on="f" joinstyle="miter"/>
            <v:imagedata r:id="rId24" o:title=""/>
            <o:lock v:ext="edit" aspectratio="t"/>
            <w10:wrap type="none"/>
            <w10:anchorlock/>
          </v:shape>
          <o:OLEObject Type="Embed" ProgID="Equation.DSMT4" ShapeID="_x0000_i1036" DrawAspect="Content" ObjectID="_1468075736" r:id="rId23">
            <o:LockedField>false</o:LockedField>
          </o:OLEObject>
        </w:object>
      </w:r>
      <w:r>
        <w:rPr>
          <w:rFonts w:hint="eastAsia" w:ascii="Times New Roman" w:hAnsi="Times New Roman" w:eastAsia="仿宋" w:cs="宋体"/>
          <w:kern w:val="0"/>
          <w:szCs w:val="24"/>
        </w:rPr>
        <w:t>为</w:t>
      </w:r>
      <w:r>
        <w:rPr>
          <w:rFonts w:ascii="Times New Roman" w:hAnsi="Times New Roman" w:eastAsia="仿宋" w:cs="宋体"/>
          <w:kern w:val="0"/>
          <w:szCs w:val="24"/>
        </w:rPr>
        <w:t>各评价指标归一化后的</w:t>
      </w:r>
      <w:r>
        <w:rPr>
          <w:rFonts w:hint="eastAsia" w:ascii="Times New Roman" w:hAnsi="Times New Roman" w:eastAsia="仿宋" w:cs="宋体"/>
          <w:kern w:val="0"/>
          <w:szCs w:val="24"/>
        </w:rPr>
        <w:t>权重</w:t>
      </w:r>
      <w:r>
        <w:rPr>
          <w:rFonts w:ascii="Times New Roman" w:hAnsi="Times New Roman" w:eastAsia="仿宋" w:cs="宋体"/>
          <w:kern w:val="0"/>
          <w:szCs w:val="24"/>
        </w:rPr>
        <w:t>，</w:t>
      </w:r>
      <w:r>
        <w:rPr>
          <w:rFonts w:ascii="Times New Roman" w:hAnsi="Times New Roman" w:eastAsia="仿宋" w:cs="宋体"/>
          <w:kern w:val="0"/>
          <w:position w:val="-12"/>
          <w:szCs w:val="24"/>
        </w:rPr>
        <w:object>
          <v:shape id="_x0000_i1037" o:spt="75" type="#_x0000_t75" style="height:21.25pt;width:15pt;" o:ole="t" filled="f" o:preferrelative="t" stroked="f" coordsize="21600,21600">
            <v:path/>
            <v:fill on="f" focussize="0,0"/>
            <v:stroke on="f" joinstyle="miter"/>
            <v:imagedata r:id="rId26" o:title=""/>
            <o:lock v:ext="edit" aspectratio="t"/>
            <w10:wrap type="none"/>
            <w10:anchorlock/>
          </v:shape>
          <o:OLEObject Type="Embed" ProgID="Equation.DSMT4" ShapeID="_x0000_i1037" DrawAspect="Content" ObjectID="_1468075737" r:id="rId25">
            <o:LockedField>false</o:LockedField>
          </o:OLEObject>
        </w:object>
      </w:r>
      <w:r>
        <w:rPr>
          <w:rFonts w:hint="eastAsia" w:ascii="Times New Roman" w:hAnsi="Times New Roman" w:eastAsia="仿宋" w:cs="宋体"/>
          <w:kern w:val="0"/>
          <w:szCs w:val="24"/>
        </w:rPr>
        <w:t>为</w:t>
      </w:r>
      <w:r>
        <w:rPr>
          <w:rFonts w:ascii="Times New Roman" w:hAnsi="Times New Roman" w:eastAsia="仿宋" w:cs="宋体"/>
          <w:kern w:val="0"/>
          <w:szCs w:val="24"/>
        </w:rPr>
        <w:t>单</w:t>
      </w:r>
      <w:r>
        <w:rPr>
          <w:rFonts w:hint="eastAsia" w:ascii="Times New Roman" w:hAnsi="Times New Roman" w:eastAsia="仿宋" w:cs="宋体"/>
          <w:kern w:val="0"/>
          <w:szCs w:val="24"/>
        </w:rPr>
        <w:t>个</w:t>
      </w:r>
      <w:r>
        <w:rPr>
          <w:rFonts w:ascii="Times New Roman" w:hAnsi="Times New Roman" w:eastAsia="仿宋" w:cs="宋体"/>
          <w:kern w:val="0"/>
          <w:szCs w:val="24"/>
        </w:rPr>
        <w:t>指标的评价</w:t>
      </w:r>
      <w:r>
        <w:rPr>
          <w:rFonts w:hint="eastAsia" w:ascii="Times New Roman" w:hAnsi="Times New Roman" w:eastAsia="仿宋" w:cs="宋体"/>
          <w:kern w:val="0"/>
          <w:szCs w:val="24"/>
        </w:rPr>
        <w:t>得分</w:t>
      </w:r>
      <w:r>
        <w:rPr>
          <w:rFonts w:ascii="Times New Roman" w:hAnsi="Times New Roman" w:eastAsia="仿宋" w:cs="宋体"/>
          <w:kern w:val="0"/>
          <w:szCs w:val="24"/>
        </w:rPr>
        <w:t>，</w:t>
      </w:r>
      <w:r>
        <w:rPr>
          <w:rFonts w:ascii="Times New Roman" w:hAnsi="Times New Roman" w:eastAsia="仿宋" w:cs="宋体"/>
          <w:kern w:val="0"/>
          <w:position w:val="-4"/>
          <w:szCs w:val="24"/>
        </w:rPr>
        <w:object>
          <v:shape id="_x0000_i1038" o:spt="75" type="#_x0000_t75" style="height:10pt;width:15pt;" o:ole="t" filled="f" o:preferrelative="t" stroked="f" coordsize="21600,21600">
            <v:path/>
            <v:fill on="f" focussize="0,0"/>
            <v:stroke on="f" joinstyle="miter"/>
            <v:imagedata r:id="rId28" o:title=""/>
            <o:lock v:ext="edit" aspectratio="t"/>
            <w10:wrap type="none"/>
            <w10:anchorlock/>
          </v:shape>
          <o:OLEObject Type="Embed" ProgID="Equation.DSMT4" ShapeID="_x0000_i1038" DrawAspect="Content" ObjectID="_1468075738" r:id="rId27">
            <o:LockedField>false</o:LockedField>
          </o:OLEObject>
        </w:object>
      </w:r>
      <w:r>
        <w:rPr>
          <w:rFonts w:hint="eastAsia" w:ascii="Times New Roman" w:hAnsi="Times New Roman" w:eastAsia="仿宋" w:cs="宋体"/>
          <w:kern w:val="0"/>
          <w:szCs w:val="24"/>
        </w:rPr>
        <w:t>为</w:t>
      </w:r>
      <w:r>
        <w:rPr>
          <w:rFonts w:ascii="Times New Roman" w:hAnsi="Times New Roman" w:eastAsia="仿宋" w:cs="宋体"/>
          <w:kern w:val="0"/>
          <w:szCs w:val="24"/>
        </w:rPr>
        <w:t>评价指标</w:t>
      </w:r>
      <w:r>
        <w:rPr>
          <w:rFonts w:hint="eastAsia" w:ascii="Times New Roman" w:hAnsi="Times New Roman" w:eastAsia="仿宋" w:cs="宋体"/>
          <w:kern w:val="0"/>
          <w:szCs w:val="24"/>
        </w:rPr>
        <w:t>的</w:t>
      </w:r>
      <w:r>
        <w:rPr>
          <w:rFonts w:ascii="Times New Roman" w:hAnsi="Times New Roman" w:eastAsia="仿宋" w:cs="宋体"/>
          <w:kern w:val="0"/>
          <w:szCs w:val="24"/>
        </w:rPr>
        <w:t>个数。</w:t>
      </w:r>
    </w:p>
    <w:p>
      <w:pPr>
        <w:autoSpaceDE w:val="0"/>
        <w:autoSpaceDN w:val="0"/>
        <w:adjustRightInd w:val="0"/>
        <w:ind w:firstLine="367" w:firstLineChars="175"/>
        <w:rPr>
          <w:rFonts w:ascii="Times New Roman" w:hAnsi="Times New Roman" w:eastAsia="仿宋" w:cs="宋体"/>
          <w:kern w:val="0"/>
          <w:szCs w:val="24"/>
        </w:rPr>
      </w:pPr>
      <w:r>
        <w:rPr>
          <w:rFonts w:hint="eastAsia" w:ascii="Times New Roman" w:hAnsi="Times New Roman" w:eastAsia="仿宋" w:cs="宋体"/>
          <w:kern w:val="0"/>
          <w:szCs w:val="24"/>
        </w:rPr>
        <w:t>具体指数</w:t>
      </w:r>
      <w:r>
        <w:rPr>
          <w:rFonts w:ascii="Times New Roman" w:hAnsi="Times New Roman" w:eastAsia="仿宋" w:cs="宋体"/>
          <w:kern w:val="0"/>
          <w:szCs w:val="24"/>
        </w:rPr>
        <w:t>合成时，</w:t>
      </w:r>
      <w:r>
        <w:rPr>
          <w:rFonts w:hint="eastAsia" w:ascii="Times New Roman" w:hAnsi="Times New Roman" w:eastAsia="仿宋" w:cs="宋体"/>
          <w:kern w:val="0"/>
          <w:szCs w:val="24"/>
        </w:rPr>
        <w:t>是</w:t>
      </w:r>
      <w:r>
        <w:rPr>
          <w:rFonts w:ascii="Times New Roman" w:hAnsi="Times New Roman" w:eastAsia="仿宋" w:cs="宋体"/>
          <w:kern w:val="0"/>
          <w:szCs w:val="24"/>
        </w:rPr>
        <w:t>由下往上逐</w:t>
      </w:r>
      <w:r>
        <w:rPr>
          <w:rFonts w:hint="eastAsia" w:ascii="Times New Roman" w:hAnsi="Times New Roman" w:eastAsia="仿宋" w:cs="宋体"/>
          <w:kern w:val="0"/>
          <w:szCs w:val="24"/>
        </w:rPr>
        <w:t>层</w:t>
      </w:r>
      <w:r>
        <w:rPr>
          <w:rFonts w:ascii="Times New Roman" w:hAnsi="Times New Roman" w:eastAsia="仿宋" w:cs="宋体"/>
          <w:kern w:val="0"/>
          <w:szCs w:val="24"/>
        </w:rPr>
        <w:t>汇总而成，</w:t>
      </w:r>
      <w:r>
        <w:rPr>
          <w:rFonts w:hint="eastAsia" w:ascii="Times New Roman" w:hAnsi="Times New Roman" w:eastAsia="仿宋" w:cs="宋体"/>
          <w:kern w:val="0"/>
          <w:szCs w:val="24"/>
        </w:rPr>
        <w:t>先</w:t>
      </w:r>
      <w:r>
        <w:rPr>
          <w:rFonts w:ascii="Times New Roman" w:hAnsi="Times New Roman" w:eastAsia="仿宋" w:cs="宋体"/>
          <w:kern w:val="0"/>
          <w:szCs w:val="24"/>
        </w:rPr>
        <w:t>计算各</w:t>
      </w:r>
      <w:r>
        <w:rPr>
          <w:rFonts w:hint="eastAsia" w:ascii="Times New Roman" w:hAnsi="Times New Roman" w:eastAsia="仿宋" w:cs="宋体"/>
          <w:kern w:val="0"/>
          <w:szCs w:val="24"/>
        </w:rPr>
        <w:t>层</w:t>
      </w:r>
      <w:r>
        <w:rPr>
          <w:rFonts w:ascii="Times New Roman" w:hAnsi="Times New Roman" w:eastAsia="仿宋" w:cs="宋体"/>
          <w:kern w:val="0"/>
          <w:szCs w:val="24"/>
        </w:rPr>
        <w:t>分组指数，然后由</w:t>
      </w:r>
      <w:r>
        <w:rPr>
          <w:rFonts w:hint="eastAsia" w:ascii="Times New Roman" w:hAnsi="Times New Roman" w:eastAsia="仿宋" w:cs="宋体"/>
          <w:kern w:val="0"/>
          <w:szCs w:val="24"/>
        </w:rPr>
        <w:t>各层</w:t>
      </w:r>
      <w:r>
        <w:rPr>
          <w:rFonts w:ascii="Times New Roman" w:hAnsi="Times New Roman" w:eastAsia="仿宋" w:cs="宋体"/>
          <w:kern w:val="0"/>
          <w:szCs w:val="24"/>
        </w:rPr>
        <w:t>分组指数</w:t>
      </w:r>
      <w:r>
        <w:rPr>
          <w:rFonts w:hint="eastAsia" w:ascii="Times New Roman" w:hAnsi="Times New Roman" w:eastAsia="仿宋" w:cs="宋体"/>
          <w:kern w:val="0"/>
          <w:szCs w:val="24"/>
        </w:rPr>
        <w:t>加权汇总</w:t>
      </w:r>
      <w:r>
        <w:rPr>
          <w:rFonts w:ascii="Times New Roman" w:hAnsi="Times New Roman" w:eastAsia="仿宋" w:cs="宋体"/>
          <w:kern w:val="0"/>
          <w:szCs w:val="24"/>
        </w:rPr>
        <w:t>得</w:t>
      </w:r>
      <w:r>
        <w:rPr>
          <w:rFonts w:hint="eastAsia" w:ascii="Times New Roman" w:hAnsi="Times New Roman" w:eastAsia="仿宋" w:cs="宋体"/>
          <w:kern w:val="0"/>
          <w:szCs w:val="24"/>
        </w:rPr>
        <w:t>到</w:t>
      </w:r>
      <w:r>
        <w:rPr>
          <w:rFonts w:ascii="Times New Roman" w:hAnsi="Times New Roman" w:eastAsia="仿宋" w:cs="宋体"/>
          <w:kern w:val="0"/>
          <w:szCs w:val="24"/>
        </w:rPr>
        <w:t>综合指数。</w:t>
      </w:r>
      <w:r>
        <w:rPr>
          <w:rFonts w:hint="eastAsia" w:ascii="Times New Roman" w:hAnsi="Times New Roman" w:eastAsia="仿宋" w:cs="宋体"/>
          <w:kern w:val="0"/>
          <w:szCs w:val="24"/>
        </w:rPr>
        <w:t>其中，在计算数字金融的使用</w:t>
      </w:r>
      <w:r>
        <w:rPr>
          <w:rFonts w:ascii="Times New Roman" w:hAnsi="Times New Roman" w:eastAsia="仿宋" w:cs="宋体"/>
          <w:kern w:val="0"/>
          <w:szCs w:val="24"/>
        </w:rPr>
        <w:t>深度指数时，由于六块</w:t>
      </w:r>
      <w:r>
        <w:rPr>
          <w:rFonts w:hint="eastAsia" w:ascii="Times New Roman" w:hAnsi="Times New Roman" w:eastAsia="仿宋" w:cs="宋体"/>
          <w:kern w:val="0"/>
          <w:szCs w:val="24"/>
        </w:rPr>
        <w:t>金融业务开始</w:t>
      </w:r>
      <w:r>
        <w:rPr>
          <w:rFonts w:ascii="Times New Roman" w:hAnsi="Times New Roman" w:eastAsia="仿宋" w:cs="宋体"/>
          <w:kern w:val="0"/>
          <w:szCs w:val="24"/>
        </w:rPr>
        <w:t>产生的时间不一致，</w:t>
      </w:r>
      <w:r>
        <w:rPr>
          <w:rFonts w:hint="eastAsia" w:ascii="Times New Roman" w:hAnsi="Times New Roman" w:eastAsia="仿宋" w:cs="宋体"/>
          <w:kern w:val="0"/>
          <w:szCs w:val="24"/>
        </w:rPr>
        <w:t>需</w:t>
      </w:r>
      <w:r>
        <w:rPr>
          <w:rFonts w:ascii="Times New Roman" w:hAnsi="Times New Roman" w:eastAsia="仿宋" w:cs="宋体"/>
          <w:kern w:val="0"/>
          <w:szCs w:val="24"/>
        </w:rPr>
        <w:t>逐步纳入指数中，</w:t>
      </w:r>
      <w:r>
        <w:rPr>
          <w:rFonts w:hint="eastAsia" w:ascii="Times New Roman" w:hAnsi="Times New Roman" w:eastAsia="仿宋" w:cs="宋体"/>
          <w:kern w:val="0"/>
          <w:szCs w:val="24"/>
        </w:rPr>
        <w:t>为</w:t>
      </w:r>
      <w:r>
        <w:rPr>
          <w:rFonts w:ascii="Times New Roman" w:hAnsi="Times New Roman" w:eastAsia="仿宋" w:cs="宋体"/>
          <w:kern w:val="0"/>
          <w:szCs w:val="24"/>
        </w:rPr>
        <w:t>保证指数的稳定性，</w:t>
      </w:r>
      <w:r>
        <w:rPr>
          <w:rFonts w:hint="eastAsia" w:ascii="Times New Roman" w:hAnsi="Times New Roman" w:eastAsia="仿宋" w:cs="宋体"/>
          <w:kern w:val="0"/>
          <w:szCs w:val="24"/>
        </w:rPr>
        <w:t>此时</w:t>
      </w:r>
      <w:r>
        <w:rPr>
          <w:rFonts w:ascii="Times New Roman" w:hAnsi="Times New Roman" w:eastAsia="仿宋" w:cs="宋体"/>
          <w:kern w:val="0"/>
          <w:szCs w:val="24"/>
        </w:rPr>
        <w:t>通过权重归一化</w:t>
      </w:r>
      <w:r>
        <w:rPr>
          <w:rFonts w:hint="eastAsia" w:ascii="Times New Roman" w:hAnsi="Times New Roman" w:eastAsia="仿宋" w:cs="宋体"/>
          <w:kern w:val="0"/>
          <w:szCs w:val="24"/>
        </w:rPr>
        <w:t>使得</w:t>
      </w:r>
      <w:r>
        <w:rPr>
          <w:rFonts w:ascii="Times New Roman" w:hAnsi="Times New Roman" w:eastAsia="仿宋" w:cs="宋体"/>
          <w:kern w:val="0"/>
          <w:szCs w:val="24"/>
        </w:rPr>
        <w:t>各块业务之间的相对权重保持一致</w:t>
      </w:r>
      <w:r>
        <w:rPr>
          <w:rFonts w:hint="eastAsia" w:ascii="Times New Roman" w:hAnsi="Times New Roman" w:eastAsia="仿宋" w:cs="宋体"/>
          <w:kern w:val="0"/>
          <w:szCs w:val="24"/>
        </w:rPr>
        <w:t>。</w:t>
      </w:r>
      <w:r>
        <w:rPr>
          <w:rFonts w:ascii="Times New Roman" w:hAnsi="Times New Roman" w:eastAsia="仿宋" w:cs="宋体"/>
          <w:kern w:val="0"/>
          <w:szCs w:val="24"/>
        </w:rPr>
        <w:t>如</w:t>
      </w:r>
      <w:r>
        <w:rPr>
          <w:rFonts w:hint="eastAsia" w:ascii="Times New Roman" w:hAnsi="Times New Roman" w:eastAsia="仿宋" w:cs="宋体"/>
          <w:kern w:val="0"/>
          <w:szCs w:val="24"/>
        </w:rPr>
        <w:t>2012年</w:t>
      </w:r>
      <w:r>
        <w:rPr>
          <w:rFonts w:ascii="Times New Roman" w:hAnsi="Times New Roman" w:eastAsia="仿宋" w:cs="宋体"/>
          <w:kern w:val="0"/>
          <w:szCs w:val="24"/>
        </w:rPr>
        <w:t>只有</w:t>
      </w:r>
      <w:r>
        <w:rPr>
          <w:rFonts w:hint="eastAsia" w:ascii="Times New Roman" w:hAnsi="Times New Roman" w:eastAsia="仿宋" w:cs="宋体"/>
          <w:kern w:val="0"/>
          <w:szCs w:val="24"/>
        </w:rPr>
        <w:t>支付</w:t>
      </w:r>
      <w:r>
        <w:rPr>
          <w:rFonts w:ascii="Times New Roman" w:hAnsi="Times New Roman" w:eastAsia="仿宋" w:cs="宋体"/>
          <w:kern w:val="0"/>
          <w:szCs w:val="24"/>
        </w:rPr>
        <w:t>、信贷和保险三项业务，三项业务的权重分别为：</w:t>
      </w:r>
    </w:p>
    <w:p>
      <w:pPr>
        <w:autoSpaceDE w:val="0"/>
        <w:autoSpaceDN w:val="0"/>
        <w:adjustRightInd w:val="0"/>
        <w:ind w:firstLine="367" w:firstLineChars="175"/>
        <w:rPr>
          <w:rFonts w:ascii="Times New Roman" w:hAnsi="Times New Roman" w:eastAsia="仿宋" w:cs="宋体"/>
          <w:kern w:val="0"/>
          <w:szCs w:val="24"/>
        </w:rPr>
      </w:pPr>
      <w:r>
        <w:rPr>
          <w:rFonts w:hint="eastAsia" w:ascii="Times New Roman" w:hAnsi="Times New Roman" w:eastAsia="仿宋" w:cs="宋体"/>
          <w:kern w:val="0"/>
          <w:szCs w:val="24"/>
        </w:rPr>
        <w:t>支付</w:t>
      </w:r>
      <w:r>
        <w:rPr>
          <w:rFonts w:ascii="Times New Roman" w:hAnsi="Times New Roman" w:eastAsia="仿宋" w:cs="宋体"/>
          <w:kern w:val="0"/>
          <w:szCs w:val="24"/>
        </w:rPr>
        <w:t>权重=4%</w:t>
      </w:r>
      <w:r>
        <w:rPr>
          <w:rFonts w:hint="eastAsia" w:ascii="Times New Roman" w:hAnsi="Times New Roman" w:eastAsia="仿宋" w:cs="宋体"/>
          <w:kern w:val="0"/>
          <w:szCs w:val="24"/>
        </w:rPr>
        <w:t>/(</w:t>
      </w:r>
      <w:r>
        <w:rPr>
          <w:rFonts w:ascii="Times New Roman" w:hAnsi="Times New Roman" w:eastAsia="仿宋" w:cs="宋体"/>
          <w:kern w:val="0"/>
          <w:szCs w:val="24"/>
        </w:rPr>
        <w:t>4%+16%+38%)=7.3%</w:t>
      </w:r>
    </w:p>
    <w:p>
      <w:pPr>
        <w:autoSpaceDE w:val="0"/>
        <w:autoSpaceDN w:val="0"/>
        <w:adjustRightInd w:val="0"/>
        <w:ind w:firstLine="367" w:firstLineChars="175"/>
        <w:rPr>
          <w:rFonts w:ascii="Times New Roman" w:hAnsi="Times New Roman" w:eastAsia="仿宋" w:cs="宋体"/>
          <w:kern w:val="0"/>
          <w:szCs w:val="24"/>
        </w:rPr>
      </w:pPr>
      <w:r>
        <w:rPr>
          <w:rFonts w:hint="eastAsia" w:ascii="Times New Roman" w:hAnsi="Times New Roman" w:eastAsia="仿宋" w:cs="宋体"/>
          <w:kern w:val="0"/>
          <w:szCs w:val="24"/>
        </w:rPr>
        <w:t>保险</w:t>
      </w:r>
      <w:r>
        <w:rPr>
          <w:rFonts w:ascii="Times New Roman" w:hAnsi="Times New Roman" w:eastAsia="仿宋" w:cs="宋体"/>
          <w:kern w:val="0"/>
          <w:szCs w:val="24"/>
        </w:rPr>
        <w:t>权重=16%/</w:t>
      </w:r>
      <w:r>
        <w:rPr>
          <w:rFonts w:hint="eastAsia" w:ascii="Times New Roman" w:hAnsi="Times New Roman" w:eastAsia="仿宋" w:cs="宋体"/>
          <w:kern w:val="0"/>
          <w:szCs w:val="24"/>
        </w:rPr>
        <w:t>(</w:t>
      </w:r>
      <w:r>
        <w:rPr>
          <w:rFonts w:ascii="Times New Roman" w:hAnsi="Times New Roman" w:eastAsia="仿宋" w:cs="宋体"/>
          <w:kern w:val="0"/>
          <w:szCs w:val="24"/>
        </w:rPr>
        <w:t>4%+16%+38%)=27.3%</w:t>
      </w:r>
    </w:p>
    <w:p>
      <w:pPr>
        <w:autoSpaceDE w:val="0"/>
        <w:autoSpaceDN w:val="0"/>
        <w:adjustRightInd w:val="0"/>
        <w:ind w:firstLine="367" w:firstLineChars="175"/>
        <w:rPr>
          <w:rFonts w:ascii="Times New Roman" w:hAnsi="Times New Roman" w:eastAsia="仿宋" w:cs="宋体"/>
          <w:kern w:val="0"/>
          <w:szCs w:val="24"/>
        </w:rPr>
      </w:pPr>
      <w:r>
        <w:rPr>
          <w:rFonts w:hint="eastAsia" w:ascii="Times New Roman" w:hAnsi="Times New Roman" w:eastAsia="仿宋" w:cs="宋体"/>
          <w:kern w:val="0"/>
          <w:szCs w:val="24"/>
        </w:rPr>
        <w:t>信贷</w:t>
      </w:r>
      <w:r>
        <w:rPr>
          <w:rFonts w:ascii="Times New Roman" w:hAnsi="Times New Roman" w:eastAsia="仿宋" w:cs="宋体"/>
          <w:kern w:val="0"/>
          <w:szCs w:val="24"/>
        </w:rPr>
        <w:t>权重=38%</w:t>
      </w:r>
      <w:r>
        <w:rPr>
          <w:rFonts w:hint="eastAsia" w:ascii="Times New Roman" w:hAnsi="Times New Roman" w:eastAsia="仿宋" w:cs="宋体"/>
          <w:kern w:val="0"/>
          <w:szCs w:val="24"/>
        </w:rPr>
        <w:t>/(</w:t>
      </w:r>
      <w:r>
        <w:rPr>
          <w:rFonts w:ascii="Times New Roman" w:hAnsi="Times New Roman" w:eastAsia="仿宋" w:cs="宋体"/>
          <w:kern w:val="0"/>
          <w:szCs w:val="24"/>
        </w:rPr>
        <w:t>4%+16%+38%)=65.4%</w:t>
      </w:r>
    </w:p>
    <w:p>
      <w:pPr>
        <w:autoSpaceDE w:val="0"/>
        <w:autoSpaceDN w:val="0"/>
        <w:adjustRightInd w:val="0"/>
        <w:ind w:firstLine="367" w:firstLineChars="175"/>
        <w:rPr>
          <w:rFonts w:ascii="微软雅黑" w:hAnsi="微软雅黑" w:eastAsia="仿宋"/>
          <w:b/>
          <w:kern w:val="0"/>
          <w:szCs w:val="24"/>
        </w:rPr>
      </w:pPr>
      <w:r>
        <w:rPr>
          <w:rFonts w:hint="eastAsia" w:ascii="Times New Roman" w:hAnsi="Times New Roman" w:eastAsia="仿宋" w:cs="宋体"/>
          <w:kern w:val="0"/>
          <w:szCs w:val="24"/>
        </w:rPr>
        <w:t>当2013年</w:t>
      </w:r>
      <w:r>
        <w:rPr>
          <w:rFonts w:ascii="Times New Roman" w:hAnsi="Times New Roman" w:eastAsia="仿宋" w:cs="宋体"/>
          <w:kern w:val="0"/>
          <w:szCs w:val="24"/>
        </w:rPr>
        <w:t>开始有</w:t>
      </w:r>
      <w:r>
        <w:rPr>
          <w:rFonts w:hint="eastAsia" w:ascii="Times New Roman" w:hAnsi="Times New Roman" w:eastAsia="仿宋" w:cs="宋体"/>
          <w:kern w:val="0"/>
          <w:szCs w:val="24"/>
        </w:rPr>
        <w:t>互联网货币基金</w:t>
      </w:r>
      <w:r>
        <w:rPr>
          <w:rFonts w:ascii="Times New Roman" w:hAnsi="Times New Roman" w:eastAsia="仿宋" w:cs="宋体"/>
          <w:kern w:val="0"/>
          <w:szCs w:val="24"/>
        </w:rPr>
        <w:t>业务时，则相对权重</w:t>
      </w:r>
      <w:r>
        <w:rPr>
          <w:rFonts w:hint="eastAsia" w:ascii="Times New Roman" w:hAnsi="Times New Roman" w:eastAsia="仿宋" w:cs="宋体"/>
          <w:kern w:val="0"/>
          <w:szCs w:val="24"/>
        </w:rPr>
        <w:t>就调整为</w:t>
      </w:r>
      <w:r>
        <w:rPr>
          <w:rFonts w:ascii="Times New Roman" w:hAnsi="Times New Roman" w:eastAsia="仿宋" w:cs="宋体"/>
          <w:kern w:val="0"/>
          <w:szCs w:val="24"/>
        </w:rPr>
        <w:t>支付、信贷、保险和货基</w:t>
      </w:r>
      <w:r>
        <w:rPr>
          <w:rFonts w:hint="eastAsia" w:ascii="Times New Roman" w:hAnsi="Times New Roman" w:eastAsia="仿宋" w:cs="宋体"/>
          <w:kern w:val="0"/>
          <w:szCs w:val="24"/>
        </w:rPr>
        <w:t>四</w:t>
      </w:r>
      <w:r>
        <w:rPr>
          <w:rFonts w:ascii="Times New Roman" w:hAnsi="Times New Roman" w:eastAsia="仿宋" w:cs="宋体"/>
          <w:kern w:val="0"/>
          <w:szCs w:val="24"/>
        </w:rPr>
        <w:t>项业务权重归一化。</w:t>
      </w:r>
      <w:r>
        <w:rPr>
          <w:rFonts w:hint="eastAsia" w:ascii="Times New Roman" w:hAnsi="Times New Roman" w:eastAsia="仿宋" w:cs="宋体"/>
          <w:kern w:val="0"/>
          <w:szCs w:val="24"/>
        </w:rPr>
        <w:t>其他新出现的</w:t>
      </w:r>
      <w:r>
        <w:rPr>
          <w:rFonts w:ascii="Times New Roman" w:hAnsi="Times New Roman" w:eastAsia="仿宋" w:cs="宋体"/>
          <w:kern w:val="0"/>
          <w:szCs w:val="24"/>
        </w:rPr>
        <w:t>业务</w:t>
      </w:r>
      <w:r>
        <w:rPr>
          <w:rFonts w:hint="eastAsia" w:ascii="Times New Roman" w:hAnsi="Times New Roman" w:eastAsia="仿宋" w:cs="宋体"/>
          <w:kern w:val="0"/>
          <w:szCs w:val="24"/>
        </w:rPr>
        <w:t>依此</w:t>
      </w:r>
      <w:r>
        <w:rPr>
          <w:rFonts w:ascii="Times New Roman" w:hAnsi="Times New Roman" w:eastAsia="仿宋" w:cs="宋体"/>
          <w:kern w:val="0"/>
          <w:szCs w:val="24"/>
        </w:rPr>
        <w:t>类推。</w:t>
      </w:r>
      <w:r>
        <w:rPr>
          <w:rFonts w:hint="eastAsia" w:ascii="Times New Roman" w:hAnsi="Times New Roman" w:eastAsia="仿宋" w:cs="宋体"/>
          <w:kern w:val="0"/>
          <w:szCs w:val="24"/>
        </w:rPr>
        <w:t>通过逐层算数加权</w:t>
      </w:r>
      <w:r>
        <w:rPr>
          <w:rFonts w:ascii="Times New Roman" w:hAnsi="Times New Roman" w:eastAsia="仿宋" w:cs="宋体"/>
          <w:kern w:val="0"/>
          <w:szCs w:val="24"/>
        </w:rPr>
        <w:t>平均合成模型</w:t>
      </w:r>
      <w:r>
        <w:rPr>
          <w:rFonts w:hint="eastAsia" w:ascii="Times New Roman" w:hAnsi="Times New Roman" w:eastAsia="仿宋" w:cs="宋体"/>
          <w:kern w:val="0"/>
          <w:szCs w:val="24"/>
        </w:rPr>
        <w:t>即</w:t>
      </w:r>
      <w:r>
        <w:rPr>
          <w:rFonts w:ascii="Times New Roman" w:hAnsi="Times New Roman" w:eastAsia="仿宋" w:cs="宋体"/>
          <w:kern w:val="0"/>
          <w:szCs w:val="24"/>
        </w:rPr>
        <w:t>可计算出</w:t>
      </w:r>
      <w:r>
        <w:rPr>
          <w:rFonts w:hint="eastAsia" w:ascii="Times New Roman" w:hAnsi="Times New Roman" w:eastAsia="仿宋" w:cs="宋体"/>
          <w:kern w:val="0"/>
          <w:szCs w:val="24"/>
        </w:rPr>
        <w:t>最终的数字普惠金融指数。</w:t>
      </w:r>
      <w:bookmarkEnd w:id="11"/>
      <w:bookmarkStart w:id="24" w:name="_Toc330317102"/>
    </w:p>
    <w:bookmarkEnd w:id="3"/>
    <w:bookmarkEnd w:id="4"/>
    <w:p>
      <w:pPr>
        <w:spacing w:before="156" w:beforeLines="50" w:after="156" w:afterLines="50"/>
        <w:jc w:val="center"/>
        <w:outlineLvl w:val="0"/>
        <w:rPr>
          <w:rFonts w:ascii="Times New Roman" w:hAnsi="楷体" w:eastAsia="楷体" w:cs="宋体"/>
          <w:sz w:val="28"/>
          <w:szCs w:val="28"/>
        </w:rPr>
      </w:pPr>
      <w:bookmarkStart w:id="25" w:name="_Toc5714005"/>
      <w:r>
        <w:rPr>
          <w:rFonts w:hint="eastAsia" w:ascii="Times New Roman" w:hAnsi="楷体" w:eastAsia="楷体" w:cs="宋体"/>
          <w:sz w:val="28"/>
          <w:szCs w:val="28"/>
        </w:rPr>
        <w:t>四、</w:t>
      </w:r>
      <w:bookmarkEnd w:id="24"/>
      <w:bookmarkEnd w:id="25"/>
      <w:r>
        <w:rPr>
          <w:rFonts w:hint="eastAsia" w:ascii="Times New Roman" w:hAnsi="楷体" w:eastAsia="楷体" w:cs="宋体"/>
          <w:sz w:val="28"/>
          <w:szCs w:val="28"/>
        </w:rPr>
        <w:t>中国数字普惠金融发展趋势与空间特征</w:t>
      </w:r>
    </w:p>
    <w:p>
      <w:pPr>
        <w:spacing w:before="100" w:beforeAutospacing="1" w:after="100" w:afterAutospacing="1"/>
        <w:ind w:firstLine="420" w:firstLineChars="200"/>
        <w:rPr>
          <w:rFonts w:ascii="Times New Roman" w:hAnsi="Times New Roman" w:eastAsia="仿宋"/>
          <w:szCs w:val="21"/>
        </w:rPr>
      </w:pPr>
      <w:r>
        <w:rPr>
          <w:rFonts w:hint="eastAsia" w:ascii="Times New Roman" w:hAnsi="Times New Roman" w:eastAsia="仿宋"/>
          <w:szCs w:val="21"/>
        </w:rPr>
        <w:t>根据上文阐述的数字普惠金融指数的指标体系和指数编制方法，我们编制了中国内地31个省（直辖市、自治区，简称“省”）、337个地级以上城市（地区、自治州、盟等，简称“城市”），以及约2800个县（县级市、旗、市辖区等，简称“县域”）三个层级的数字普惠金融指数</w:t>
      </w:r>
      <w:r>
        <w:rPr>
          <w:rStyle w:val="43"/>
          <w:rFonts w:ascii="Times New Roman" w:hAnsi="Times New Roman" w:eastAsia="仿宋"/>
          <w:szCs w:val="21"/>
        </w:rPr>
        <w:footnoteReference w:id="6"/>
      </w:r>
      <w:r>
        <w:rPr>
          <w:rFonts w:hint="eastAsia" w:ascii="Times New Roman" w:hAnsi="Times New Roman" w:eastAsia="仿宋"/>
          <w:szCs w:val="21"/>
        </w:rPr>
        <w:t>，其中，省级和城市级指数时间跨度为2011-2018年，县域指数时间跨度为2014-2018年</w:t>
      </w:r>
      <w:r>
        <w:rPr>
          <w:rStyle w:val="43"/>
          <w:rFonts w:ascii="Times New Roman" w:hAnsi="Times New Roman" w:eastAsia="仿宋"/>
          <w:szCs w:val="21"/>
        </w:rPr>
        <w:footnoteReference w:id="7"/>
      </w:r>
      <w:r>
        <w:rPr>
          <w:rFonts w:hint="eastAsia" w:ascii="Times New Roman" w:hAnsi="Times New Roman" w:eastAsia="仿宋"/>
          <w:szCs w:val="21"/>
        </w:rPr>
        <w:t>。在总指数基础上，我们还编制了数字金融覆盖广度指数、数字金融使用深度指数和普惠金融数字化程度指数，以及数字金融使用深度指数下属的支付、保险、货币基金、信用服务、投资、信贷等分类指数。本部分我们主要利用一些尽可能简化、直观又不失严谨性的一些统计方法针对这套指数反映出的中国数字普惠金融的发展趋势和空间特征进行简要阐述。</w:t>
      </w:r>
    </w:p>
    <w:p>
      <w:pPr>
        <w:spacing w:before="100" w:beforeAutospacing="1" w:after="100" w:afterAutospacing="1"/>
        <w:ind w:firstLine="420" w:firstLineChars="200"/>
        <w:rPr>
          <w:rFonts w:ascii="Times New Roman" w:hAnsi="Times New Roman" w:eastAsia="仿宋"/>
          <w:szCs w:val="24"/>
        </w:rPr>
      </w:pPr>
      <w:r>
        <w:rPr>
          <w:rFonts w:hint="eastAsia" w:ascii="Times New Roman" w:hAnsi="Times New Roman" w:eastAsia="仿宋"/>
          <w:szCs w:val="24"/>
        </w:rPr>
        <w:t>（一）中国数字普惠金融发展趋势</w:t>
      </w:r>
    </w:p>
    <w:p>
      <w:pPr>
        <w:autoSpaceDE w:val="0"/>
        <w:autoSpaceDN w:val="0"/>
        <w:adjustRightInd w:val="0"/>
        <w:ind w:firstLine="420" w:firstLineChars="200"/>
        <w:jc w:val="left"/>
        <w:rPr>
          <w:rFonts w:ascii="Times New Roman" w:hAnsi="Times New Roman" w:eastAsia="仿宋"/>
          <w:szCs w:val="24"/>
        </w:rPr>
      </w:pPr>
      <w:bookmarkStart w:id="26" w:name="_Hlk9778000"/>
      <w:r>
        <w:rPr>
          <w:rFonts w:hint="eastAsia" w:ascii="Times New Roman" w:hAnsi="Times New Roman" w:eastAsia="仿宋"/>
          <w:szCs w:val="21"/>
        </w:rPr>
        <w:t>2011-2018年中国内地31个省的数字普惠金融指数如表8所示，而各省指数逐年均值和中位值如</w:t>
      </w:r>
      <w:r>
        <w:rPr>
          <w:rFonts w:hint="eastAsia" w:ascii="Times New Roman" w:hAnsi="Times New Roman" w:eastAsia="仿宋"/>
          <w:szCs w:val="24"/>
        </w:rPr>
        <w:t>图2所示。从表8和图2当中可以看出，</w:t>
      </w:r>
      <w:bookmarkStart w:id="27" w:name="_Hlk9346414"/>
      <w:r>
        <w:rPr>
          <w:rFonts w:hint="eastAsia" w:ascii="Times New Roman" w:hAnsi="Times New Roman" w:eastAsia="仿宋"/>
          <w:szCs w:val="24"/>
        </w:rPr>
        <w:t>中国的数字普惠金融业务在2011-2018年间实现了跨越式发展，2011年各省数字普惠金融指数的中位值为33.6，到2018年则增长到294.3，指数平均每年增长36.4%，中国数字金融快速的增长趋势由此可见一斑</w:t>
      </w:r>
      <w:bookmarkStart w:id="28" w:name="_Hlk9778151"/>
      <w:r>
        <w:rPr>
          <w:rStyle w:val="43"/>
          <w:rFonts w:ascii="Times New Roman" w:hAnsi="Times New Roman" w:eastAsia="仿宋"/>
          <w:szCs w:val="24"/>
        </w:rPr>
        <w:footnoteReference w:id="8"/>
      </w:r>
      <w:bookmarkEnd w:id="28"/>
      <w:r>
        <w:rPr>
          <w:rFonts w:hint="eastAsia" w:ascii="Times New Roman" w:hAnsi="Times New Roman" w:eastAsia="仿宋"/>
          <w:szCs w:val="24"/>
        </w:rPr>
        <w:t>。</w:t>
      </w:r>
    </w:p>
    <w:bookmarkEnd w:id="27"/>
    <w:p>
      <w:pPr>
        <w:jc w:val="center"/>
        <w:rPr>
          <w:rFonts w:ascii="仿宋" w:hAnsi="仿宋" w:eastAsia="仿宋" w:cstheme="minorBidi"/>
          <w:b/>
          <w:sz w:val="18"/>
          <w:szCs w:val="18"/>
        </w:rPr>
      </w:pPr>
      <w:r>
        <w:rPr>
          <w:rFonts w:hint="eastAsia" w:ascii="仿宋" w:hAnsi="仿宋" w:eastAsia="仿宋" w:cstheme="minorBidi"/>
          <w:b/>
          <w:sz w:val="18"/>
          <w:szCs w:val="18"/>
        </w:rPr>
        <w:t>表8</w:t>
      </w:r>
      <w:r>
        <w:rPr>
          <w:rFonts w:ascii="仿宋" w:hAnsi="仿宋" w:eastAsia="仿宋" w:cstheme="minorBidi"/>
          <w:b/>
          <w:sz w:val="18"/>
          <w:szCs w:val="18"/>
        </w:rPr>
        <w:t xml:space="preserve"> 2011-2018</w:t>
      </w:r>
      <w:r>
        <w:rPr>
          <w:rFonts w:hint="eastAsia" w:ascii="仿宋" w:hAnsi="仿宋" w:eastAsia="仿宋" w:cstheme="minorBidi"/>
          <w:b/>
          <w:sz w:val="18"/>
          <w:szCs w:val="18"/>
        </w:rPr>
        <w:t>年省级数字普惠金融指数</w:t>
      </w:r>
    </w:p>
    <w:tbl>
      <w:tblPr>
        <w:tblStyle w:val="33"/>
        <w:tblW w:w="0" w:type="auto"/>
        <w:jc w:val="center"/>
        <w:tblBorders>
          <w:top w:val="double" w:color="auto" w:sz="4" w:space="0"/>
          <w:left w:val="none" w:color="auto" w:sz="0" w:space="0"/>
          <w:bottom w:val="doub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6"/>
        <w:gridCol w:w="616"/>
        <w:gridCol w:w="676"/>
        <w:gridCol w:w="690"/>
        <w:gridCol w:w="706"/>
        <w:gridCol w:w="706"/>
        <w:gridCol w:w="706"/>
        <w:gridCol w:w="706"/>
        <w:gridCol w:w="706"/>
      </w:tblGrid>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tcBorders>
              <w:top w:val="double" w:color="auto" w:sz="4" w:space="0"/>
              <w:bottom w:val="single" w:color="auto" w:sz="4" w:space="0"/>
            </w:tcBorders>
            <w:shd w:val="clear" w:color="auto" w:fill="auto"/>
            <w:noWrap/>
            <w:vAlign w:val="center"/>
          </w:tcPr>
          <w:p>
            <w:pPr>
              <w:widowControl/>
              <w:jc w:val="left"/>
              <w:rPr>
                <w:rFonts w:hint="eastAsia" w:ascii="time" w:hAnsi="time" w:eastAsia="仿宋" w:cs="宋体"/>
                <w:b/>
                <w:color w:val="000000"/>
                <w:kern w:val="0"/>
                <w:sz w:val="15"/>
              </w:rPr>
            </w:pPr>
            <w:r>
              <w:rPr>
                <w:rFonts w:hint="eastAsia" w:ascii="time" w:hAnsi="time" w:eastAsia="仿宋" w:cs="宋体"/>
                <w:b/>
                <w:color w:val="000000"/>
                <w:kern w:val="0"/>
                <w:sz w:val="15"/>
              </w:rPr>
              <w:t>省份</w:t>
            </w:r>
          </w:p>
        </w:tc>
        <w:tc>
          <w:tcPr>
            <w:tcW w:w="0" w:type="auto"/>
            <w:tcBorders>
              <w:top w:val="double" w:color="auto" w:sz="4" w:space="0"/>
              <w:bottom w:val="single" w:color="auto" w:sz="4" w:space="0"/>
            </w:tcBorders>
            <w:shd w:val="clear" w:color="auto" w:fill="auto"/>
            <w:noWrap/>
            <w:vAlign w:val="center"/>
          </w:tcPr>
          <w:p>
            <w:pPr>
              <w:widowControl/>
              <w:jc w:val="left"/>
              <w:rPr>
                <w:rFonts w:hint="eastAsia" w:ascii="time" w:hAnsi="time" w:eastAsia="仿宋" w:cs="宋体"/>
                <w:b/>
                <w:color w:val="000000"/>
                <w:kern w:val="0"/>
                <w:sz w:val="15"/>
              </w:rPr>
            </w:pPr>
            <w:r>
              <w:rPr>
                <w:rFonts w:hint="eastAsia" w:ascii="time" w:hAnsi="time" w:eastAsia="仿宋" w:cs="宋体"/>
                <w:b/>
                <w:color w:val="000000"/>
                <w:kern w:val="0"/>
                <w:sz w:val="15"/>
              </w:rPr>
              <w:t>2011</w:t>
            </w:r>
          </w:p>
        </w:tc>
        <w:tc>
          <w:tcPr>
            <w:tcW w:w="0" w:type="auto"/>
            <w:tcBorders>
              <w:top w:val="double" w:color="auto" w:sz="4" w:space="0"/>
              <w:bottom w:val="single" w:color="auto" w:sz="4" w:space="0"/>
            </w:tcBorders>
            <w:shd w:val="clear" w:color="auto" w:fill="auto"/>
            <w:noWrap/>
            <w:vAlign w:val="center"/>
          </w:tcPr>
          <w:p>
            <w:pPr>
              <w:widowControl/>
              <w:jc w:val="left"/>
              <w:rPr>
                <w:rFonts w:hint="eastAsia" w:ascii="time" w:hAnsi="time" w:eastAsia="仿宋" w:cs="宋体"/>
                <w:b/>
                <w:color w:val="000000"/>
                <w:kern w:val="0"/>
                <w:sz w:val="15"/>
              </w:rPr>
            </w:pPr>
            <w:r>
              <w:rPr>
                <w:rFonts w:hint="eastAsia" w:ascii="time" w:hAnsi="time" w:eastAsia="仿宋" w:cs="宋体"/>
                <w:b/>
                <w:color w:val="000000"/>
                <w:kern w:val="0"/>
                <w:sz w:val="15"/>
              </w:rPr>
              <w:t>2012</w:t>
            </w:r>
          </w:p>
        </w:tc>
        <w:tc>
          <w:tcPr>
            <w:tcW w:w="0" w:type="auto"/>
            <w:tcBorders>
              <w:top w:val="double" w:color="auto" w:sz="4" w:space="0"/>
              <w:bottom w:val="single" w:color="auto" w:sz="4" w:space="0"/>
            </w:tcBorders>
            <w:shd w:val="clear" w:color="auto" w:fill="auto"/>
            <w:noWrap/>
            <w:vAlign w:val="center"/>
          </w:tcPr>
          <w:p>
            <w:pPr>
              <w:widowControl/>
              <w:jc w:val="left"/>
              <w:rPr>
                <w:rFonts w:hint="eastAsia" w:ascii="time" w:hAnsi="time" w:eastAsia="仿宋" w:cs="宋体"/>
                <w:b/>
                <w:color w:val="000000"/>
                <w:kern w:val="0"/>
                <w:sz w:val="15"/>
              </w:rPr>
            </w:pPr>
            <w:r>
              <w:rPr>
                <w:rFonts w:hint="eastAsia" w:ascii="time" w:hAnsi="time" w:eastAsia="仿宋" w:cs="宋体"/>
                <w:b/>
                <w:color w:val="000000"/>
                <w:kern w:val="0"/>
                <w:sz w:val="15"/>
              </w:rPr>
              <w:t>2013</w:t>
            </w:r>
          </w:p>
        </w:tc>
        <w:tc>
          <w:tcPr>
            <w:tcW w:w="0" w:type="auto"/>
            <w:tcBorders>
              <w:top w:val="double" w:color="auto" w:sz="4" w:space="0"/>
              <w:bottom w:val="single" w:color="auto" w:sz="4" w:space="0"/>
            </w:tcBorders>
            <w:shd w:val="clear" w:color="auto" w:fill="auto"/>
            <w:noWrap/>
            <w:vAlign w:val="center"/>
          </w:tcPr>
          <w:p>
            <w:pPr>
              <w:widowControl/>
              <w:jc w:val="left"/>
              <w:rPr>
                <w:rFonts w:hint="eastAsia" w:ascii="time" w:hAnsi="time" w:eastAsia="仿宋" w:cs="宋体"/>
                <w:b/>
                <w:color w:val="000000"/>
                <w:kern w:val="0"/>
                <w:sz w:val="15"/>
              </w:rPr>
            </w:pPr>
            <w:r>
              <w:rPr>
                <w:rFonts w:hint="eastAsia" w:ascii="time" w:hAnsi="time" w:eastAsia="仿宋" w:cs="宋体"/>
                <w:b/>
                <w:color w:val="000000"/>
                <w:kern w:val="0"/>
                <w:sz w:val="15"/>
              </w:rPr>
              <w:t>2014</w:t>
            </w:r>
          </w:p>
        </w:tc>
        <w:tc>
          <w:tcPr>
            <w:tcW w:w="0" w:type="auto"/>
            <w:tcBorders>
              <w:top w:val="double" w:color="auto" w:sz="4" w:space="0"/>
              <w:bottom w:val="single" w:color="auto" w:sz="4" w:space="0"/>
            </w:tcBorders>
            <w:shd w:val="clear" w:color="auto" w:fill="auto"/>
            <w:noWrap/>
            <w:vAlign w:val="center"/>
          </w:tcPr>
          <w:p>
            <w:pPr>
              <w:widowControl/>
              <w:jc w:val="left"/>
              <w:rPr>
                <w:rFonts w:hint="eastAsia" w:ascii="time" w:hAnsi="time" w:eastAsia="仿宋" w:cs="宋体"/>
                <w:b/>
                <w:color w:val="000000"/>
                <w:kern w:val="0"/>
                <w:sz w:val="15"/>
              </w:rPr>
            </w:pPr>
            <w:r>
              <w:rPr>
                <w:rFonts w:hint="eastAsia" w:ascii="time" w:hAnsi="time" w:eastAsia="仿宋" w:cs="宋体"/>
                <w:b/>
                <w:color w:val="000000"/>
                <w:kern w:val="0"/>
                <w:sz w:val="15"/>
              </w:rPr>
              <w:t>2015</w:t>
            </w:r>
          </w:p>
        </w:tc>
        <w:tc>
          <w:tcPr>
            <w:tcW w:w="0" w:type="auto"/>
            <w:tcBorders>
              <w:top w:val="double" w:color="auto" w:sz="4" w:space="0"/>
              <w:bottom w:val="single" w:color="auto" w:sz="4" w:space="0"/>
            </w:tcBorders>
          </w:tcPr>
          <w:p>
            <w:pPr>
              <w:widowControl/>
              <w:jc w:val="left"/>
              <w:rPr>
                <w:rFonts w:hint="eastAsia" w:ascii="time" w:hAnsi="time" w:eastAsia="仿宋" w:cs="宋体"/>
                <w:b/>
                <w:color w:val="000000"/>
                <w:kern w:val="0"/>
                <w:sz w:val="15"/>
              </w:rPr>
            </w:pPr>
            <w:r>
              <w:rPr>
                <w:rFonts w:hint="eastAsia" w:ascii="time" w:hAnsi="time" w:eastAsia="仿宋" w:cs="宋体"/>
                <w:b/>
                <w:color w:val="000000"/>
                <w:kern w:val="0"/>
                <w:sz w:val="15"/>
              </w:rPr>
              <w:t>2016</w:t>
            </w:r>
          </w:p>
        </w:tc>
        <w:tc>
          <w:tcPr>
            <w:tcW w:w="0" w:type="auto"/>
            <w:tcBorders>
              <w:top w:val="double" w:color="auto" w:sz="4" w:space="0"/>
              <w:bottom w:val="single" w:color="auto" w:sz="4" w:space="0"/>
            </w:tcBorders>
          </w:tcPr>
          <w:p>
            <w:pPr>
              <w:widowControl/>
              <w:jc w:val="left"/>
              <w:rPr>
                <w:rFonts w:hint="eastAsia" w:ascii="time" w:hAnsi="time" w:eastAsia="仿宋" w:cs="宋体"/>
                <w:b/>
                <w:color w:val="000000"/>
                <w:kern w:val="0"/>
                <w:sz w:val="15"/>
              </w:rPr>
            </w:pPr>
            <w:r>
              <w:rPr>
                <w:rFonts w:hint="eastAsia" w:ascii="time" w:hAnsi="time" w:eastAsia="仿宋" w:cs="宋体"/>
                <w:b/>
                <w:color w:val="000000"/>
                <w:kern w:val="0"/>
                <w:sz w:val="15"/>
              </w:rPr>
              <w:t>2017</w:t>
            </w:r>
          </w:p>
        </w:tc>
        <w:tc>
          <w:tcPr>
            <w:tcW w:w="0" w:type="auto"/>
            <w:tcBorders>
              <w:top w:val="double" w:color="auto" w:sz="4" w:space="0"/>
              <w:bottom w:val="single" w:color="auto" w:sz="4" w:space="0"/>
            </w:tcBorders>
          </w:tcPr>
          <w:p>
            <w:pPr>
              <w:widowControl/>
              <w:jc w:val="left"/>
              <w:rPr>
                <w:rFonts w:hint="eastAsia" w:ascii="time" w:hAnsi="time" w:eastAsia="仿宋" w:cs="宋体"/>
                <w:b/>
                <w:color w:val="000000"/>
                <w:kern w:val="0"/>
                <w:sz w:val="15"/>
              </w:rPr>
            </w:pPr>
            <w:r>
              <w:rPr>
                <w:rFonts w:hint="eastAsia" w:ascii="time" w:hAnsi="time" w:eastAsia="仿宋" w:cs="宋体"/>
                <w:b/>
                <w:color w:val="000000"/>
                <w:kern w:val="0"/>
                <w:sz w:val="15"/>
              </w:rPr>
              <w:t>2018</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tcBorders>
              <w:top w:val="single" w:color="auto" w:sz="4" w:space="0"/>
            </w:tcBorders>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北京市</w:t>
            </w:r>
          </w:p>
        </w:tc>
        <w:tc>
          <w:tcPr>
            <w:tcW w:w="0" w:type="auto"/>
            <w:tcBorders>
              <w:top w:val="single" w:color="auto" w:sz="4" w:space="0"/>
            </w:tcBorders>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79.41</w:t>
            </w:r>
          </w:p>
        </w:tc>
        <w:tc>
          <w:tcPr>
            <w:tcW w:w="0" w:type="auto"/>
            <w:tcBorders>
              <w:top w:val="single" w:color="auto" w:sz="4" w:space="0"/>
            </w:tcBorders>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150.65</w:t>
            </w:r>
          </w:p>
        </w:tc>
        <w:tc>
          <w:tcPr>
            <w:tcW w:w="0" w:type="auto"/>
            <w:tcBorders>
              <w:top w:val="single" w:color="auto" w:sz="4" w:space="0"/>
            </w:tcBorders>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215.62</w:t>
            </w:r>
          </w:p>
        </w:tc>
        <w:tc>
          <w:tcPr>
            <w:tcW w:w="0" w:type="auto"/>
            <w:tcBorders>
              <w:top w:val="single" w:color="auto" w:sz="4" w:space="0"/>
            </w:tcBorders>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235.36</w:t>
            </w:r>
          </w:p>
        </w:tc>
        <w:tc>
          <w:tcPr>
            <w:tcW w:w="0" w:type="auto"/>
            <w:tcBorders>
              <w:top w:val="single" w:color="auto" w:sz="4" w:space="0"/>
            </w:tcBorders>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276.38</w:t>
            </w:r>
          </w:p>
        </w:tc>
        <w:tc>
          <w:tcPr>
            <w:tcW w:w="0" w:type="auto"/>
            <w:tcBorders>
              <w:top w:val="single" w:color="auto" w:sz="4" w:space="0"/>
            </w:tcBorders>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286.37</w:t>
            </w:r>
          </w:p>
        </w:tc>
        <w:tc>
          <w:tcPr>
            <w:tcW w:w="0" w:type="auto"/>
            <w:tcBorders>
              <w:top w:val="single" w:color="auto" w:sz="4" w:space="0"/>
            </w:tcBorders>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329.94</w:t>
            </w:r>
          </w:p>
        </w:tc>
        <w:tc>
          <w:tcPr>
            <w:tcW w:w="0" w:type="auto"/>
            <w:tcBorders>
              <w:top w:val="single" w:color="auto" w:sz="4" w:space="0"/>
            </w:tcBorders>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368.54</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天津市</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60.58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122.96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175.26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200.16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237.53</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245.84</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284.03</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316.88</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河北省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32.42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89.32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144.98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160.76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199.53</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214.36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258.17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282.77</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山西省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33.41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92.98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144.22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167.66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206.3</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224.81</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259.95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283.65</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内蒙古自治区</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28.89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91.68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146.59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172.56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214.55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229.93</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258.50</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271.57</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辽宁省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43.29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103.53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160.07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187.61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226.4</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231.41</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267.18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290.95</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吉林省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24.51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87.23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138.36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165.62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208.2</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217.07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254.76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276.08</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黑龙江省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33.58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87.91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141.4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167.8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209.93</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221.89</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256.78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274.73</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上海市</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80.19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150.77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222.14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239.53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278.11</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282.22</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336.65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377.73</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江苏省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62.08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122.03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180.98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204.16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244.01</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253.75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297.69</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334.02</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浙江省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77.39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146.35</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205.77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224.45</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264.85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268.10</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318.05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357.45</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安徽省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33.07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96.63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150.83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180.59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211.28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228.78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271.60</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303.83</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福建省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61.76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123.21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183.1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202.59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245.21</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252.67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299.28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334.44</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江西省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29.74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91.93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146.13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175.69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208.35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223.76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267.17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296.23</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山东省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38.55</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100.35</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159.3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181.88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220.66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232.57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272.06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301.13</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河南省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28.4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83.68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142.08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166.65</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205.34</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223.12</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266.92</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295.76</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湖北省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39.82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101.42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164.76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190.14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226.75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239.86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285.28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319.48</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湖南省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32.68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93.71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147.71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167.27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206.38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217.69</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261.12</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286.81</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广东省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69.48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127.06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184.78</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201.53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240.95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248.00</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296.17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331.92</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广西壮族自治区</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33.89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89.35</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141.46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166.12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207.23</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223.32</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261.94</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289.25</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海南省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45.56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102.94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158.26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179.62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230.33</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231.56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275.64</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309.72</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重庆市</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41.89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100.02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159.86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184.71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221.84</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233.89</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276.31</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301.53</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四川省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40.16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100.13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153.04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173.82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215.48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225.41</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267.80</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294.30</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贵州省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18.47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75.87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121.22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154.62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193.29</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209.45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251.46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276.91</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云南省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24.91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84.43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137.9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164.05</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203.76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217.34</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256.27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285.79</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西藏自治区</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16.22</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68.53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115.1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143.91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186.38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204.73</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245.57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274.33</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陕西省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40.96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98.24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148.37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178.73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216.12</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229.37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266.85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295.95</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甘肃省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18.84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76.29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128.39</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159.76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199.78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204.11</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243.78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266.82</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青海省</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18.33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61.47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118.01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145.93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195.15</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200.38</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240.20</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263.12</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宁夏回族自治区</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31.31</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87.13</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136.74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165.26</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214.7</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212.36</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255.59</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272.92</w:t>
            </w:r>
          </w:p>
        </w:tc>
      </w:tr>
      <w:tr>
        <w:tblPrEx>
          <w:tblBorders>
            <w:top w:val="double" w:color="auto" w:sz="4" w:space="0"/>
            <w:left w:val="none" w:color="auto" w:sz="0" w:space="0"/>
            <w:bottom w:val="double" w:color="auto" w:sz="4" w:space="0"/>
            <w:right w:val="none" w:color="auto" w:sz="0" w:space="0"/>
            <w:insideH w:val="none" w:color="auto" w:sz="0" w:space="0"/>
            <w:insideV w:val="none" w:color="auto" w:sz="0" w:space="0"/>
          </w:tblBorders>
        </w:tblPrEx>
        <w:trPr>
          <w:trHeight w:val="282" w:hRule="atLeast"/>
          <w:jc w:val="center"/>
        </w:trPr>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新疆维吾尔自治区</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20.34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82.45</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143.4</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163.67</w:t>
            </w:r>
          </w:p>
        </w:tc>
        <w:tc>
          <w:tcPr>
            <w:tcW w:w="0" w:type="auto"/>
            <w:shd w:val="clear" w:color="auto" w:fill="auto"/>
            <w:noWrap/>
            <w:vAlign w:val="center"/>
          </w:tcPr>
          <w:p>
            <w:pPr>
              <w:widowControl/>
              <w:jc w:val="left"/>
              <w:rPr>
                <w:rFonts w:hint="eastAsia" w:ascii="time" w:hAnsi="time" w:eastAsia="仿宋" w:cs="宋体"/>
                <w:color w:val="000000"/>
                <w:kern w:val="0"/>
                <w:sz w:val="15"/>
              </w:rPr>
            </w:pPr>
            <w:r>
              <w:rPr>
                <w:rFonts w:hint="eastAsia" w:ascii="time" w:hAnsi="time" w:eastAsia="仿宋" w:cs="宋体"/>
                <w:color w:val="000000"/>
                <w:kern w:val="0"/>
                <w:sz w:val="15"/>
              </w:rPr>
              <w:t>205.49</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208.72</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248.69</w:t>
            </w:r>
          </w:p>
        </w:tc>
        <w:tc>
          <w:tcPr>
            <w:tcW w:w="0" w:type="auto"/>
            <w:vAlign w:val="bottom"/>
          </w:tcPr>
          <w:p>
            <w:pPr>
              <w:widowControl/>
              <w:jc w:val="left"/>
              <w:rPr>
                <w:rFonts w:hint="eastAsia" w:ascii="time" w:hAnsi="time" w:eastAsia="仿宋" w:cs="宋体"/>
                <w:color w:val="000000"/>
                <w:kern w:val="0"/>
                <w:sz w:val="15"/>
              </w:rPr>
            </w:pPr>
            <w:r>
              <w:rPr>
                <w:rFonts w:hint="eastAsia" w:ascii="time" w:hAnsi="time" w:eastAsia="仿宋"/>
                <w:color w:val="000000"/>
                <w:sz w:val="15"/>
              </w:rPr>
              <w:t>271.84</w:t>
            </w:r>
          </w:p>
        </w:tc>
      </w:tr>
    </w:tbl>
    <w:p>
      <w:pPr>
        <w:spacing w:line="360" w:lineRule="auto"/>
        <w:ind w:firstLine="420" w:firstLineChars="200"/>
        <w:rPr>
          <w:sz w:val="24"/>
          <w:szCs w:val="24"/>
        </w:rPr>
      </w:pPr>
      <w:r>
        <w:drawing>
          <wp:inline distT="0" distB="0" distL="0" distR="0">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jc w:val="center"/>
        <w:rPr>
          <w:rFonts w:ascii="仿宋" w:hAnsi="仿宋" w:eastAsia="仿宋" w:cstheme="minorBidi"/>
          <w:b/>
          <w:sz w:val="18"/>
          <w:szCs w:val="18"/>
        </w:rPr>
      </w:pPr>
      <w:r>
        <w:rPr>
          <w:rFonts w:hint="eastAsia" w:ascii="仿宋" w:hAnsi="仿宋" w:eastAsia="仿宋" w:cstheme="minorBidi"/>
          <w:b/>
          <w:sz w:val="18"/>
          <w:szCs w:val="18"/>
        </w:rPr>
        <w:t xml:space="preserve">图2 </w:t>
      </w:r>
      <w:r>
        <w:rPr>
          <w:rFonts w:ascii="仿宋" w:hAnsi="仿宋" w:eastAsia="仿宋" w:cstheme="minorBidi"/>
          <w:b/>
          <w:sz w:val="18"/>
          <w:szCs w:val="18"/>
        </w:rPr>
        <w:t>2011-2018</w:t>
      </w:r>
      <w:r>
        <w:rPr>
          <w:rFonts w:hint="eastAsia" w:ascii="仿宋" w:hAnsi="仿宋" w:eastAsia="仿宋" w:cstheme="minorBidi"/>
          <w:b/>
          <w:sz w:val="18"/>
          <w:szCs w:val="18"/>
        </w:rPr>
        <w:t>年省级数字普惠金融指数的均值和中位值</w:t>
      </w:r>
    </w:p>
    <w:p>
      <w:pPr>
        <w:jc w:val="left"/>
        <w:rPr>
          <w:rFonts w:ascii="仿宋" w:hAnsi="仿宋" w:eastAsia="仿宋" w:cstheme="minorBidi"/>
          <w:sz w:val="18"/>
          <w:szCs w:val="18"/>
        </w:rPr>
      </w:pPr>
      <w:r>
        <w:rPr>
          <w:rFonts w:hint="eastAsia" w:ascii="仿宋" w:hAnsi="仿宋" w:eastAsia="仿宋" w:cstheme="minorBidi"/>
          <w:sz w:val="18"/>
          <w:szCs w:val="18"/>
        </w:rPr>
        <w:t>数据来源：北京大学数字普惠金融指数</w:t>
      </w:r>
    </w:p>
    <w:p>
      <w:pPr>
        <w:ind w:firstLine="420" w:firstLineChars="200"/>
        <w:rPr>
          <w:rFonts w:ascii="Times New Roman" w:hAnsi="Times New Roman" w:eastAsia="仿宋"/>
          <w:szCs w:val="24"/>
        </w:rPr>
      </w:pPr>
      <w:bookmarkStart w:id="29" w:name="_Hlk9346441"/>
      <w:r>
        <w:rPr>
          <w:rFonts w:hint="eastAsia" w:ascii="Times New Roman" w:hAnsi="Times New Roman" w:eastAsia="仿宋"/>
          <w:szCs w:val="24"/>
        </w:rPr>
        <w:t>上述数字普惠金融指数的总体增速掩盖了中国数字普惠金融不同维度之间的不同发展趋势。从分指数来看，在2011-2018年期间，普惠金融数字化程度指数增长最快，数字金融覆盖广度指数次之（但非常接近），数字金融使用深度指数增速最慢</w:t>
      </w:r>
      <w:r>
        <w:rPr>
          <w:rStyle w:val="43"/>
          <w:rFonts w:ascii="Times New Roman" w:hAnsi="Times New Roman" w:eastAsia="仿宋"/>
          <w:szCs w:val="24"/>
        </w:rPr>
        <w:footnoteReference w:id="9"/>
      </w:r>
      <w:r>
        <w:rPr>
          <w:rFonts w:hint="eastAsia" w:ascii="Times New Roman" w:hAnsi="Times New Roman" w:eastAsia="仿宋"/>
          <w:szCs w:val="24"/>
        </w:rPr>
        <w:t>。而且不同年份各分类指数增速也不尽相同，如图3所示，在2014-2017期间，使用深度指数增速是非常快的，也成为数字普惠金融指数增长的重要驱动力。这一点其实非常容易理解，随着数字金融的覆盖广度和数字化程度达到一定程度，数字金融的使用深度将越来越成为各地指数增长的重要驱动。不过，对比2018年的最新数据可以发现，2018年的数字金融使用深度较2017年又小幅下降，细究原因，这主要是在政策限制等因素影响下，货币基金指数和投资指数有所下降，其他几个业务指标实际上依然保持增长趋势。</w:t>
      </w:r>
    </w:p>
    <w:bookmarkEnd w:id="29"/>
    <w:p>
      <w:pPr>
        <w:spacing w:line="360" w:lineRule="auto"/>
        <w:ind w:firstLine="420" w:firstLineChars="200"/>
        <w:rPr>
          <w:sz w:val="24"/>
          <w:szCs w:val="24"/>
        </w:rPr>
      </w:pPr>
      <w:r>
        <w:drawing>
          <wp:inline distT="0" distB="0" distL="0" distR="0">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jc w:val="center"/>
        <w:rPr>
          <w:rFonts w:ascii="仿宋" w:hAnsi="仿宋" w:eastAsia="仿宋" w:cstheme="minorBidi"/>
          <w:b/>
          <w:sz w:val="18"/>
          <w:szCs w:val="18"/>
        </w:rPr>
      </w:pPr>
      <w:r>
        <w:rPr>
          <w:rFonts w:hint="eastAsia" w:ascii="仿宋" w:hAnsi="仿宋" w:eastAsia="仿宋" w:cstheme="minorBidi"/>
          <w:b/>
          <w:sz w:val="18"/>
          <w:szCs w:val="18"/>
        </w:rPr>
        <w:t xml:space="preserve">图3 </w:t>
      </w:r>
      <w:r>
        <w:rPr>
          <w:rFonts w:ascii="仿宋" w:hAnsi="仿宋" w:eastAsia="仿宋" w:cstheme="minorBidi"/>
          <w:b/>
          <w:sz w:val="18"/>
          <w:szCs w:val="18"/>
        </w:rPr>
        <w:t>2011-2018</w:t>
      </w:r>
      <w:r>
        <w:rPr>
          <w:rFonts w:hint="eastAsia" w:ascii="仿宋" w:hAnsi="仿宋" w:eastAsia="仿宋" w:cstheme="minorBidi"/>
          <w:b/>
          <w:sz w:val="18"/>
          <w:szCs w:val="18"/>
        </w:rPr>
        <w:t>年数字普惠金融指数及其一级分指数</w:t>
      </w:r>
    </w:p>
    <w:p>
      <w:pPr>
        <w:jc w:val="left"/>
        <w:rPr>
          <w:rFonts w:ascii="仿宋" w:hAnsi="仿宋" w:eastAsia="仿宋" w:cstheme="minorBidi"/>
          <w:sz w:val="18"/>
          <w:szCs w:val="18"/>
        </w:rPr>
      </w:pPr>
      <w:r>
        <w:rPr>
          <w:rFonts w:hint="eastAsia" w:ascii="仿宋" w:hAnsi="仿宋" w:eastAsia="仿宋" w:cstheme="minorBidi"/>
          <w:sz w:val="18"/>
          <w:szCs w:val="18"/>
        </w:rPr>
        <w:t>数据来源：北京大学数字普惠金融指数</w:t>
      </w:r>
    </w:p>
    <w:p>
      <w:pPr>
        <w:spacing w:before="100" w:beforeAutospacing="1" w:after="100" w:afterAutospacing="1"/>
        <w:ind w:firstLine="420" w:firstLineChars="200"/>
        <w:rPr>
          <w:rFonts w:ascii="Times New Roman" w:hAnsi="Times New Roman" w:eastAsia="仿宋"/>
          <w:szCs w:val="24"/>
        </w:rPr>
      </w:pPr>
      <w:r>
        <w:rPr>
          <w:rFonts w:hint="eastAsia" w:ascii="Times New Roman" w:hAnsi="Times New Roman" w:eastAsia="仿宋"/>
          <w:szCs w:val="24"/>
        </w:rPr>
        <w:t>（二）中国数字普惠金融发展的地区收敛性</w:t>
      </w:r>
    </w:p>
    <w:p>
      <w:pPr>
        <w:ind w:firstLine="420" w:firstLineChars="200"/>
        <w:rPr>
          <w:rFonts w:ascii="Times New Roman" w:hAnsi="Times New Roman" w:eastAsia="仿宋"/>
          <w:szCs w:val="24"/>
        </w:rPr>
      </w:pPr>
      <w:r>
        <w:rPr>
          <w:rFonts w:hint="eastAsia" w:ascii="Times New Roman" w:hAnsi="Times New Roman" w:eastAsia="仿宋"/>
          <w:szCs w:val="24"/>
        </w:rPr>
        <w:t>当然，在数字普惠金融快速增长的同时，与中国大多数经济特征一样，中国的数字普惠金融发展程度在地区间仍然存在一定的差异。如图4所示，2018年数字普惠金融指数得分最高的上海市是得分最低的青海省的1.4倍。在焦瑾璞等（2015）提供的2013年的传统普惠金融指数中，得分最高的上海市是得分最低的西藏自治区的2.8倍（2013年的数字普惠金融指数最高和最低倍数为1.9倍）。而根据社会融资规模计算得到的2017年最高的上海人均社会融资规模增量是最低的吉林的8.4倍。这些对比都说明相对于传统金融，数字金融具有更好的地理穿透性，形成了更广泛的普惠金融覆盖度。</w:t>
      </w:r>
    </w:p>
    <w:p>
      <w:pPr>
        <w:jc w:val="center"/>
      </w:pPr>
      <w:r>
        <w:t xml:space="preserve"> </w:t>
      </w:r>
      <w:r>
        <w:drawing>
          <wp:inline distT="0" distB="0" distL="0" distR="0">
            <wp:extent cx="5213350" cy="2765425"/>
            <wp:effectExtent l="0" t="0" r="635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jc w:val="center"/>
        <w:rPr>
          <w:rFonts w:ascii="仿宋" w:hAnsi="仿宋" w:eastAsia="仿宋" w:cstheme="minorBidi"/>
          <w:b/>
          <w:sz w:val="18"/>
          <w:szCs w:val="18"/>
        </w:rPr>
      </w:pPr>
      <w:r>
        <w:rPr>
          <w:rFonts w:hint="eastAsia" w:ascii="仿宋" w:hAnsi="仿宋" w:eastAsia="仿宋" w:cstheme="minorBidi"/>
          <w:b/>
          <w:sz w:val="18"/>
          <w:szCs w:val="18"/>
        </w:rPr>
        <w:t>图4</w:t>
      </w:r>
      <w:r>
        <w:rPr>
          <w:rFonts w:ascii="仿宋" w:hAnsi="仿宋" w:eastAsia="仿宋" w:cstheme="minorBidi"/>
          <w:b/>
          <w:sz w:val="18"/>
          <w:szCs w:val="18"/>
        </w:rPr>
        <w:t xml:space="preserve"> 2018</w:t>
      </w:r>
      <w:r>
        <w:rPr>
          <w:rFonts w:hint="eastAsia" w:ascii="仿宋" w:hAnsi="仿宋" w:eastAsia="仿宋" w:cstheme="minorBidi"/>
          <w:b/>
          <w:sz w:val="18"/>
          <w:szCs w:val="18"/>
        </w:rPr>
        <w:t>年各省数字普惠金融指数分布</w:t>
      </w:r>
    </w:p>
    <w:p>
      <w:pPr>
        <w:jc w:val="left"/>
        <w:rPr>
          <w:rFonts w:ascii="仿宋" w:hAnsi="仿宋" w:eastAsia="仿宋" w:cstheme="minorBidi"/>
          <w:sz w:val="18"/>
          <w:szCs w:val="18"/>
        </w:rPr>
      </w:pPr>
      <w:r>
        <w:rPr>
          <w:rFonts w:hint="eastAsia" w:ascii="仿宋" w:hAnsi="仿宋" w:eastAsia="仿宋" w:cstheme="minorBidi"/>
          <w:sz w:val="18"/>
          <w:szCs w:val="18"/>
        </w:rPr>
        <w:t>数据来源：北京大学数字普惠金融指数</w:t>
      </w:r>
    </w:p>
    <w:p>
      <w:pPr>
        <w:ind w:firstLine="420" w:firstLineChars="200"/>
        <w:rPr>
          <w:rFonts w:ascii="Times New Roman" w:hAnsi="Times New Roman" w:eastAsia="仿宋"/>
          <w:szCs w:val="24"/>
        </w:rPr>
      </w:pPr>
      <w:r>
        <w:rPr>
          <w:rFonts w:hint="eastAsia" w:ascii="Times New Roman" w:hAnsi="Times New Roman" w:eastAsia="仿宋"/>
          <w:szCs w:val="24"/>
        </w:rPr>
        <w:t>而且，我们认为重要的不仅仅是数字普惠金融地区间差距比传统金融小，更重要的是数字普惠金融地区间的差距是否随着时间而进一步缩小。若数字普惠金融在地区间差异能逐步缩小，则即便落后地区在期初相对落后，但后面也有追赶上的可能，不至于“输在起跑线上”，而这也是数字普惠金融的应有之义。为了更严谨地论证地区数字普惠金融发展差距的时间趋势，我们借助经济学中关于地区经济收敛性的论证方法进行讨论（</w:t>
      </w:r>
      <w:r>
        <w:rPr>
          <w:rFonts w:ascii="Times New Roman" w:hAnsi="Times New Roman" w:eastAsia="仿宋"/>
          <w:szCs w:val="24"/>
        </w:rPr>
        <w:t>Barro and Sala-i-Martin</w:t>
      </w:r>
      <w:r>
        <w:rPr>
          <w:rFonts w:hint="eastAsia" w:ascii="Times New Roman" w:hAnsi="Times New Roman" w:eastAsia="仿宋"/>
          <w:szCs w:val="24"/>
        </w:rPr>
        <w:t>，1992；</w:t>
      </w:r>
      <w:r>
        <w:rPr>
          <w:rFonts w:ascii="Times New Roman" w:hAnsi="Times New Roman" w:eastAsia="仿宋"/>
          <w:szCs w:val="24"/>
        </w:rPr>
        <w:t>Sala-i-Martin</w:t>
      </w:r>
      <w:r>
        <w:rPr>
          <w:rFonts w:hint="eastAsia" w:ascii="Times New Roman" w:hAnsi="Times New Roman" w:eastAsia="仿宋"/>
          <w:szCs w:val="24"/>
        </w:rPr>
        <w:t>，1996）。相关文献中，经济收敛的主要验证方法是</w:t>
      </w:r>
      <m:oMath>
        <m:r>
          <m:rPr>
            <m:sty m:val="p"/>
          </m:rPr>
          <w:rPr>
            <w:rFonts w:ascii="Cambria Math" w:hAnsi="Cambria Math" w:eastAsia="仿宋"/>
            <w:szCs w:val="24"/>
          </w:rPr>
          <m:t>σ</m:t>
        </m:r>
      </m:oMath>
      <w:r>
        <w:rPr>
          <w:rFonts w:hint="eastAsia" w:ascii="Times New Roman" w:hAnsi="Times New Roman" w:eastAsia="仿宋"/>
          <w:szCs w:val="24"/>
        </w:rPr>
        <w:t>收敛模型和</w:t>
      </w:r>
      <m:oMath>
        <m:r>
          <m:rPr>
            <m:sty m:val="p"/>
          </m:rPr>
          <w:rPr>
            <w:rFonts w:ascii="Cambria Math" w:hAnsi="Cambria Math" w:eastAsia="仿宋"/>
            <w:szCs w:val="24"/>
          </w:rPr>
          <m:t>β</m:t>
        </m:r>
      </m:oMath>
      <w:r>
        <w:rPr>
          <w:rFonts w:hint="eastAsia" w:ascii="Times New Roman" w:hAnsi="Times New Roman" w:eastAsia="仿宋"/>
          <w:szCs w:val="24"/>
        </w:rPr>
        <w:t>收敛模型。</w:t>
      </w:r>
    </w:p>
    <w:p>
      <w:pPr>
        <w:ind w:firstLine="420" w:firstLineChars="200"/>
        <w:rPr>
          <w:rFonts w:ascii="Times New Roman" w:hAnsi="Times New Roman" w:eastAsia="仿宋"/>
          <w:szCs w:val="24"/>
        </w:rPr>
      </w:pPr>
      <w:r>
        <w:rPr>
          <w:rFonts w:hint="eastAsia" w:ascii="Times New Roman" w:hAnsi="Times New Roman" w:eastAsia="仿宋"/>
          <w:szCs w:val="24"/>
        </w:rPr>
        <w:t>（1）</w:t>
      </w:r>
      <m:oMath>
        <m:r>
          <m:rPr>
            <m:sty m:val="p"/>
          </m:rPr>
          <w:rPr>
            <w:rFonts w:ascii="Cambria Math" w:hAnsi="Cambria Math" w:eastAsia="仿宋"/>
            <w:szCs w:val="24"/>
          </w:rPr>
          <m:t>σ</m:t>
        </m:r>
      </m:oMath>
      <w:r>
        <w:rPr>
          <w:rFonts w:hint="eastAsia" w:ascii="Times New Roman" w:hAnsi="Times New Roman" w:eastAsia="仿宋"/>
          <w:szCs w:val="24"/>
        </w:rPr>
        <w:t>收敛模型。</w:t>
      </w:r>
      <m:oMath>
        <m:r>
          <m:rPr>
            <m:sty m:val="p"/>
          </m:rPr>
          <w:rPr>
            <w:rFonts w:ascii="Cambria Math" w:hAnsi="Cambria Math" w:eastAsia="仿宋"/>
            <w:szCs w:val="24"/>
          </w:rPr>
          <m:t>σ</m:t>
        </m:r>
      </m:oMath>
      <w:r>
        <w:rPr>
          <w:rFonts w:hint="eastAsia" w:ascii="Times New Roman" w:hAnsi="Times New Roman" w:eastAsia="仿宋"/>
          <w:szCs w:val="24"/>
        </w:rPr>
        <w:t>收敛是针对存量水平的刻画，反映的是地区数字普惠金融偏离整体平均水平的差异以及这种差异的动态过程，即如果这种差异越来越小，则可以认为地区数字普惠金融存在收敛性。具体而言，</w:t>
      </w:r>
      <m:oMath>
        <m:r>
          <m:rPr>
            <m:sty m:val="p"/>
          </m:rPr>
          <w:rPr>
            <w:rFonts w:ascii="Cambria Math" w:hAnsi="Cambria Math" w:eastAsia="仿宋"/>
            <w:szCs w:val="24"/>
          </w:rPr>
          <m:t>σ</m:t>
        </m:r>
      </m:oMath>
      <w:r>
        <w:rPr>
          <w:rFonts w:hint="eastAsia" w:ascii="Times New Roman" w:hAnsi="Times New Roman" w:eastAsia="仿宋"/>
          <w:szCs w:val="24"/>
        </w:rPr>
        <w:t>收敛模型可以定义为：</w:t>
      </w:r>
    </w:p>
    <w:p>
      <w:pPr>
        <w:ind w:firstLine="420" w:firstLineChars="200"/>
        <w:jc w:val="center"/>
        <w:rPr>
          <w:rFonts w:ascii="Times New Roman" w:hAnsi="Times New Roman" w:eastAsia="仿宋"/>
          <w:szCs w:val="24"/>
        </w:rPr>
      </w:pPr>
      <m:oMath>
        <m:sSub>
          <m:sSubPr>
            <m:ctrlPr>
              <w:rPr>
                <w:rFonts w:ascii="Cambria Math" w:hAnsi="Cambria Math" w:eastAsia="仿宋"/>
                <w:szCs w:val="24"/>
              </w:rPr>
            </m:ctrlPr>
          </m:sSubPr>
          <m:e>
            <m:r>
              <m:rPr/>
              <w:rPr>
                <w:rFonts w:ascii="Cambria Math" w:hAnsi="Cambria Math" w:eastAsia="仿宋"/>
                <w:szCs w:val="24"/>
              </w:rPr>
              <m:t>σ</m:t>
            </m:r>
            <m:ctrlPr>
              <w:rPr>
                <w:rFonts w:ascii="Cambria Math" w:hAnsi="Cambria Math" w:eastAsia="仿宋"/>
                <w:szCs w:val="24"/>
              </w:rPr>
            </m:ctrlPr>
          </m:e>
          <m:sub>
            <m:r>
              <m:rPr/>
              <w:rPr>
                <w:rFonts w:ascii="Cambria Math" w:hAnsi="Cambria Math" w:eastAsia="仿宋"/>
                <w:szCs w:val="24"/>
              </w:rPr>
              <m:t>t</m:t>
            </m:r>
            <m:ctrlPr>
              <w:rPr>
                <w:rFonts w:ascii="Cambria Math" w:hAnsi="Cambria Math" w:eastAsia="仿宋"/>
                <w:szCs w:val="24"/>
              </w:rPr>
            </m:ctrlPr>
          </m:sub>
        </m:sSub>
        <m:r>
          <m:rPr/>
          <w:rPr>
            <w:rFonts w:ascii="Cambria Math" w:hAnsi="Cambria Math" w:eastAsia="仿宋"/>
            <w:szCs w:val="24"/>
          </w:rPr>
          <m:t>=</m:t>
        </m:r>
        <m:rad>
          <m:radPr>
            <m:degHide m:val="1"/>
            <m:ctrlPr>
              <w:rPr>
                <w:rFonts w:ascii="Cambria Math" w:hAnsi="Cambria Math" w:eastAsia="仿宋"/>
                <w:i/>
                <w:szCs w:val="24"/>
              </w:rPr>
            </m:ctrlPr>
          </m:radPr>
          <m:deg>
            <m:ctrlPr>
              <w:rPr>
                <w:rFonts w:ascii="Cambria Math" w:hAnsi="Cambria Math" w:eastAsia="仿宋"/>
                <w:i/>
                <w:szCs w:val="24"/>
              </w:rPr>
            </m:ctrlPr>
          </m:deg>
          <m:e>
            <m:f>
              <m:fPr>
                <m:ctrlPr>
                  <w:rPr>
                    <w:rFonts w:ascii="Cambria Math" w:hAnsi="Cambria Math" w:eastAsia="仿宋"/>
                    <w:i/>
                    <w:szCs w:val="24"/>
                  </w:rPr>
                </m:ctrlPr>
              </m:fPr>
              <m:num>
                <m:r>
                  <m:rPr/>
                  <w:rPr>
                    <w:rFonts w:ascii="Cambria Math" w:hAnsi="Cambria Math" w:eastAsia="仿宋"/>
                    <w:szCs w:val="24"/>
                  </w:rPr>
                  <m:t>1</m:t>
                </m:r>
                <m:ctrlPr>
                  <w:rPr>
                    <w:rFonts w:ascii="Cambria Math" w:hAnsi="Cambria Math" w:eastAsia="仿宋"/>
                    <w:i/>
                    <w:szCs w:val="24"/>
                  </w:rPr>
                </m:ctrlPr>
              </m:num>
              <m:den>
                <m:r>
                  <m:rPr/>
                  <w:rPr>
                    <w:rFonts w:ascii="Cambria Math" w:hAnsi="Cambria Math" w:eastAsia="仿宋"/>
                    <w:szCs w:val="24"/>
                  </w:rPr>
                  <m:t>n</m:t>
                </m:r>
                <m:ctrlPr>
                  <w:rPr>
                    <w:rFonts w:ascii="Cambria Math" w:hAnsi="Cambria Math" w:eastAsia="仿宋"/>
                    <w:i/>
                    <w:szCs w:val="24"/>
                  </w:rPr>
                </m:ctrlPr>
              </m:den>
            </m:f>
            <m:nary>
              <m:naryPr>
                <m:chr m:val="∑"/>
                <m:limLoc m:val="undOvr"/>
                <m:ctrlPr>
                  <w:rPr>
                    <w:rFonts w:ascii="Cambria Math" w:hAnsi="Cambria Math" w:eastAsia="仿宋"/>
                    <w:i/>
                    <w:szCs w:val="24"/>
                  </w:rPr>
                </m:ctrlPr>
              </m:naryPr>
              <m:sub>
                <m:r>
                  <m:rPr/>
                  <w:rPr>
                    <w:rFonts w:ascii="Cambria Math" w:hAnsi="Cambria Math" w:eastAsia="仿宋"/>
                    <w:szCs w:val="24"/>
                  </w:rPr>
                  <m:t>i=1</m:t>
                </m:r>
                <m:ctrlPr>
                  <w:rPr>
                    <w:rFonts w:ascii="Cambria Math" w:hAnsi="Cambria Math" w:eastAsia="仿宋"/>
                    <w:i/>
                    <w:szCs w:val="24"/>
                  </w:rPr>
                </m:ctrlPr>
              </m:sub>
              <m:sup>
                <m:r>
                  <m:rPr/>
                  <w:rPr>
                    <w:rFonts w:ascii="Cambria Math" w:hAnsi="Cambria Math" w:eastAsia="仿宋"/>
                    <w:szCs w:val="24"/>
                  </w:rPr>
                  <m:t>n</m:t>
                </m:r>
                <m:ctrlPr>
                  <w:rPr>
                    <w:rFonts w:ascii="Cambria Math" w:hAnsi="Cambria Math" w:eastAsia="仿宋"/>
                    <w:i/>
                    <w:szCs w:val="24"/>
                  </w:rPr>
                </m:ctrlPr>
              </m:sup>
              <m:e>
                <m:sSup>
                  <m:sSupPr>
                    <m:ctrlPr>
                      <w:rPr>
                        <w:rFonts w:ascii="Cambria Math" w:hAnsi="Cambria Math" w:eastAsia="仿宋"/>
                        <w:i/>
                        <w:szCs w:val="24"/>
                      </w:rPr>
                    </m:ctrlPr>
                  </m:sSupPr>
                  <m:e>
                    <m:r>
                      <m:rPr/>
                      <w:rPr>
                        <w:rFonts w:ascii="Cambria Math" w:hAnsi="Cambria Math" w:eastAsia="仿宋"/>
                        <w:szCs w:val="24"/>
                      </w:rPr>
                      <m:t>(</m:t>
                    </m:r>
                    <m:sSub>
                      <m:sSubPr>
                        <m:ctrlPr>
                          <w:rPr>
                            <w:rFonts w:ascii="Cambria Math" w:hAnsi="Cambria Math" w:eastAsia="仿宋"/>
                            <w:i/>
                            <w:szCs w:val="24"/>
                          </w:rPr>
                        </m:ctrlPr>
                      </m:sSubPr>
                      <m:e>
                        <m:r>
                          <m:rPr/>
                          <w:rPr>
                            <w:rFonts w:ascii="Cambria Math" w:hAnsi="Cambria Math" w:eastAsia="仿宋"/>
                            <w:szCs w:val="24"/>
                          </w:rPr>
                          <m:t>lnindex</m:t>
                        </m:r>
                        <m:ctrlPr>
                          <w:rPr>
                            <w:rFonts w:ascii="Cambria Math" w:hAnsi="Cambria Math" w:eastAsia="仿宋"/>
                            <w:i/>
                            <w:szCs w:val="24"/>
                          </w:rPr>
                        </m:ctrlPr>
                      </m:e>
                      <m:sub>
                        <m:r>
                          <m:rPr/>
                          <w:rPr>
                            <w:rFonts w:ascii="Cambria Math" w:hAnsi="Cambria Math" w:eastAsia="仿宋"/>
                            <w:szCs w:val="24"/>
                          </w:rPr>
                          <m:t>it</m:t>
                        </m:r>
                        <m:ctrlPr>
                          <w:rPr>
                            <w:rFonts w:ascii="Cambria Math" w:hAnsi="Cambria Math" w:eastAsia="仿宋"/>
                            <w:i/>
                            <w:szCs w:val="24"/>
                          </w:rPr>
                        </m:ctrlPr>
                      </m:sub>
                    </m:sSub>
                    <m:r>
                      <m:rPr/>
                      <w:rPr>
                        <w:rFonts w:ascii="Cambria Math" w:hAnsi="Cambria Math" w:eastAsia="仿宋"/>
                        <w:szCs w:val="24"/>
                      </w:rPr>
                      <m:t>−</m:t>
                    </m:r>
                    <m:f>
                      <m:fPr>
                        <m:ctrlPr>
                          <w:rPr>
                            <w:rFonts w:ascii="Cambria Math" w:hAnsi="Cambria Math" w:eastAsia="仿宋"/>
                            <w:i/>
                            <w:szCs w:val="24"/>
                          </w:rPr>
                        </m:ctrlPr>
                      </m:fPr>
                      <m:num>
                        <m:r>
                          <m:rPr/>
                          <w:rPr>
                            <w:rFonts w:ascii="Cambria Math" w:hAnsi="Cambria Math" w:eastAsia="仿宋"/>
                            <w:szCs w:val="24"/>
                          </w:rPr>
                          <m:t>1</m:t>
                        </m:r>
                        <m:ctrlPr>
                          <w:rPr>
                            <w:rFonts w:ascii="Cambria Math" w:hAnsi="Cambria Math" w:eastAsia="仿宋"/>
                            <w:i/>
                            <w:szCs w:val="24"/>
                          </w:rPr>
                        </m:ctrlPr>
                      </m:num>
                      <m:den>
                        <m:r>
                          <m:rPr/>
                          <w:rPr>
                            <w:rFonts w:ascii="Cambria Math" w:hAnsi="Cambria Math" w:eastAsia="仿宋"/>
                            <w:szCs w:val="24"/>
                          </w:rPr>
                          <m:t>n</m:t>
                        </m:r>
                        <m:ctrlPr>
                          <w:rPr>
                            <w:rFonts w:ascii="Cambria Math" w:hAnsi="Cambria Math" w:eastAsia="仿宋"/>
                            <w:i/>
                            <w:szCs w:val="24"/>
                          </w:rPr>
                        </m:ctrlPr>
                      </m:den>
                    </m:f>
                    <m:nary>
                      <m:naryPr>
                        <m:chr m:val="∑"/>
                        <m:limLoc m:val="undOvr"/>
                        <m:ctrlPr>
                          <w:rPr>
                            <w:rFonts w:ascii="Cambria Math" w:hAnsi="Cambria Math" w:eastAsia="仿宋"/>
                            <w:i/>
                            <w:szCs w:val="24"/>
                          </w:rPr>
                        </m:ctrlPr>
                      </m:naryPr>
                      <m:sub>
                        <m:r>
                          <m:rPr/>
                          <w:rPr>
                            <w:rFonts w:ascii="Cambria Math" w:hAnsi="Cambria Math" w:eastAsia="仿宋"/>
                            <w:szCs w:val="24"/>
                          </w:rPr>
                          <m:t>i=1</m:t>
                        </m:r>
                        <m:ctrlPr>
                          <w:rPr>
                            <w:rFonts w:ascii="Cambria Math" w:hAnsi="Cambria Math" w:eastAsia="仿宋"/>
                            <w:i/>
                            <w:szCs w:val="24"/>
                          </w:rPr>
                        </m:ctrlPr>
                      </m:sub>
                      <m:sup>
                        <m:r>
                          <m:rPr/>
                          <w:rPr>
                            <w:rFonts w:ascii="Cambria Math" w:hAnsi="Cambria Math" w:eastAsia="仿宋"/>
                            <w:szCs w:val="24"/>
                          </w:rPr>
                          <m:t>n</m:t>
                        </m:r>
                        <m:ctrlPr>
                          <w:rPr>
                            <w:rFonts w:ascii="Cambria Math" w:hAnsi="Cambria Math" w:eastAsia="仿宋"/>
                            <w:i/>
                            <w:szCs w:val="24"/>
                          </w:rPr>
                        </m:ctrlPr>
                      </m:sup>
                      <m:e>
                        <m:sSub>
                          <m:sSubPr>
                            <m:ctrlPr>
                              <w:rPr>
                                <w:rFonts w:ascii="Cambria Math" w:hAnsi="Cambria Math" w:eastAsia="仿宋"/>
                                <w:i/>
                                <w:szCs w:val="24"/>
                              </w:rPr>
                            </m:ctrlPr>
                          </m:sSubPr>
                          <m:e>
                            <m:r>
                              <m:rPr/>
                              <w:rPr>
                                <w:rFonts w:ascii="Cambria Math" w:hAnsi="Cambria Math" w:eastAsia="仿宋"/>
                                <w:szCs w:val="24"/>
                              </w:rPr>
                              <m:t>lnindex</m:t>
                            </m:r>
                            <m:ctrlPr>
                              <w:rPr>
                                <w:rFonts w:ascii="Cambria Math" w:hAnsi="Cambria Math" w:eastAsia="仿宋"/>
                                <w:i/>
                                <w:szCs w:val="24"/>
                              </w:rPr>
                            </m:ctrlPr>
                          </m:e>
                          <m:sub>
                            <m:r>
                              <m:rPr/>
                              <w:rPr>
                                <w:rFonts w:ascii="Cambria Math" w:hAnsi="Cambria Math" w:eastAsia="仿宋"/>
                                <w:szCs w:val="24"/>
                              </w:rPr>
                              <m:t>it</m:t>
                            </m:r>
                            <m:ctrlPr>
                              <w:rPr>
                                <w:rFonts w:ascii="Cambria Math" w:hAnsi="Cambria Math" w:eastAsia="仿宋"/>
                                <w:i/>
                                <w:szCs w:val="24"/>
                              </w:rPr>
                            </m:ctrlPr>
                          </m:sub>
                        </m:sSub>
                        <m:ctrlPr>
                          <w:rPr>
                            <w:rFonts w:ascii="Cambria Math" w:hAnsi="Cambria Math" w:eastAsia="仿宋"/>
                            <w:i/>
                            <w:szCs w:val="24"/>
                          </w:rPr>
                        </m:ctrlPr>
                      </m:e>
                    </m:nary>
                    <m:r>
                      <m:rPr/>
                      <w:rPr>
                        <w:rFonts w:ascii="Cambria Math" w:hAnsi="Cambria Math" w:eastAsia="仿宋"/>
                        <w:szCs w:val="24"/>
                      </w:rPr>
                      <m:t>)</m:t>
                    </m:r>
                    <m:ctrlPr>
                      <w:rPr>
                        <w:rFonts w:ascii="Cambria Math" w:hAnsi="Cambria Math" w:eastAsia="仿宋"/>
                        <w:i/>
                        <w:szCs w:val="24"/>
                      </w:rPr>
                    </m:ctrlPr>
                  </m:e>
                  <m:sup>
                    <m:r>
                      <m:rPr/>
                      <w:rPr>
                        <w:rFonts w:ascii="Cambria Math" w:hAnsi="Cambria Math" w:eastAsia="仿宋"/>
                        <w:szCs w:val="24"/>
                      </w:rPr>
                      <m:t>2</m:t>
                    </m:r>
                    <m:ctrlPr>
                      <w:rPr>
                        <w:rFonts w:ascii="Cambria Math" w:hAnsi="Cambria Math" w:eastAsia="仿宋"/>
                        <w:i/>
                        <w:szCs w:val="24"/>
                      </w:rPr>
                    </m:ctrlPr>
                  </m:sup>
                </m:sSup>
                <m:ctrlPr>
                  <w:rPr>
                    <w:rFonts w:ascii="Cambria Math" w:hAnsi="Cambria Math" w:eastAsia="仿宋"/>
                    <w:i/>
                    <w:szCs w:val="24"/>
                  </w:rPr>
                </m:ctrlPr>
              </m:e>
            </m:nary>
            <m:ctrlPr>
              <w:rPr>
                <w:rFonts w:ascii="Cambria Math" w:hAnsi="Cambria Math" w:eastAsia="仿宋"/>
                <w:i/>
                <w:szCs w:val="24"/>
              </w:rPr>
            </m:ctrlPr>
          </m:e>
        </m:rad>
      </m:oMath>
      <w:r>
        <w:rPr>
          <w:rFonts w:hint="eastAsia" w:ascii="Times New Roman" w:hAnsi="Times New Roman" w:eastAsia="仿宋"/>
          <w:szCs w:val="24"/>
        </w:rPr>
        <w:t xml:space="preserve"> </w:t>
      </w:r>
      <w:r>
        <w:rPr>
          <w:rFonts w:ascii="Times New Roman" w:hAnsi="Times New Roman" w:eastAsia="仿宋"/>
          <w:szCs w:val="24"/>
        </w:rPr>
        <w:t xml:space="preserve">     (3)</w:t>
      </w:r>
    </w:p>
    <w:p>
      <w:pPr>
        <w:rPr>
          <w:rFonts w:ascii="Times New Roman" w:hAnsi="Times New Roman" w:eastAsia="仿宋"/>
          <w:szCs w:val="24"/>
        </w:rPr>
      </w:pPr>
      <w:r>
        <w:rPr>
          <w:rFonts w:hint="eastAsia" w:ascii="Times New Roman" w:hAnsi="Times New Roman" w:eastAsia="仿宋"/>
          <w:szCs w:val="24"/>
        </w:rPr>
        <w:t>其中，i代表地区（省、地市和县域等），</w:t>
      </w:r>
      <m:oMath>
        <m:r>
          <m:rPr>
            <m:sty m:val="p"/>
          </m:rPr>
          <w:rPr>
            <w:rFonts w:hint="eastAsia" w:ascii="Cambria Math" w:hAnsi="Cambria Math" w:eastAsia="仿宋"/>
            <w:szCs w:val="24"/>
          </w:rPr>
          <m:t>n</m:t>
        </m:r>
      </m:oMath>
      <w:r>
        <w:rPr>
          <w:rFonts w:hint="eastAsia" w:ascii="Times New Roman" w:hAnsi="Times New Roman" w:eastAsia="仿宋"/>
          <w:szCs w:val="24"/>
        </w:rPr>
        <w:t>代表地区数量，</w:t>
      </w:r>
      <w:r>
        <w:rPr>
          <w:rFonts w:ascii="Times New Roman" w:hAnsi="Times New Roman" w:eastAsia="仿宋"/>
          <w:szCs w:val="24"/>
        </w:rPr>
        <w:t>t</w:t>
      </w:r>
      <w:r>
        <w:rPr>
          <w:rFonts w:hint="eastAsia" w:ascii="Times New Roman" w:hAnsi="Times New Roman" w:eastAsia="仿宋"/>
          <w:szCs w:val="24"/>
        </w:rPr>
        <w:t>代表年份，</w:t>
      </w:r>
      <m:oMath>
        <m:sSub>
          <m:sSubPr>
            <m:ctrlPr>
              <w:rPr>
                <w:rFonts w:ascii="Cambria Math" w:hAnsi="Cambria Math" w:eastAsia="仿宋"/>
                <w:szCs w:val="24"/>
              </w:rPr>
            </m:ctrlPr>
          </m:sSubPr>
          <m:e>
            <m:r>
              <m:rPr/>
              <w:rPr>
                <w:rFonts w:ascii="Cambria Math" w:hAnsi="Cambria Math" w:eastAsia="仿宋"/>
                <w:szCs w:val="24"/>
              </w:rPr>
              <m:t>lnindex</m:t>
            </m:r>
            <m:ctrlPr>
              <w:rPr>
                <w:rFonts w:ascii="Cambria Math" w:hAnsi="Cambria Math" w:eastAsia="仿宋"/>
                <w:szCs w:val="24"/>
              </w:rPr>
            </m:ctrlPr>
          </m:e>
          <m:sub>
            <m:r>
              <m:rPr/>
              <w:rPr>
                <w:rFonts w:ascii="Cambria Math" w:hAnsi="Cambria Math" w:eastAsia="仿宋"/>
                <w:szCs w:val="24"/>
              </w:rPr>
              <m:t>it</m:t>
            </m:r>
            <m:ctrlPr>
              <w:rPr>
                <w:rFonts w:ascii="Cambria Math" w:hAnsi="Cambria Math" w:eastAsia="仿宋"/>
                <w:szCs w:val="24"/>
              </w:rPr>
            </m:ctrlPr>
          </m:sub>
        </m:sSub>
      </m:oMath>
      <w:r>
        <w:rPr>
          <w:rFonts w:hint="eastAsia" w:ascii="Times New Roman" w:hAnsi="Times New Roman" w:eastAsia="仿宋"/>
          <w:szCs w:val="24"/>
        </w:rPr>
        <w:t>代表t年i地区的数字普惠金融指数对数值，</w:t>
      </w:r>
      <m:oMath>
        <m:sSub>
          <m:sSubPr>
            <m:ctrlPr>
              <w:rPr>
                <w:rFonts w:ascii="Cambria Math" w:hAnsi="Cambria Math" w:eastAsia="仿宋"/>
                <w:szCs w:val="24"/>
              </w:rPr>
            </m:ctrlPr>
          </m:sSubPr>
          <m:e>
            <m:r>
              <m:rPr/>
              <w:rPr>
                <w:rFonts w:ascii="Cambria Math" w:hAnsi="Cambria Math" w:eastAsia="仿宋"/>
                <w:szCs w:val="24"/>
              </w:rPr>
              <m:t>σ</m:t>
            </m:r>
            <m:ctrlPr>
              <w:rPr>
                <w:rFonts w:ascii="Cambria Math" w:hAnsi="Cambria Math" w:eastAsia="仿宋"/>
                <w:szCs w:val="24"/>
              </w:rPr>
            </m:ctrlPr>
          </m:e>
          <m:sub>
            <m:r>
              <m:rPr/>
              <w:rPr>
                <w:rFonts w:ascii="Cambria Math" w:hAnsi="Cambria Math" w:eastAsia="仿宋"/>
                <w:szCs w:val="24"/>
              </w:rPr>
              <m:t>t</m:t>
            </m:r>
            <m:ctrlPr>
              <w:rPr>
                <w:rFonts w:ascii="Cambria Math" w:hAnsi="Cambria Math" w:eastAsia="仿宋"/>
                <w:szCs w:val="24"/>
              </w:rPr>
            </m:ctrlPr>
          </m:sub>
        </m:sSub>
      </m:oMath>
      <w:r>
        <w:rPr>
          <w:rFonts w:hint="eastAsia" w:ascii="Times New Roman" w:hAnsi="Times New Roman" w:eastAsia="仿宋"/>
          <w:szCs w:val="24"/>
        </w:rPr>
        <w:t>代表t年时数字普惠金融指数的</w:t>
      </w:r>
      <m:oMath>
        <m:r>
          <m:rPr>
            <m:sty m:val="p"/>
          </m:rPr>
          <w:rPr>
            <w:rFonts w:ascii="Cambria Math" w:hAnsi="Cambria Math" w:eastAsia="仿宋"/>
            <w:szCs w:val="24"/>
          </w:rPr>
          <m:t>σ</m:t>
        </m:r>
      </m:oMath>
      <w:r>
        <w:rPr>
          <w:rFonts w:hint="eastAsia" w:ascii="Times New Roman" w:hAnsi="Times New Roman" w:eastAsia="仿宋"/>
          <w:szCs w:val="24"/>
        </w:rPr>
        <w:t>收敛检验系数。如果</w:t>
      </w:r>
      <m:oMath>
        <m:sSub>
          <m:sSubPr>
            <m:ctrlPr>
              <w:rPr>
                <w:rFonts w:ascii="Cambria Math" w:hAnsi="Cambria Math" w:eastAsia="仿宋"/>
                <w:szCs w:val="24"/>
              </w:rPr>
            </m:ctrlPr>
          </m:sSubPr>
          <m:e>
            <m:r>
              <m:rPr/>
              <w:rPr>
                <w:rFonts w:ascii="Cambria Math" w:hAnsi="Cambria Math" w:eastAsia="仿宋"/>
                <w:szCs w:val="24"/>
              </w:rPr>
              <m:t>σ</m:t>
            </m:r>
            <m:ctrlPr>
              <w:rPr>
                <w:rFonts w:ascii="Cambria Math" w:hAnsi="Cambria Math" w:eastAsia="仿宋"/>
                <w:szCs w:val="24"/>
              </w:rPr>
            </m:ctrlPr>
          </m:e>
          <m:sub>
            <m:r>
              <m:rPr/>
              <w:rPr>
                <w:rFonts w:ascii="Cambria Math" w:hAnsi="Cambria Math" w:eastAsia="仿宋"/>
                <w:szCs w:val="24"/>
              </w:rPr>
              <m:t>t</m:t>
            </m:r>
            <m:r>
              <m:rPr/>
              <w:rPr>
                <w:rFonts w:hint="eastAsia" w:ascii="Cambria Math" w:hAnsi="Cambria Math" w:eastAsia="仿宋" w:cs="微软雅黑"/>
                <w:szCs w:val="24"/>
              </w:rPr>
              <m:t>+</m:t>
            </m:r>
            <m:r>
              <m:rPr/>
              <w:rPr>
                <w:rFonts w:hint="eastAsia" w:ascii="Cambria Math" w:hAnsi="Cambria Math" w:eastAsia="仿宋"/>
                <w:szCs w:val="24"/>
              </w:rPr>
              <m:t>1</m:t>
            </m:r>
            <m:ctrlPr>
              <w:rPr>
                <w:rFonts w:ascii="Cambria Math" w:hAnsi="Cambria Math" w:eastAsia="仿宋"/>
                <w:szCs w:val="24"/>
              </w:rPr>
            </m:ctrlPr>
          </m:sub>
        </m:sSub>
        <m:r>
          <m:rPr/>
          <w:rPr>
            <w:rFonts w:ascii="Cambria Math" w:hAnsi="Cambria Math" w:eastAsia="仿宋"/>
            <w:szCs w:val="24"/>
          </w:rPr>
          <m:t>&lt;</m:t>
        </m:r>
        <m:sSub>
          <m:sSubPr>
            <m:ctrlPr>
              <w:rPr>
                <w:rFonts w:ascii="Cambria Math" w:hAnsi="Cambria Math" w:eastAsia="仿宋"/>
                <w:szCs w:val="24"/>
              </w:rPr>
            </m:ctrlPr>
          </m:sSubPr>
          <m:e>
            <m:r>
              <m:rPr/>
              <w:rPr>
                <w:rFonts w:ascii="Cambria Math" w:hAnsi="Cambria Math" w:eastAsia="仿宋"/>
                <w:szCs w:val="24"/>
              </w:rPr>
              <m:t>σ</m:t>
            </m:r>
            <m:ctrlPr>
              <w:rPr>
                <w:rFonts w:ascii="Cambria Math" w:hAnsi="Cambria Math" w:eastAsia="仿宋"/>
                <w:szCs w:val="24"/>
              </w:rPr>
            </m:ctrlPr>
          </m:e>
          <m:sub>
            <m:r>
              <m:rPr/>
              <w:rPr>
                <w:rFonts w:ascii="Cambria Math" w:hAnsi="Cambria Math" w:eastAsia="仿宋"/>
                <w:szCs w:val="24"/>
              </w:rPr>
              <m:t>t</m:t>
            </m:r>
            <m:ctrlPr>
              <w:rPr>
                <w:rFonts w:ascii="Cambria Math" w:hAnsi="Cambria Math" w:eastAsia="仿宋"/>
                <w:szCs w:val="24"/>
              </w:rPr>
            </m:ctrlPr>
          </m:sub>
        </m:sSub>
      </m:oMath>
      <w:r>
        <w:rPr>
          <w:rFonts w:hint="eastAsia" w:ascii="Times New Roman" w:hAnsi="Times New Roman" w:eastAsia="仿宋"/>
          <w:szCs w:val="24"/>
        </w:rPr>
        <w:t>则可以认为</w:t>
      </w:r>
      <m:oMath>
        <m:r>
          <m:rPr>
            <m:nor/>
          </m:rPr>
          <w:rPr>
            <w:rFonts w:ascii="Times New Roman" w:hAnsi="Times New Roman" w:eastAsia="仿宋"/>
            <w:i/>
            <w:szCs w:val="24"/>
          </w:rPr>
          <m:t>t+1</m:t>
        </m:r>
      </m:oMath>
      <w:r>
        <w:rPr>
          <w:rFonts w:hint="eastAsia" w:ascii="Times New Roman" w:hAnsi="Times New Roman" w:eastAsia="仿宋"/>
          <w:szCs w:val="24"/>
        </w:rPr>
        <w:t>年的数字普惠金融较t年更趋收敛。</w:t>
      </w:r>
    </w:p>
    <w:p>
      <w:pPr>
        <w:autoSpaceDE w:val="0"/>
        <w:autoSpaceDN w:val="0"/>
        <w:adjustRightInd w:val="0"/>
        <w:ind w:firstLine="420" w:firstLineChars="200"/>
        <w:rPr>
          <w:rFonts w:ascii="Times New Roman" w:hAnsi="Times New Roman" w:eastAsia="仿宋"/>
          <w:szCs w:val="24"/>
        </w:rPr>
      </w:pPr>
      <w:r>
        <w:rPr>
          <w:rFonts w:hint="eastAsia" w:ascii="Times New Roman" w:hAnsi="Times New Roman" w:eastAsia="仿宋"/>
          <w:szCs w:val="24"/>
        </w:rPr>
        <w:t>在图5当中，我们分别汇报了2011-2018年省级和城市级数字普惠金融指数的逐年</w:t>
      </w:r>
      <m:oMath>
        <m:r>
          <m:rPr>
            <m:sty m:val="p"/>
          </m:rPr>
          <w:rPr>
            <w:rFonts w:ascii="Cambria Math" w:hAnsi="Cambria Math" w:eastAsia="仿宋"/>
            <w:szCs w:val="24"/>
          </w:rPr>
          <m:t>σ</m:t>
        </m:r>
      </m:oMath>
      <w:r>
        <w:rPr>
          <w:rFonts w:hint="eastAsia" w:ascii="Times New Roman" w:hAnsi="Times New Roman" w:eastAsia="仿宋"/>
          <w:szCs w:val="24"/>
        </w:rPr>
        <w:t>收敛系数，从中可以看出，中国地区数字普惠金融的确有非常明显的收敛趋势。</w:t>
      </w:r>
      <w:r>
        <w:rPr>
          <w:rFonts w:hint="eastAsia" w:ascii="Times New Roman" w:hAnsi="Times New Roman" w:eastAsia="仿宋" w:cs="AdobeHeitiStd-Regular"/>
          <w:kern w:val="0"/>
          <w:szCs w:val="19"/>
        </w:rPr>
        <w:t>具体来看</w:t>
      </w:r>
      <w:r>
        <w:rPr>
          <w:rFonts w:hint="eastAsia" w:ascii="Times New Roman" w:hAnsi="Times New Roman" w:eastAsia="仿宋" w:cs="DY31+ZITLuW-31"/>
          <w:kern w:val="0"/>
          <w:szCs w:val="19"/>
        </w:rPr>
        <w:t>，</w:t>
      </w:r>
      <w:r>
        <w:rPr>
          <w:rFonts w:hint="eastAsia" w:ascii="Times New Roman" w:hAnsi="Times New Roman" w:eastAsia="仿宋" w:cs="AdobeHeitiStd-Regular"/>
          <w:kern w:val="0"/>
          <w:szCs w:val="19"/>
        </w:rPr>
        <w:t>中国省级和城市级数字普惠金融指数的</w:t>
      </w:r>
      <m:oMath>
        <m:r>
          <m:rPr>
            <m:sty m:val="p"/>
          </m:rPr>
          <w:rPr>
            <w:rFonts w:ascii="Cambria Math" w:hAnsi="Cambria Math" w:eastAsia="仿宋"/>
            <w:szCs w:val="24"/>
          </w:rPr>
          <m:t>σ</m:t>
        </m:r>
      </m:oMath>
      <w:r>
        <w:rPr>
          <w:rFonts w:hint="eastAsia" w:ascii="Times New Roman" w:hAnsi="Times New Roman" w:eastAsia="仿宋"/>
          <w:szCs w:val="24"/>
        </w:rPr>
        <w:t>收敛</w:t>
      </w:r>
      <w:r>
        <w:rPr>
          <w:rFonts w:hint="eastAsia" w:ascii="Times New Roman" w:hAnsi="Times New Roman" w:eastAsia="仿宋" w:cs="AdobeHeitiStd-Regular"/>
          <w:kern w:val="0"/>
          <w:szCs w:val="19"/>
        </w:rPr>
        <w:t>系数分别从</w:t>
      </w:r>
      <w:r>
        <w:rPr>
          <w:rFonts w:hint="eastAsia" w:ascii="Times New Roman" w:hAnsi="Times New Roman" w:eastAsia="仿宋" w:cs="DY7+ZITLuV-7"/>
          <w:kern w:val="0"/>
          <w:szCs w:val="19"/>
        </w:rPr>
        <w:t>2011</w:t>
      </w:r>
      <w:r>
        <w:rPr>
          <w:rFonts w:hint="eastAsia" w:ascii="Times New Roman" w:hAnsi="Times New Roman" w:eastAsia="仿宋" w:cs="AdobeHeitiStd-Regular"/>
          <w:kern w:val="0"/>
          <w:szCs w:val="19"/>
        </w:rPr>
        <w:t>年的</w:t>
      </w:r>
      <w:r>
        <w:rPr>
          <w:rFonts w:hint="eastAsia" w:ascii="Times New Roman" w:hAnsi="Times New Roman" w:eastAsia="仿宋" w:cs="DY7+ZITLuV-7"/>
          <w:kern w:val="0"/>
          <w:szCs w:val="19"/>
        </w:rPr>
        <w:t>0.44和0.34下降到2017年的0.08和0.09，但2018年则略有反弹（分别为0.09和0.10）。</w:t>
      </w:r>
      <w:r>
        <w:rPr>
          <w:rFonts w:hint="eastAsia" w:ascii="Times New Roman" w:hAnsi="Times New Roman" w:eastAsia="仿宋"/>
        </w:rPr>
        <w:t>从分类指数来看，2018年数字普惠金融地区收敛性反弹的主要原因出在使用深度指数和数字化程度指数上，数字金融覆盖广度指数收敛系数继续下降</w:t>
      </w:r>
      <w:r>
        <w:rPr>
          <w:rStyle w:val="43"/>
          <w:rFonts w:ascii="Times New Roman" w:hAnsi="Times New Roman" w:eastAsia="仿宋"/>
          <w:kern w:val="0"/>
          <w:szCs w:val="19"/>
        </w:rPr>
        <w:footnoteReference w:id="10"/>
      </w:r>
      <w:r>
        <w:rPr>
          <w:rFonts w:hint="eastAsia" w:ascii="Times New Roman" w:hAnsi="Times New Roman" w:eastAsia="仿宋"/>
        </w:rPr>
        <w:t>。</w:t>
      </w:r>
    </w:p>
    <w:p>
      <w:pPr>
        <w:spacing w:line="360" w:lineRule="auto"/>
        <w:ind w:firstLine="420" w:firstLineChars="200"/>
        <w:rPr>
          <w:sz w:val="24"/>
          <w:szCs w:val="24"/>
        </w:rPr>
      </w:pPr>
      <w:r>
        <w:drawing>
          <wp:inline distT="0" distB="0" distL="0" distR="0">
            <wp:extent cx="4572000" cy="2743200"/>
            <wp:effectExtent l="0" t="0" r="0" b="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jc w:val="center"/>
        <w:rPr>
          <w:rFonts w:ascii="仿宋" w:hAnsi="仿宋" w:eastAsia="仿宋" w:cstheme="minorBidi"/>
          <w:b/>
          <w:sz w:val="18"/>
          <w:szCs w:val="18"/>
        </w:rPr>
      </w:pPr>
      <w:r>
        <w:rPr>
          <w:rFonts w:hint="eastAsia" w:ascii="仿宋" w:hAnsi="仿宋" w:eastAsia="仿宋" w:cstheme="minorBidi"/>
          <w:b/>
          <w:sz w:val="18"/>
          <w:szCs w:val="18"/>
        </w:rPr>
        <w:t>图5</w:t>
      </w:r>
      <w:r>
        <w:rPr>
          <w:rFonts w:ascii="仿宋" w:hAnsi="仿宋" w:eastAsia="仿宋" w:cstheme="minorBidi"/>
          <w:b/>
          <w:sz w:val="18"/>
          <w:szCs w:val="18"/>
        </w:rPr>
        <w:t xml:space="preserve"> </w:t>
      </w:r>
      <w:r>
        <w:rPr>
          <w:rFonts w:hint="eastAsia" w:ascii="仿宋" w:hAnsi="仿宋" w:eastAsia="仿宋" w:cstheme="minorBidi"/>
          <w:b/>
          <w:sz w:val="18"/>
          <w:szCs w:val="18"/>
        </w:rPr>
        <w:t>2011-201</w:t>
      </w:r>
      <w:r>
        <w:rPr>
          <w:rFonts w:ascii="仿宋" w:hAnsi="仿宋" w:eastAsia="仿宋" w:cstheme="minorBidi"/>
          <w:b/>
          <w:sz w:val="18"/>
          <w:szCs w:val="18"/>
        </w:rPr>
        <w:t>8</w:t>
      </w:r>
      <w:r>
        <w:rPr>
          <w:rFonts w:hint="eastAsia" w:ascii="仿宋" w:hAnsi="仿宋" w:eastAsia="仿宋" w:cstheme="minorBidi"/>
          <w:b/>
          <w:sz w:val="18"/>
          <w:szCs w:val="18"/>
        </w:rPr>
        <w:t>年省级和城市级数字普惠金融σ收敛系数</w:t>
      </w:r>
    </w:p>
    <w:p>
      <w:pPr>
        <w:jc w:val="left"/>
        <w:rPr>
          <w:rFonts w:ascii="仿宋" w:hAnsi="仿宋" w:eastAsia="仿宋" w:cstheme="minorBidi"/>
          <w:sz w:val="18"/>
          <w:szCs w:val="18"/>
        </w:rPr>
      </w:pPr>
      <w:r>
        <w:rPr>
          <w:rFonts w:hint="eastAsia" w:ascii="仿宋" w:hAnsi="仿宋" w:eastAsia="仿宋" w:cstheme="minorBidi"/>
          <w:sz w:val="18"/>
          <w:szCs w:val="18"/>
        </w:rPr>
        <w:t>数据来源：北京大学数字普惠金融指数</w:t>
      </w:r>
    </w:p>
    <w:p>
      <w:pPr>
        <w:ind w:firstLine="420" w:firstLineChars="200"/>
        <w:rPr>
          <w:rFonts w:ascii="Times New Roman" w:hAnsi="Times New Roman" w:eastAsia="仿宋"/>
          <w:szCs w:val="21"/>
        </w:rPr>
      </w:pPr>
      <w:r>
        <w:rPr>
          <w:rFonts w:hint="eastAsia" w:ascii="Times New Roman" w:hAnsi="Times New Roman" w:eastAsia="仿宋"/>
          <w:szCs w:val="21"/>
        </w:rPr>
        <w:t>（2）</w:t>
      </w:r>
      <m:oMath>
        <m:r>
          <m:rPr>
            <m:sty m:val="p"/>
          </m:rPr>
          <w:rPr>
            <w:rFonts w:ascii="Cambria Math" w:hAnsi="Cambria Math" w:eastAsia="仿宋"/>
            <w:szCs w:val="21"/>
          </w:rPr>
          <m:t>β</m:t>
        </m:r>
      </m:oMath>
      <w:r>
        <w:rPr>
          <w:rFonts w:hint="eastAsia" w:ascii="Times New Roman" w:hAnsi="Times New Roman" w:eastAsia="仿宋"/>
          <w:szCs w:val="21"/>
        </w:rPr>
        <w:t>收敛模型。</w:t>
      </w:r>
      <m:oMath>
        <m:r>
          <m:rPr>
            <m:sty m:val="p"/>
          </m:rPr>
          <w:rPr>
            <w:rFonts w:ascii="Cambria Math" w:hAnsi="Cambria Math" w:eastAsia="仿宋"/>
            <w:szCs w:val="21"/>
          </w:rPr>
          <m:t>β</m:t>
        </m:r>
      </m:oMath>
      <w:r>
        <w:rPr>
          <w:rFonts w:hint="eastAsia" w:ascii="Times New Roman" w:hAnsi="Times New Roman" w:eastAsia="仿宋"/>
          <w:szCs w:val="21"/>
        </w:rPr>
        <w:t>收敛是根据经济趋同理论提出的，指期初数字普惠金融发展水平低的地区，相比数字普惠金融发展程度高的地区，会出现相对更快的增长速度，即地区数字普惠金融发展速度与其期初水平负相关，从而使得不同地区的数字普惠金融发展水平出现趋同。根据是否考虑收敛条件，</w:t>
      </w:r>
      <m:oMath>
        <m:r>
          <m:rPr>
            <m:sty m:val="p"/>
          </m:rPr>
          <w:rPr>
            <w:rFonts w:ascii="Cambria Math" w:hAnsi="Cambria Math" w:eastAsia="仿宋"/>
            <w:szCs w:val="21"/>
          </w:rPr>
          <m:t>β</m:t>
        </m:r>
      </m:oMath>
      <w:r>
        <w:rPr>
          <w:rFonts w:hint="eastAsia" w:ascii="Times New Roman" w:hAnsi="Times New Roman" w:eastAsia="仿宋"/>
          <w:szCs w:val="21"/>
        </w:rPr>
        <w:t>收敛又可以分为绝对</w:t>
      </w:r>
      <m:oMath>
        <m:r>
          <m:rPr>
            <m:sty m:val="p"/>
          </m:rPr>
          <w:rPr>
            <w:rFonts w:ascii="Cambria Math" w:hAnsi="Cambria Math" w:eastAsia="仿宋"/>
            <w:szCs w:val="21"/>
          </w:rPr>
          <m:t>β</m:t>
        </m:r>
      </m:oMath>
      <w:r>
        <w:rPr>
          <w:rFonts w:hint="eastAsia" w:ascii="Times New Roman" w:hAnsi="Times New Roman" w:eastAsia="仿宋"/>
          <w:szCs w:val="21"/>
        </w:rPr>
        <w:t>收敛和条件</w:t>
      </w:r>
      <m:oMath>
        <m:r>
          <m:rPr>
            <m:sty m:val="p"/>
          </m:rPr>
          <w:rPr>
            <w:rFonts w:ascii="Cambria Math" w:hAnsi="Cambria Math" w:eastAsia="仿宋"/>
            <w:szCs w:val="21"/>
          </w:rPr>
          <m:t>β</m:t>
        </m:r>
      </m:oMath>
      <w:r>
        <w:rPr>
          <w:rFonts w:hint="eastAsia" w:ascii="Times New Roman" w:hAnsi="Times New Roman" w:eastAsia="仿宋"/>
          <w:szCs w:val="21"/>
        </w:rPr>
        <w:t>收敛。数字普惠金融指数的绝对</w:t>
      </w:r>
      <m:oMath>
        <m:r>
          <m:rPr>
            <m:sty m:val="p"/>
          </m:rPr>
          <w:rPr>
            <w:rFonts w:ascii="Cambria Math" w:hAnsi="Cambria Math" w:eastAsia="仿宋"/>
            <w:szCs w:val="21"/>
          </w:rPr>
          <m:t>β</m:t>
        </m:r>
      </m:oMath>
      <w:r>
        <w:rPr>
          <w:rFonts w:hint="eastAsia" w:ascii="Times New Roman" w:hAnsi="Times New Roman" w:eastAsia="仿宋"/>
          <w:szCs w:val="21"/>
        </w:rPr>
        <w:t>收敛是指即使不控制外在影响因素，随着时间推移，不同地区的数字普惠金融发展水平也会最终收敛到相同的稳态水平。用公式表达的绝对</w:t>
      </w:r>
      <m:oMath>
        <m:r>
          <m:rPr>
            <m:sty m:val="p"/>
          </m:rPr>
          <w:rPr>
            <w:rFonts w:ascii="Cambria Math" w:hAnsi="Cambria Math" w:eastAsia="仿宋"/>
            <w:szCs w:val="21"/>
          </w:rPr>
          <m:t>β</m:t>
        </m:r>
      </m:oMath>
      <w:r>
        <w:rPr>
          <w:rFonts w:hint="eastAsia" w:ascii="Times New Roman" w:hAnsi="Times New Roman" w:eastAsia="仿宋"/>
          <w:szCs w:val="21"/>
        </w:rPr>
        <w:t>收敛模型为：</w:t>
      </w:r>
    </w:p>
    <w:p>
      <w:pPr>
        <w:ind w:firstLine="420" w:firstLineChars="200"/>
        <w:jc w:val="center"/>
        <w:rPr>
          <w:rFonts w:ascii="Times New Roman" w:hAnsi="Times New Roman" w:eastAsia="仿宋"/>
          <w:szCs w:val="21"/>
        </w:rPr>
      </w:pPr>
      <m:oMath>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it</m:t>
            </m:r>
            <m:ctrlPr>
              <w:rPr>
                <w:rFonts w:ascii="Cambria Math" w:hAnsi="Cambria Math" w:eastAsia="仿宋"/>
                <w:i/>
                <w:szCs w:val="21"/>
              </w:rPr>
            </m:ctrlPr>
          </m:sub>
        </m:sSub>
        <m:r>
          <m:rPr/>
          <w:rPr>
            <w:rFonts w:ascii="Cambria Math" w:hAnsi="Cambria Math" w:eastAsia="仿宋"/>
            <w:szCs w:val="21"/>
          </w:rPr>
          <m:t>−</m:t>
        </m:r>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i0</m:t>
            </m:r>
            <m:ctrlPr>
              <w:rPr>
                <w:rFonts w:ascii="Cambria Math" w:hAnsi="Cambria Math" w:eastAsia="仿宋"/>
                <w:i/>
                <w:szCs w:val="21"/>
              </w:rPr>
            </m:ctrlPr>
          </m:sub>
        </m:sSub>
        <m:r>
          <m:rPr/>
          <w:rPr>
            <w:rFonts w:ascii="Cambria Math" w:hAnsi="Cambria Math" w:eastAsia="仿宋"/>
            <w:szCs w:val="21"/>
          </w:rPr>
          <m:t>)/t=α+β</m:t>
        </m:r>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i0</m:t>
            </m:r>
            <m:ctrlPr>
              <w:rPr>
                <w:rFonts w:ascii="Cambria Math" w:hAnsi="Cambria Math" w:eastAsia="仿宋"/>
                <w:i/>
                <w:szCs w:val="21"/>
              </w:rPr>
            </m:ctrlPr>
          </m:sub>
        </m:sSub>
        <m:r>
          <m:rPr/>
          <w:rPr>
            <w:rFonts w:ascii="Cambria Math" w:hAnsi="Cambria Math" w:eastAsia="仿宋"/>
            <w:szCs w:val="21"/>
          </w:rPr>
          <m:t>+</m:t>
        </m:r>
        <m:sSub>
          <m:sSubPr>
            <m:ctrlPr>
              <w:rPr>
                <w:rFonts w:ascii="Cambria Math" w:hAnsi="Cambria Math" w:eastAsia="仿宋"/>
                <w:i/>
                <w:szCs w:val="21"/>
              </w:rPr>
            </m:ctrlPr>
          </m:sSubPr>
          <m:e>
            <m:r>
              <m:rPr/>
              <w:rPr>
                <w:rFonts w:ascii="Cambria Math" w:hAnsi="Cambria Math" w:eastAsia="仿宋"/>
                <w:szCs w:val="21"/>
              </w:rPr>
              <m:t>ϵ</m:t>
            </m:r>
            <m:ctrlPr>
              <w:rPr>
                <w:rFonts w:ascii="Cambria Math" w:hAnsi="Cambria Math" w:eastAsia="仿宋"/>
                <w:i/>
                <w:szCs w:val="21"/>
              </w:rPr>
            </m:ctrlPr>
          </m:e>
          <m:sub>
            <m:r>
              <m:rPr/>
              <w:rPr>
                <w:rFonts w:ascii="Cambria Math" w:hAnsi="Cambria Math" w:eastAsia="仿宋"/>
                <w:szCs w:val="21"/>
              </w:rPr>
              <m:t>it</m:t>
            </m:r>
            <m:ctrlPr>
              <w:rPr>
                <w:rFonts w:ascii="Cambria Math" w:hAnsi="Cambria Math" w:eastAsia="仿宋"/>
                <w:i/>
                <w:szCs w:val="21"/>
              </w:rPr>
            </m:ctrlPr>
          </m:sub>
        </m:sSub>
      </m:oMath>
      <w:r>
        <w:rPr>
          <w:rFonts w:hint="eastAsia" w:ascii="Times New Roman" w:hAnsi="Times New Roman" w:eastAsia="仿宋"/>
          <w:szCs w:val="21"/>
        </w:rPr>
        <w:t xml:space="preserve"> </w:t>
      </w:r>
      <w:r>
        <w:rPr>
          <w:rFonts w:ascii="Times New Roman" w:hAnsi="Times New Roman" w:eastAsia="仿宋"/>
          <w:szCs w:val="21"/>
        </w:rPr>
        <w:t xml:space="preserve">            (4)</w:t>
      </w:r>
    </w:p>
    <w:p>
      <w:pPr>
        <w:rPr>
          <w:rFonts w:ascii="Times New Roman" w:hAnsi="Times New Roman" w:eastAsia="仿宋"/>
          <w:szCs w:val="21"/>
        </w:rPr>
      </w:pPr>
      <w:r>
        <w:rPr>
          <w:rFonts w:hint="eastAsia" w:ascii="Times New Roman" w:hAnsi="Times New Roman" w:eastAsia="仿宋"/>
          <w:szCs w:val="21"/>
        </w:rPr>
        <w:t>其中，</w:t>
      </w:r>
      <m:oMath>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i0</m:t>
            </m:r>
            <m:ctrlPr>
              <w:rPr>
                <w:rFonts w:ascii="Cambria Math" w:hAnsi="Cambria Math" w:eastAsia="仿宋"/>
                <w:i/>
                <w:szCs w:val="21"/>
              </w:rPr>
            </m:ctrlPr>
          </m:sub>
        </m:sSub>
      </m:oMath>
      <w:r>
        <w:rPr>
          <w:rFonts w:hint="eastAsia" w:ascii="Times New Roman" w:hAnsi="Times New Roman" w:eastAsia="仿宋"/>
          <w:szCs w:val="21"/>
        </w:rPr>
        <w:t>代表地区期初（2011年）的数字普惠金融指数对数值；</w:t>
      </w:r>
      <m:oMath>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it</m:t>
            </m:r>
            <m:ctrlPr>
              <w:rPr>
                <w:rFonts w:ascii="Cambria Math" w:hAnsi="Cambria Math" w:eastAsia="仿宋"/>
                <w:i/>
                <w:szCs w:val="21"/>
              </w:rPr>
            </m:ctrlPr>
          </m:sub>
        </m:sSub>
        <m:r>
          <m:rPr/>
          <w:rPr>
            <w:rFonts w:ascii="Cambria Math" w:hAnsi="Cambria Math" w:eastAsia="仿宋"/>
            <w:szCs w:val="21"/>
          </w:rPr>
          <m:t>−</m:t>
        </m:r>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i0</m:t>
            </m:r>
            <m:ctrlPr>
              <w:rPr>
                <w:rFonts w:ascii="Cambria Math" w:hAnsi="Cambria Math" w:eastAsia="仿宋"/>
                <w:i/>
                <w:szCs w:val="21"/>
              </w:rPr>
            </m:ctrlPr>
          </m:sub>
        </m:sSub>
        <m:r>
          <m:rPr/>
          <w:rPr>
            <w:rFonts w:ascii="Cambria Math" w:hAnsi="Cambria Math" w:eastAsia="仿宋"/>
            <w:szCs w:val="21"/>
          </w:rPr>
          <m:t>)/t</m:t>
        </m:r>
      </m:oMath>
      <w:r>
        <w:rPr>
          <w:rFonts w:hint="eastAsia" w:ascii="Times New Roman" w:hAnsi="Times New Roman" w:eastAsia="仿宋"/>
          <w:szCs w:val="21"/>
        </w:rPr>
        <w:t>代表i地区在t年内数字普惠金融指数年均增长率；</w:t>
      </w:r>
      <m:oMath>
        <m:r>
          <m:rPr>
            <m:sty m:val="p"/>
          </m:rPr>
          <w:rPr>
            <w:rFonts w:ascii="Cambria Math" w:hAnsi="Cambria Math" w:eastAsia="仿宋"/>
            <w:szCs w:val="21"/>
          </w:rPr>
          <m:t>α</m:t>
        </m:r>
      </m:oMath>
      <w:r>
        <w:rPr>
          <w:rFonts w:hint="eastAsia" w:ascii="Times New Roman" w:hAnsi="Times New Roman" w:eastAsia="仿宋"/>
          <w:szCs w:val="21"/>
        </w:rPr>
        <w:t>和</w:t>
      </w:r>
      <m:oMath>
        <m:r>
          <m:rPr>
            <m:sty m:val="p"/>
          </m:rPr>
          <w:rPr>
            <w:rFonts w:ascii="Cambria Math" w:hAnsi="Cambria Math" w:eastAsia="仿宋"/>
            <w:szCs w:val="21"/>
          </w:rPr>
          <m:t>ε</m:t>
        </m:r>
      </m:oMath>
      <w:r>
        <w:rPr>
          <w:rFonts w:hint="eastAsia" w:ascii="Times New Roman" w:hAnsi="Times New Roman" w:eastAsia="仿宋"/>
          <w:szCs w:val="21"/>
        </w:rPr>
        <w:t>是常数项和误差项；</w:t>
      </w:r>
      <m:oMath>
        <m:r>
          <m:rPr>
            <m:sty m:val="p"/>
          </m:rPr>
          <w:rPr>
            <w:rFonts w:ascii="Cambria Math" w:hAnsi="Cambria Math" w:eastAsia="仿宋"/>
            <w:szCs w:val="21"/>
          </w:rPr>
          <m:t>β</m:t>
        </m:r>
      </m:oMath>
      <w:r>
        <w:rPr>
          <w:rFonts w:hint="eastAsia" w:ascii="Times New Roman" w:hAnsi="Times New Roman" w:eastAsia="仿宋"/>
          <w:szCs w:val="21"/>
        </w:rPr>
        <w:t>是收敛系数。如果</w:t>
      </w:r>
      <m:oMath>
        <m:r>
          <m:rPr>
            <m:sty m:val="p"/>
          </m:rPr>
          <w:rPr>
            <w:rFonts w:ascii="Cambria Math" w:hAnsi="Cambria Math" w:eastAsia="仿宋"/>
            <w:szCs w:val="21"/>
          </w:rPr>
          <m:t>β</m:t>
        </m:r>
      </m:oMath>
      <w:r>
        <w:rPr>
          <w:rFonts w:hint="eastAsia" w:ascii="Times New Roman" w:hAnsi="Times New Roman" w:eastAsia="仿宋"/>
          <w:szCs w:val="21"/>
        </w:rPr>
        <w:t>显著小于0，则地区数字普惠金融趋向收敛，即存在绝对</w:t>
      </w:r>
      <m:oMath>
        <m:r>
          <m:rPr>
            <m:sty m:val="p"/>
          </m:rPr>
          <w:rPr>
            <w:rFonts w:ascii="Cambria Math" w:hAnsi="Cambria Math" w:eastAsia="仿宋"/>
            <w:szCs w:val="21"/>
          </w:rPr>
          <m:t>β</m:t>
        </m:r>
      </m:oMath>
      <w:r>
        <w:rPr>
          <w:rFonts w:hint="eastAsia" w:ascii="Times New Roman" w:hAnsi="Times New Roman" w:eastAsia="仿宋"/>
          <w:szCs w:val="21"/>
        </w:rPr>
        <w:t>收敛，反之则认为数字普惠金融趋向分散。</w:t>
      </w:r>
    </w:p>
    <w:p>
      <w:pPr>
        <w:rPr>
          <w:rFonts w:ascii="Times New Roman" w:hAnsi="Times New Roman" w:eastAsia="仿宋"/>
          <w:szCs w:val="21"/>
        </w:rPr>
      </w:pPr>
      <w:r>
        <w:rPr>
          <w:rFonts w:hint="eastAsia" w:ascii="Times New Roman" w:hAnsi="Times New Roman" w:eastAsia="仿宋"/>
          <w:szCs w:val="21"/>
        </w:rPr>
        <w:t xml:space="preserve"> </w:t>
      </w:r>
      <w:r>
        <w:rPr>
          <w:rFonts w:ascii="Times New Roman" w:hAnsi="Times New Roman" w:eastAsia="仿宋"/>
          <w:szCs w:val="21"/>
        </w:rPr>
        <w:t xml:space="preserve">  </w:t>
      </w:r>
      <w:r>
        <w:rPr>
          <w:rFonts w:hint="eastAsia" w:ascii="Times New Roman" w:hAnsi="Times New Roman" w:eastAsia="仿宋"/>
          <w:szCs w:val="21"/>
        </w:rPr>
        <w:t>所谓条件</w:t>
      </w:r>
      <m:oMath>
        <m:r>
          <m:rPr>
            <m:sty m:val="p"/>
          </m:rPr>
          <w:rPr>
            <w:rFonts w:ascii="Cambria Math" w:hAnsi="Cambria Math" w:eastAsia="仿宋"/>
            <w:szCs w:val="21"/>
          </w:rPr>
          <m:t>β</m:t>
        </m:r>
      </m:oMath>
      <w:r>
        <w:rPr>
          <w:rFonts w:hint="eastAsia" w:ascii="Times New Roman" w:hAnsi="Times New Roman" w:eastAsia="仿宋"/>
          <w:szCs w:val="21"/>
        </w:rPr>
        <w:t>收敛是指在控制了一些外在影响因素之后，不同地区的数字普惠金融最终会收敛到各自的稳态水平。用方程表示则为：</w:t>
      </w:r>
    </w:p>
    <w:p>
      <w:pPr>
        <w:ind w:firstLine="420" w:firstLineChars="200"/>
        <w:jc w:val="center"/>
        <w:rPr>
          <w:rFonts w:ascii="Times New Roman" w:hAnsi="Times New Roman" w:eastAsia="仿宋"/>
          <w:szCs w:val="21"/>
        </w:rPr>
      </w:pPr>
      <m:oMath>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it</m:t>
            </m:r>
            <m:ctrlPr>
              <w:rPr>
                <w:rFonts w:ascii="Cambria Math" w:hAnsi="Cambria Math" w:eastAsia="仿宋"/>
                <w:i/>
                <w:szCs w:val="21"/>
              </w:rPr>
            </m:ctrlPr>
          </m:sub>
        </m:sSub>
        <m:r>
          <m:rPr/>
          <w:rPr>
            <w:rFonts w:ascii="Cambria Math" w:hAnsi="Cambria Math" w:eastAsia="仿宋"/>
            <w:szCs w:val="21"/>
          </w:rPr>
          <m:t>−</m:t>
        </m:r>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i0</m:t>
            </m:r>
            <m:ctrlPr>
              <w:rPr>
                <w:rFonts w:ascii="Cambria Math" w:hAnsi="Cambria Math" w:eastAsia="仿宋"/>
                <w:i/>
                <w:szCs w:val="21"/>
              </w:rPr>
            </m:ctrlPr>
          </m:sub>
        </m:sSub>
        <m:r>
          <m:rPr/>
          <w:rPr>
            <w:rFonts w:ascii="Cambria Math" w:hAnsi="Cambria Math" w:eastAsia="仿宋"/>
            <w:szCs w:val="21"/>
          </w:rPr>
          <m:t>)/t=α+β</m:t>
        </m:r>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i0</m:t>
            </m:r>
            <m:ctrlPr>
              <w:rPr>
                <w:rFonts w:ascii="Cambria Math" w:hAnsi="Cambria Math" w:eastAsia="仿宋"/>
                <w:i/>
                <w:szCs w:val="21"/>
              </w:rPr>
            </m:ctrlPr>
          </m:sub>
        </m:sSub>
        <m:r>
          <m:rPr/>
          <w:rPr>
            <w:rFonts w:ascii="Cambria Math" w:hAnsi="Cambria Math" w:eastAsia="仿宋"/>
            <w:szCs w:val="21"/>
          </w:rPr>
          <m:t>+</m:t>
        </m:r>
        <m:sSub>
          <m:sSubPr>
            <m:ctrlPr>
              <w:rPr>
                <w:rFonts w:ascii="Cambria Math" w:hAnsi="Cambria Math" w:eastAsia="仿宋"/>
                <w:i/>
                <w:szCs w:val="21"/>
              </w:rPr>
            </m:ctrlPr>
          </m:sSubPr>
          <m:e>
            <m:r>
              <m:rPr/>
              <w:rPr>
                <w:rFonts w:ascii="Cambria Math" w:hAnsi="Cambria Math" w:eastAsia="仿宋"/>
                <w:szCs w:val="21"/>
              </w:rPr>
              <m:t>γ</m:t>
            </m:r>
            <m:sSub>
              <m:sSubPr>
                <m:ctrlPr>
                  <w:rPr>
                    <w:rFonts w:ascii="Cambria Math" w:hAnsi="Cambria Math" w:eastAsia="仿宋"/>
                    <w:i/>
                    <w:szCs w:val="21"/>
                  </w:rPr>
                </m:ctrlPr>
              </m:sSubPr>
              <m:e>
                <m:r>
                  <m:rPr/>
                  <w:rPr>
                    <w:rFonts w:hint="eastAsia" w:ascii="Cambria Math" w:hAnsi="Cambria Math" w:eastAsia="仿宋"/>
                    <w:szCs w:val="21"/>
                  </w:rPr>
                  <m:t>X</m:t>
                </m:r>
                <m:ctrlPr>
                  <w:rPr>
                    <w:rFonts w:ascii="Cambria Math" w:hAnsi="Cambria Math" w:eastAsia="仿宋"/>
                    <w:i/>
                    <w:szCs w:val="21"/>
                  </w:rPr>
                </m:ctrlPr>
              </m:e>
              <m:sub>
                <m:r>
                  <m:rPr/>
                  <w:rPr>
                    <w:rFonts w:ascii="Cambria Math" w:hAnsi="Cambria Math" w:eastAsia="仿宋"/>
                    <w:szCs w:val="21"/>
                  </w:rPr>
                  <m:t>it</m:t>
                </m:r>
                <m:ctrlPr>
                  <w:rPr>
                    <w:rFonts w:ascii="Cambria Math" w:hAnsi="Cambria Math" w:eastAsia="仿宋"/>
                    <w:i/>
                    <w:szCs w:val="21"/>
                  </w:rPr>
                </m:ctrlPr>
              </m:sub>
            </m:sSub>
            <m:r>
              <m:rPr/>
              <w:rPr>
                <w:rFonts w:hint="eastAsia" w:ascii="Cambria Math" w:hAnsi="Cambria Math" w:eastAsia="仿宋"/>
                <w:szCs w:val="21"/>
              </w:rPr>
              <m:t>+</m:t>
            </m:r>
            <m:r>
              <m:rPr/>
              <w:rPr>
                <w:rFonts w:ascii="Cambria Math" w:hAnsi="Cambria Math" w:eastAsia="仿宋"/>
                <w:szCs w:val="21"/>
              </w:rPr>
              <m:t>ϵ</m:t>
            </m:r>
            <m:ctrlPr>
              <w:rPr>
                <w:rFonts w:ascii="Cambria Math" w:hAnsi="Cambria Math" w:eastAsia="仿宋"/>
                <w:i/>
                <w:szCs w:val="21"/>
              </w:rPr>
            </m:ctrlPr>
          </m:e>
          <m:sub>
            <m:r>
              <m:rPr/>
              <w:rPr>
                <w:rFonts w:ascii="Cambria Math" w:hAnsi="Cambria Math" w:eastAsia="仿宋"/>
                <w:szCs w:val="21"/>
              </w:rPr>
              <m:t>it</m:t>
            </m:r>
            <m:ctrlPr>
              <w:rPr>
                <w:rFonts w:ascii="Cambria Math" w:hAnsi="Cambria Math" w:eastAsia="仿宋"/>
                <w:i/>
                <w:szCs w:val="21"/>
              </w:rPr>
            </m:ctrlPr>
          </m:sub>
        </m:sSub>
      </m:oMath>
      <w:r>
        <w:rPr>
          <w:rFonts w:hint="eastAsia" w:ascii="Times New Roman" w:hAnsi="Times New Roman" w:eastAsia="仿宋"/>
          <w:szCs w:val="21"/>
        </w:rPr>
        <w:t xml:space="preserve"> </w:t>
      </w:r>
      <w:r>
        <w:rPr>
          <w:rFonts w:ascii="Times New Roman" w:hAnsi="Times New Roman" w:eastAsia="仿宋"/>
          <w:szCs w:val="21"/>
        </w:rPr>
        <w:t xml:space="preserve">     (5)</w:t>
      </w:r>
    </w:p>
    <w:p>
      <w:pPr>
        <w:autoSpaceDE w:val="0"/>
        <w:autoSpaceDN w:val="0"/>
        <w:adjustRightInd w:val="0"/>
        <w:jc w:val="left"/>
        <w:rPr>
          <w:rFonts w:ascii="Times New Roman" w:hAnsi="Times New Roman" w:eastAsia="仿宋" w:cs="AdobeHeitiStd-Regular"/>
          <w:kern w:val="0"/>
          <w:szCs w:val="21"/>
        </w:rPr>
      </w:pPr>
      <w:r>
        <w:rPr>
          <w:rFonts w:hint="eastAsia" w:ascii="Times New Roman" w:hAnsi="Times New Roman" w:eastAsia="仿宋"/>
          <w:szCs w:val="21"/>
        </w:rPr>
        <w:t>其中，X表述外在影响因素变量矩阵。此外，现有文献中关于条件</w:t>
      </w:r>
      <m:oMath>
        <m:r>
          <m:rPr>
            <m:sty m:val="p"/>
          </m:rPr>
          <w:rPr>
            <w:rFonts w:ascii="Cambria Math" w:hAnsi="Cambria Math" w:eastAsia="仿宋"/>
            <w:szCs w:val="21"/>
          </w:rPr>
          <m:t>β</m:t>
        </m:r>
      </m:oMath>
      <w:r>
        <w:rPr>
          <w:rFonts w:hint="eastAsia" w:ascii="Times New Roman" w:hAnsi="Times New Roman" w:eastAsia="仿宋"/>
          <w:szCs w:val="21"/>
        </w:rPr>
        <w:t>收敛模型，还有一种</w:t>
      </w:r>
      <w:r>
        <w:rPr>
          <w:rFonts w:hint="eastAsia" w:ascii="Times New Roman" w:hAnsi="Times New Roman" w:eastAsia="仿宋" w:cs="AdobeHeitiStd-Regular"/>
          <w:kern w:val="0"/>
          <w:szCs w:val="21"/>
        </w:rPr>
        <w:t>控制不同地区的固定效应及其随时间变化的趋势，但舍弃控制变量的估计方法（</w:t>
      </w:r>
      <w:r>
        <w:rPr>
          <w:rFonts w:ascii="Times New Roman" w:hAnsi="Times New Roman" w:eastAsia="仿宋" w:cs="E-BZ+ZEbGB6-2"/>
          <w:kern w:val="0"/>
          <w:szCs w:val="21"/>
        </w:rPr>
        <w:t xml:space="preserve">Miller </w:t>
      </w:r>
      <w:r>
        <w:rPr>
          <w:rFonts w:hint="eastAsia" w:ascii="Times New Roman" w:hAnsi="Times New Roman" w:eastAsia="仿宋" w:cs="AdobeHeitiStd-Regular"/>
          <w:kern w:val="0"/>
          <w:szCs w:val="21"/>
        </w:rPr>
        <w:t>and</w:t>
      </w:r>
      <w:r>
        <w:rPr>
          <w:rFonts w:ascii="Times New Roman" w:hAnsi="Times New Roman" w:eastAsia="仿宋" w:cs="AdobeHeitiStd-Regular"/>
          <w:kern w:val="0"/>
          <w:szCs w:val="21"/>
        </w:rPr>
        <w:t xml:space="preserve"> </w:t>
      </w:r>
      <w:r>
        <w:rPr>
          <w:rFonts w:ascii="Times New Roman" w:hAnsi="Times New Roman" w:eastAsia="仿宋" w:cs="E-BZ+ZEbGB6-2"/>
          <w:kern w:val="0"/>
          <w:szCs w:val="21"/>
        </w:rPr>
        <w:t>Upadhyay</w:t>
      </w:r>
      <w:r>
        <w:rPr>
          <w:rFonts w:hint="eastAsia" w:ascii="Times New Roman" w:hAnsi="Times New Roman" w:eastAsia="仿宋" w:cs="AdobeHeitiStd-Regular"/>
          <w:kern w:val="0"/>
          <w:szCs w:val="21"/>
        </w:rPr>
        <w:t>，2002）。具体而言，此时的收敛模型为：</w:t>
      </w:r>
    </w:p>
    <w:p>
      <w:pPr>
        <w:ind w:firstLine="420" w:firstLineChars="200"/>
        <w:jc w:val="center"/>
        <w:rPr>
          <w:rFonts w:ascii="Times New Roman" w:hAnsi="Times New Roman" w:eastAsia="仿宋"/>
          <w:szCs w:val="21"/>
        </w:rPr>
      </w:pPr>
      <m:oMath>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it</m:t>
            </m:r>
            <m:ctrlPr>
              <w:rPr>
                <w:rFonts w:ascii="Cambria Math" w:hAnsi="Cambria Math" w:eastAsia="仿宋"/>
                <w:i/>
                <w:szCs w:val="21"/>
              </w:rPr>
            </m:ctrlPr>
          </m:sub>
        </m:sSub>
        <m:r>
          <m:rPr/>
          <w:rPr>
            <w:rFonts w:ascii="Cambria Math" w:hAnsi="Cambria Math" w:eastAsia="仿宋"/>
            <w:szCs w:val="21"/>
          </w:rPr>
          <m:t>−</m:t>
        </m:r>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it−1</m:t>
            </m:r>
            <m:ctrlPr>
              <w:rPr>
                <w:rFonts w:ascii="Cambria Math" w:hAnsi="Cambria Math" w:eastAsia="仿宋"/>
                <w:i/>
                <w:szCs w:val="21"/>
              </w:rPr>
            </m:ctrlPr>
          </m:sub>
        </m:sSub>
        <m:r>
          <m:rPr/>
          <w:rPr>
            <w:rFonts w:ascii="Cambria Math" w:hAnsi="Cambria Math" w:eastAsia="仿宋"/>
            <w:szCs w:val="21"/>
          </w:rPr>
          <m:t>=α+β</m:t>
        </m:r>
        <m:sSub>
          <m:sSubPr>
            <m:ctrlPr>
              <w:rPr>
                <w:rFonts w:ascii="Cambria Math" w:hAnsi="Cambria Math" w:eastAsia="仿宋"/>
                <w:i/>
                <w:szCs w:val="21"/>
              </w:rPr>
            </m:ctrlPr>
          </m:sSubPr>
          <m:e>
            <m:r>
              <m:rPr/>
              <w:rPr>
                <w:rFonts w:ascii="Cambria Math" w:hAnsi="Cambria Math" w:eastAsia="仿宋"/>
                <w:szCs w:val="21"/>
              </w:rPr>
              <m:t>lnindex</m:t>
            </m:r>
            <m:ctrlPr>
              <w:rPr>
                <w:rFonts w:ascii="Cambria Math" w:hAnsi="Cambria Math" w:eastAsia="仿宋"/>
                <w:i/>
                <w:szCs w:val="21"/>
              </w:rPr>
            </m:ctrlPr>
          </m:e>
          <m:sub>
            <m:r>
              <m:rPr/>
              <w:rPr>
                <w:rFonts w:ascii="Cambria Math" w:hAnsi="Cambria Math" w:eastAsia="仿宋"/>
                <w:szCs w:val="21"/>
              </w:rPr>
              <m:t>i</m:t>
            </m:r>
            <m:r>
              <m:rPr/>
              <w:rPr>
                <w:rFonts w:hint="eastAsia" w:ascii="Cambria Math" w:hAnsi="Cambria Math" w:eastAsia="仿宋"/>
                <w:szCs w:val="21"/>
              </w:rPr>
              <m:t>t</m:t>
            </m:r>
            <m:r>
              <m:rPr/>
              <w:rPr>
                <w:rFonts w:ascii="Cambria Math" w:hAnsi="Cambria Math" w:eastAsia="仿宋"/>
                <w:szCs w:val="21"/>
              </w:rPr>
              <m:t>−1</m:t>
            </m:r>
            <m:ctrlPr>
              <w:rPr>
                <w:rFonts w:ascii="Cambria Math" w:hAnsi="Cambria Math" w:eastAsia="仿宋"/>
                <w:i/>
                <w:szCs w:val="21"/>
              </w:rPr>
            </m:ctrlPr>
          </m:sub>
        </m:sSub>
        <m:sSub>
          <m:sSubPr>
            <m:ctrlPr>
              <w:rPr>
                <w:rFonts w:ascii="Cambria Math" w:hAnsi="Cambria Math" w:eastAsia="仿宋"/>
                <w:i/>
                <w:szCs w:val="21"/>
              </w:rPr>
            </m:ctrlPr>
          </m:sSubPr>
          <m:e>
            <m:r>
              <m:rPr/>
              <w:rPr>
                <w:rFonts w:hint="eastAsia" w:ascii="Cambria Math" w:hAnsi="Cambria Math" w:eastAsia="仿宋"/>
                <w:szCs w:val="21"/>
              </w:rPr>
              <m:t>+</m:t>
            </m:r>
            <m:r>
              <m:rPr/>
              <w:rPr>
                <w:rFonts w:ascii="Cambria Math" w:hAnsi="Cambria Math" w:eastAsia="仿宋"/>
                <w:szCs w:val="21"/>
              </w:rPr>
              <m:t>ϵ</m:t>
            </m:r>
            <m:ctrlPr>
              <w:rPr>
                <w:rFonts w:ascii="Cambria Math" w:hAnsi="Cambria Math" w:eastAsia="仿宋"/>
                <w:i/>
                <w:szCs w:val="21"/>
              </w:rPr>
            </m:ctrlPr>
          </m:e>
          <m:sub>
            <m:r>
              <m:rPr/>
              <w:rPr>
                <w:rFonts w:ascii="Cambria Math" w:hAnsi="Cambria Math" w:eastAsia="仿宋"/>
                <w:szCs w:val="21"/>
              </w:rPr>
              <m:t>it</m:t>
            </m:r>
            <m:ctrlPr>
              <w:rPr>
                <w:rFonts w:ascii="Cambria Math" w:hAnsi="Cambria Math" w:eastAsia="仿宋"/>
                <w:i/>
                <w:szCs w:val="21"/>
              </w:rPr>
            </m:ctrlPr>
          </m:sub>
        </m:sSub>
      </m:oMath>
      <w:r>
        <w:rPr>
          <w:rFonts w:hint="eastAsia" w:ascii="Times New Roman" w:hAnsi="Times New Roman" w:eastAsia="仿宋"/>
          <w:szCs w:val="21"/>
        </w:rPr>
        <w:t xml:space="preserve"> </w:t>
      </w:r>
      <w:r>
        <w:rPr>
          <w:rFonts w:ascii="Times New Roman" w:hAnsi="Times New Roman" w:eastAsia="仿宋"/>
          <w:szCs w:val="21"/>
        </w:rPr>
        <w:t xml:space="preserve">           (6)</w:t>
      </w:r>
    </w:p>
    <w:p>
      <w:pPr>
        <w:rPr>
          <w:rFonts w:ascii="Times New Roman" w:hAnsi="Times New Roman" w:eastAsia="仿宋"/>
          <w:szCs w:val="21"/>
        </w:rPr>
      </w:pPr>
      <w:r>
        <w:rPr>
          <w:rFonts w:hint="eastAsia" w:ascii="Times New Roman" w:hAnsi="Times New Roman" w:eastAsia="仿宋" w:cs="AdobeHeitiStd-Regular"/>
          <w:kern w:val="0"/>
          <w:szCs w:val="21"/>
        </w:rPr>
        <w:t>在（6）式当中，如果</w:t>
      </w:r>
      <m:oMath>
        <m:r>
          <m:rPr>
            <m:sty m:val="p"/>
          </m:rPr>
          <w:rPr>
            <w:rFonts w:ascii="Cambria Math" w:hAnsi="Cambria Math" w:eastAsia="仿宋"/>
            <w:szCs w:val="21"/>
          </w:rPr>
          <m:t>β</m:t>
        </m:r>
      </m:oMath>
      <w:r>
        <w:rPr>
          <w:rFonts w:hint="eastAsia" w:ascii="Times New Roman" w:hAnsi="Times New Roman" w:eastAsia="仿宋"/>
          <w:szCs w:val="21"/>
        </w:rPr>
        <w:t>显著小于0，则地区数字普惠金融趋向收敛，即存在条件</w:t>
      </w:r>
      <m:oMath>
        <m:r>
          <m:rPr>
            <m:sty m:val="p"/>
          </m:rPr>
          <w:rPr>
            <w:rFonts w:ascii="Cambria Math" w:hAnsi="Cambria Math" w:eastAsia="仿宋"/>
            <w:szCs w:val="21"/>
          </w:rPr>
          <m:t>β</m:t>
        </m:r>
      </m:oMath>
      <w:r>
        <w:rPr>
          <w:rFonts w:hint="eastAsia" w:ascii="Times New Roman" w:hAnsi="Times New Roman" w:eastAsia="仿宋"/>
          <w:szCs w:val="21"/>
        </w:rPr>
        <w:t>收敛。</w:t>
      </w:r>
    </w:p>
    <w:p>
      <w:pPr>
        <w:ind w:firstLine="420"/>
        <w:rPr>
          <w:rFonts w:ascii="Times New Roman" w:hAnsi="Times New Roman" w:eastAsia="仿宋"/>
          <w:szCs w:val="21"/>
        </w:rPr>
      </w:pPr>
      <w:bookmarkStart w:id="30" w:name="_Hlk11508808"/>
      <w:r>
        <w:rPr>
          <w:rFonts w:hint="eastAsia" w:ascii="Times New Roman" w:hAnsi="Times New Roman" w:eastAsia="仿宋"/>
          <w:szCs w:val="21"/>
        </w:rPr>
        <w:t>基于（4）-（6）式的城市一级回归结果如表9所示，从中可以看出，无论是采取哪种检验方法，中国地区数字普惠金融都表现出很强的地区收敛性：在不同的情形下，收敛系数均在1%的水平上显著为负。</w:t>
      </w:r>
    </w:p>
    <w:bookmarkEnd w:id="30"/>
    <w:p>
      <w:pPr>
        <w:widowControl/>
        <w:autoSpaceDE w:val="0"/>
        <w:autoSpaceDN w:val="0"/>
        <w:adjustRightInd w:val="0"/>
        <w:spacing w:line="210" w:lineRule="exact"/>
        <w:jc w:val="center"/>
        <w:rPr>
          <w:rFonts w:ascii="Times New Roman" w:hAnsi="Times New Roman"/>
          <w:b/>
          <w:kern w:val="0"/>
          <w:sz w:val="18"/>
          <w:szCs w:val="18"/>
        </w:rPr>
      </w:pPr>
      <w:bookmarkStart w:id="31" w:name="_Hlk11508744"/>
      <w:r>
        <w:rPr>
          <w:rFonts w:hint="eastAsia" w:ascii="Times New Roman" w:hAnsi="Times New Roman"/>
          <w:b/>
          <w:kern w:val="0"/>
          <w:sz w:val="18"/>
          <w:szCs w:val="18"/>
        </w:rPr>
        <w:t>表9</w:t>
      </w:r>
      <w:r>
        <w:rPr>
          <w:rFonts w:ascii="Times New Roman" w:hAnsi="Times New Roman"/>
          <w:b/>
          <w:kern w:val="0"/>
          <w:sz w:val="18"/>
          <w:szCs w:val="18"/>
        </w:rPr>
        <w:t xml:space="preserve"> </w:t>
      </w:r>
      <w:r>
        <w:rPr>
          <w:rFonts w:hint="eastAsia" w:ascii="Times New Roman" w:hAnsi="Times New Roman"/>
          <w:b/>
          <w:kern w:val="0"/>
          <w:sz w:val="18"/>
          <w:szCs w:val="18"/>
        </w:rPr>
        <w:t>数字普惠金融</w:t>
      </w:r>
      <m:oMath>
        <m:r>
          <m:rPr>
            <m:sty m:val="b"/>
          </m:rPr>
          <w:rPr>
            <w:rFonts w:ascii="Cambria Math" w:hAnsi="Cambria Math"/>
            <w:kern w:val="0"/>
            <w:sz w:val="18"/>
            <w:szCs w:val="18"/>
          </w:rPr>
          <m:t>β</m:t>
        </m:r>
      </m:oMath>
      <w:r>
        <w:rPr>
          <w:rFonts w:hint="eastAsia" w:ascii="Times New Roman" w:hAnsi="Times New Roman"/>
          <w:b/>
          <w:kern w:val="0"/>
          <w:sz w:val="18"/>
          <w:szCs w:val="18"/>
        </w:rPr>
        <w:t>收敛检验</w:t>
      </w:r>
    </w:p>
    <w:tbl>
      <w:tblPr>
        <w:tblStyle w:val="33"/>
        <w:tblW w:w="4350" w:type="pct"/>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
        <w:gridCol w:w="983"/>
        <w:gridCol w:w="1109"/>
        <w:gridCol w:w="1105"/>
        <w:gridCol w:w="1105"/>
        <w:gridCol w:w="1103"/>
        <w:gridCol w:w="1103"/>
      </w:tblGrid>
      <w:tr>
        <w:trPr>
          <w:jc w:val="center"/>
        </w:trPr>
        <w:tc>
          <w:tcPr>
            <w:tcW w:w="611" w:type="pct"/>
            <w:tcBorders>
              <w:top w:val="doub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p>
        </w:tc>
        <w:tc>
          <w:tcPr>
            <w:tcW w:w="663" w:type="pct"/>
            <w:tcBorders>
              <w:top w:val="doub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（1）</w:t>
            </w:r>
          </w:p>
        </w:tc>
        <w:tc>
          <w:tcPr>
            <w:tcW w:w="748" w:type="pct"/>
            <w:tcBorders>
              <w:top w:val="doub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（2）</w:t>
            </w:r>
          </w:p>
        </w:tc>
        <w:tc>
          <w:tcPr>
            <w:tcW w:w="745" w:type="pct"/>
            <w:tcBorders>
              <w:top w:val="doub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（3）</w:t>
            </w:r>
          </w:p>
        </w:tc>
        <w:tc>
          <w:tcPr>
            <w:tcW w:w="745" w:type="pct"/>
            <w:tcBorders>
              <w:top w:val="doub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（4）</w:t>
            </w:r>
          </w:p>
        </w:tc>
        <w:tc>
          <w:tcPr>
            <w:tcW w:w="744" w:type="pct"/>
            <w:tcBorders>
              <w:top w:val="doub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（5）</w:t>
            </w:r>
          </w:p>
        </w:tc>
        <w:tc>
          <w:tcPr>
            <w:tcW w:w="744" w:type="pct"/>
            <w:tcBorders>
              <w:top w:val="doub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（6）</w:t>
            </w:r>
          </w:p>
        </w:tc>
      </w:tr>
      <w:tr>
        <w:trPr>
          <w:jc w:val="center"/>
        </w:trPr>
        <w:tc>
          <w:tcPr>
            <w:tcW w:w="611"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回归方法</w:t>
            </w:r>
          </w:p>
        </w:tc>
        <w:tc>
          <w:tcPr>
            <w:tcW w:w="663"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OLS</w:t>
            </w:r>
          </w:p>
        </w:tc>
        <w:tc>
          <w:tcPr>
            <w:tcW w:w="748"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OLS</w:t>
            </w:r>
          </w:p>
        </w:tc>
        <w:tc>
          <w:tcPr>
            <w:tcW w:w="745"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OLS</w:t>
            </w:r>
          </w:p>
        </w:tc>
        <w:tc>
          <w:tcPr>
            <w:tcW w:w="745"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FE</w:t>
            </w:r>
          </w:p>
        </w:tc>
        <w:tc>
          <w:tcPr>
            <w:tcW w:w="744"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FE</w:t>
            </w:r>
          </w:p>
        </w:tc>
        <w:tc>
          <w:tcPr>
            <w:tcW w:w="744"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FE</w:t>
            </w:r>
          </w:p>
        </w:tc>
      </w:tr>
      <w:tr>
        <w:trPr>
          <w:jc w:val="center"/>
        </w:trPr>
        <w:tc>
          <w:tcPr>
            <w:tcW w:w="611" w:type="pct"/>
            <w:tcBorders>
              <w:top w:val="nil"/>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对应公式</w:t>
            </w:r>
          </w:p>
        </w:tc>
        <w:tc>
          <w:tcPr>
            <w:tcW w:w="663" w:type="pct"/>
            <w:tcBorders>
              <w:top w:val="nil"/>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（4）</w:t>
            </w:r>
          </w:p>
        </w:tc>
        <w:tc>
          <w:tcPr>
            <w:tcW w:w="748" w:type="pct"/>
            <w:tcBorders>
              <w:top w:val="nil"/>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（5）</w:t>
            </w:r>
          </w:p>
        </w:tc>
        <w:tc>
          <w:tcPr>
            <w:tcW w:w="745" w:type="pct"/>
            <w:tcBorders>
              <w:top w:val="nil"/>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（6）</w:t>
            </w:r>
          </w:p>
        </w:tc>
        <w:tc>
          <w:tcPr>
            <w:tcW w:w="745" w:type="pct"/>
            <w:tcBorders>
              <w:top w:val="nil"/>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（6）</w:t>
            </w:r>
          </w:p>
        </w:tc>
        <w:tc>
          <w:tcPr>
            <w:tcW w:w="744" w:type="pct"/>
            <w:tcBorders>
              <w:top w:val="nil"/>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（6）</w:t>
            </w:r>
          </w:p>
        </w:tc>
        <w:tc>
          <w:tcPr>
            <w:tcW w:w="744" w:type="pct"/>
            <w:tcBorders>
              <w:top w:val="nil"/>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（6）</w:t>
            </w:r>
          </w:p>
        </w:tc>
      </w:tr>
      <w:tr>
        <w:trPr>
          <w:jc w:val="center"/>
        </w:trPr>
        <w:tc>
          <w:tcPr>
            <w:tcW w:w="611"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i/>
                <w:kern w:val="0"/>
                <w:sz w:val="15"/>
                <w:szCs w:val="18"/>
              </w:rPr>
            </w:pPr>
            <w:r>
              <w:rPr>
                <w:rFonts w:hint="eastAsia" w:ascii="Times New Roman" w:hAnsi="Times New Roman" w:eastAsia="仿宋"/>
                <w:i/>
                <w:kern w:val="0"/>
                <w:sz w:val="15"/>
                <w:szCs w:val="18"/>
              </w:rPr>
              <w:t>回归系数</w:t>
            </w:r>
          </w:p>
        </w:tc>
        <w:tc>
          <w:tcPr>
            <w:tcW w:w="663"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ascii="Times New Roman" w:hAnsi="Times New Roman" w:eastAsia="仿宋"/>
                <w:kern w:val="0"/>
                <w:sz w:val="15"/>
                <w:szCs w:val="18"/>
              </w:rPr>
              <w:t>-0.</w:t>
            </w:r>
            <w:r>
              <w:rPr>
                <w:rFonts w:hint="eastAsia" w:ascii="Times New Roman" w:hAnsi="Times New Roman" w:eastAsia="仿宋"/>
                <w:kern w:val="0"/>
                <w:sz w:val="15"/>
                <w:szCs w:val="18"/>
              </w:rPr>
              <w:t>108***</w:t>
            </w:r>
          </w:p>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w:t>
            </w:r>
            <w:r>
              <w:rPr>
                <w:rFonts w:ascii="Times New Roman" w:hAnsi="Times New Roman" w:eastAsia="仿宋"/>
                <w:kern w:val="0"/>
                <w:sz w:val="15"/>
                <w:szCs w:val="18"/>
              </w:rPr>
              <w:t>0.</w:t>
            </w:r>
            <w:r>
              <w:rPr>
                <w:rFonts w:hint="eastAsia" w:ascii="Times New Roman" w:hAnsi="Times New Roman" w:eastAsia="仿宋"/>
                <w:kern w:val="0"/>
                <w:sz w:val="15"/>
                <w:szCs w:val="18"/>
              </w:rPr>
              <w:t>002)</w:t>
            </w:r>
          </w:p>
        </w:tc>
        <w:tc>
          <w:tcPr>
            <w:tcW w:w="748"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ascii="Times New Roman" w:hAnsi="Times New Roman" w:eastAsia="仿宋"/>
                <w:kern w:val="0"/>
                <w:sz w:val="15"/>
                <w:szCs w:val="18"/>
              </w:rPr>
              <w:t>-0.</w:t>
            </w:r>
            <w:r>
              <w:rPr>
                <w:rFonts w:hint="eastAsia" w:ascii="Times New Roman" w:hAnsi="Times New Roman" w:eastAsia="仿宋"/>
                <w:kern w:val="0"/>
                <w:sz w:val="15"/>
                <w:szCs w:val="18"/>
              </w:rPr>
              <w:t>122***</w:t>
            </w:r>
          </w:p>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w:t>
            </w:r>
            <w:r>
              <w:rPr>
                <w:rFonts w:ascii="Times New Roman" w:hAnsi="Times New Roman" w:eastAsia="仿宋"/>
                <w:kern w:val="0"/>
                <w:sz w:val="15"/>
                <w:szCs w:val="18"/>
              </w:rPr>
              <w:t>0.00</w:t>
            </w:r>
            <w:r>
              <w:rPr>
                <w:rFonts w:hint="eastAsia" w:ascii="Times New Roman" w:hAnsi="Times New Roman" w:eastAsia="仿宋"/>
                <w:kern w:val="0"/>
                <w:sz w:val="15"/>
                <w:szCs w:val="18"/>
              </w:rPr>
              <w:t>2)</w:t>
            </w:r>
          </w:p>
        </w:tc>
        <w:tc>
          <w:tcPr>
            <w:tcW w:w="745"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ascii="Times New Roman" w:hAnsi="Times New Roman" w:eastAsia="仿宋"/>
                <w:kern w:val="0"/>
                <w:sz w:val="15"/>
                <w:szCs w:val="18"/>
              </w:rPr>
              <w:t>-0.35</w:t>
            </w:r>
            <w:r>
              <w:rPr>
                <w:rFonts w:hint="eastAsia" w:ascii="Times New Roman" w:hAnsi="Times New Roman" w:eastAsia="仿宋"/>
                <w:kern w:val="0"/>
                <w:sz w:val="15"/>
                <w:szCs w:val="18"/>
              </w:rPr>
              <w:t>4***</w:t>
            </w:r>
          </w:p>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w:t>
            </w:r>
            <w:r>
              <w:rPr>
                <w:rFonts w:ascii="Times New Roman" w:hAnsi="Times New Roman" w:eastAsia="仿宋"/>
                <w:kern w:val="0"/>
                <w:sz w:val="15"/>
                <w:szCs w:val="18"/>
              </w:rPr>
              <w:t>0.00</w:t>
            </w:r>
            <w:r>
              <w:rPr>
                <w:rFonts w:hint="eastAsia" w:ascii="Times New Roman" w:hAnsi="Times New Roman" w:eastAsia="仿宋"/>
                <w:kern w:val="0"/>
                <w:sz w:val="15"/>
                <w:szCs w:val="18"/>
              </w:rPr>
              <w:t>4)</w:t>
            </w:r>
          </w:p>
        </w:tc>
        <w:tc>
          <w:tcPr>
            <w:tcW w:w="745"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ascii="Times New Roman" w:hAnsi="Times New Roman" w:eastAsia="仿宋"/>
                <w:kern w:val="0"/>
                <w:sz w:val="15"/>
                <w:szCs w:val="18"/>
              </w:rPr>
              <w:t>-0.36</w:t>
            </w:r>
            <w:r>
              <w:rPr>
                <w:rFonts w:hint="eastAsia" w:ascii="Times New Roman" w:hAnsi="Times New Roman" w:eastAsia="仿宋"/>
                <w:kern w:val="0"/>
                <w:sz w:val="15"/>
                <w:szCs w:val="18"/>
              </w:rPr>
              <w:t>8***</w:t>
            </w:r>
          </w:p>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w:t>
            </w:r>
            <w:r>
              <w:rPr>
                <w:rFonts w:ascii="Times New Roman" w:hAnsi="Times New Roman" w:eastAsia="仿宋"/>
                <w:kern w:val="0"/>
                <w:sz w:val="15"/>
                <w:szCs w:val="18"/>
              </w:rPr>
              <w:t>0.00</w:t>
            </w:r>
            <w:r>
              <w:rPr>
                <w:rFonts w:hint="eastAsia" w:ascii="Times New Roman" w:hAnsi="Times New Roman" w:eastAsia="仿宋"/>
                <w:kern w:val="0"/>
                <w:sz w:val="15"/>
                <w:szCs w:val="18"/>
              </w:rPr>
              <w:t>4)</w:t>
            </w:r>
          </w:p>
        </w:tc>
        <w:tc>
          <w:tcPr>
            <w:tcW w:w="744"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w:t>
            </w:r>
            <w:r>
              <w:rPr>
                <w:rFonts w:ascii="Times New Roman" w:hAnsi="Times New Roman" w:eastAsia="仿宋"/>
                <w:kern w:val="0"/>
                <w:sz w:val="15"/>
                <w:szCs w:val="18"/>
              </w:rPr>
              <w:t>0.</w:t>
            </w:r>
            <w:r>
              <w:rPr>
                <w:rFonts w:hint="eastAsia" w:ascii="Times New Roman" w:hAnsi="Times New Roman" w:eastAsia="仿宋"/>
                <w:kern w:val="0"/>
                <w:sz w:val="15"/>
                <w:szCs w:val="18"/>
              </w:rPr>
              <w:t>426***</w:t>
            </w:r>
          </w:p>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w:t>
            </w:r>
            <w:r>
              <w:rPr>
                <w:rFonts w:ascii="Times New Roman" w:hAnsi="Times New Roman" w:eastAsia="仿宋"/>
                <w:kern w:val="0"/>
                <w:sz w:val="15"/>
                <w:szCs w:val="18"/>
              </w:rPr>
              <w:t>0.0</w:t>
            </w:r>
            <w:r>
              <w:rPr>
                <w:rFonts w:hint="eastAsia" w:ascii="Times New Roman" w:hAnsi="Times New Roman" w:eastAsia="仿宋"/>
                <w:kern w:val="0"/>
                <w:sz w:val="15"/>
                <w:szCs w:val="18"/>
              </w:rPr>
              <w:t>07</w:t>
            </w:r>
            <w:r>
              <w:rPr>
                <w:rFonts w:ascii="Times New Roman" w:hAnsi="Times New Roman" w:eastAsia="仿宋"/>
                <w:kern w:val="0"/>
                <w:sz w:val="15"/>
                <w:szCs w:val="18"/>
              </w:rPr>
              <w:t>)</w:t>
            </w:r>
          </w:p>
        </w:tc>
        <w:tc>
          <w:tcPr>
            <w:tcW w:w="744"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w:t>
            </w:r>
            <w:r>
              <w:rPr>
                <w:rFonts w:ascii="Times New Roman" w:hAnsi="Times New Roman" w:eastAsia="仿宋"/>
                <w:kern w:val="0"/>
                <w:sz w:val="15"/>
                <w:szCs w:val="18"/>
              </w:rPr>
              <w:t>0.6</w:t>
            </w:r>
            <w:r>
              <w:rPr>
                <w:rFonts w:hint="eastAsia" w:ascii="Times New Roman" w:hAnsi="Times New Roman" w:eastAsia="仿宋"/>
                <w:kern w:val="0"/>
                <w:sz w:val="15"/>
                <w:szCs w:val="18"/>
              </w:rPr>
              <w:t>29***</w:t>
            </w:r>
          </w:p>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w:t>
            </w:r>
            <w:r>
              <w:rPr>
                <w:rFonts w:ascii="Times New Roman" w:hAnsi="Times New Roman" w:eastAsia="仿宋"/>
                <w:kern w:val="0"/>
                <w:sz w:val="15"/>
                <w:szCs w:val="18"/>
              </w:rPr>
              <w:t>0.01</w:t>
            </w:r>
            <w:r>
              <w:rPr>
                <w:rFonts w:hint="eastAsia" w:ascii="Times New Roman" w:hAnsi="Times New Roman" w:eastAsia="仿宋"/>
                <w:kern w:val="0"/>
                <w:sz w:val="15"/>
                <w:szCs w:val="18"/>
              </w:rPr>
              <w:t>6</w:t>
            </w:r>
            <w:r>
              <w:rPr>
                <w:rFonts w:ascii="Times New Roman" w:hAnsi="Times New Roman" w:eastAsia="仿宋"/>
                <w:kern w:val="0"/>
                <w:sz w:val="15"/>
                <w:szCs w:val="18"/>
              </w:rPr>
              <w:t>)</w:t>
            </w:r>
          </w:p>
        </w:tc>
      </w:tr>
      <w:tr>
        <w:trPr>
          <w:jc w:val="center"/>
        </w:trPr>
        <w:tc>
          <w:tcPr>
            <w:tcW w:w="611"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i/>
                <w:kern w:val="0"/>
                <w:sz w:val="15"/>
                <w:szCs w:val="18"/>
              </w:rPr>
            </w:pPr>
            <w:r>
              <w:rPr>
                <w:rFonts w:hint="eastAsia" w:ascii="Times New Roman" w:hAnsi="Times New Roman" w:eastAsia="仿宋"/>
                <w:i/>
                <w:kern w:val="0"/>
                <w:sz w:val="15"/>
                <w:szCs w:val="18"/>
              </w:rPr>
              <w:t>控制变量</w:t>
            </w:r>
          </w:p>
        </w:tc>
        <w:tc>
          <w:tcPr>
            <w:tcW w:w="663"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不含</w:t>
            </w:r>
          </w:p>
        </w:tc>
        <w:tc>
          <w:tcPr>
            <w:tcW w:w="748"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含</w:t>
            </w:r>
          </w:p>
        </w:tc>
        <w:tc>
          <w:tcPr>
            <w:tcW w:w="745"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不含</w:t>
            </w:r>
          </w:p>
        </w:tc>
        <w:tc>
          <w:tcPr>
            <w:tcW w:w="745"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不含</w:t>
            </w:r>
          </w:p>
        </w:tc>
        <w:tc>
          <w:tcPr>
            <w:tcW w:w="744"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含</w:t>
            </w:r>
          </w:p>
        </w:tc>
        <w:tc>
          <w:tcPr>
            <w:tcW w:w="744"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含</w:t>
            </w:r>
          </w:p>
        </w:tc>
      </w:tr>
      <w:tr>
        <w:trPr>
          <w:jc w:val="center"/>
        </w:trPr>
        <w:tc>
          <w:tcPr>
            <w:tcW w:w="611"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i/>
                <w:kern w:val="0"/>
                <w:sz w:val="15"/>
                <w:szCs w:val="18"/>
              </w:rPr>
            </w:pPr>
            <w:r>
              <w:rPr>
                <w:rFonts w:hint="eastAsia" w:ascii="Times New Roman" w:hAnsi="Times New Roman" w:eastAsia="仿宋"/>
                <w:i/>
                <w:kern w:val="0"/>
                <w:sz w:val="15"/>
                <w:szCs w:val="18"/>
              </w:rPr>
              <w:t>时间效应</w:t>
            </w:r>
          </w:p>
        </w:tc>
        <w:tc>
          <w:tcPr>
            <w:tcW w:w="663"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不含</w:t>
            </w:r>
          </w:p>
        </w:tc>
        <w:tc>
          <w:tcPr>
            <w:tcW w:w="748"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不含</w:t>
            </w:r>
          </w:p>
        </w:tc>
        <w:tc>
          <w:tcPr>
            <w:tcW w:w="745"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不含</w:t>
            </w:r>
          </w:p>
        </w:tc>
        <w:tc>
          <w:tcPr>
            <w:tcW w:w="745"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不含</w:t>
            </w:r>
          </w:p>
        </w:tc>
        <w:tc>
          <w:tcPr>
            <w:tcW w:w="744"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不含</w:t>
            </w:r>
          </w:p>
        </w:tc>
        <w:tc>
          <w:tcPr>
            <w:tcW w:w="744" w:type="pct"/>
            <w:tcBorders>
              <w:top w:val="single" w:color="000000" w:sz="4" w:space="0"/>
              <w:bottom w:val="sing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含</w:t>
            </w:r>
          </w:p>
        </w:tc>
      </w:tr>
      <w:tr>
        <w:trPr>
          <w:jc w:val="center"/>
        </w:trPr>
        <w:tc>
          <w:tcPr>
            <w:tcW w:w="611" w:type="pct"/>
            <w:tcBorders>
              <w:top w:val="single" w:color="000000" w:sz="4" w:space="0"/>
              <w:bottom w:val="nil"/>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N</w:t>
            </w:r>
          </w:p>
        </w:tc>
        <w:tc>
          <w:tcPr>
            <w:tcW w:w="663" w:type="pct"/>
            <w:tcBorders>
              <w:top w:val="single" w:color="000000" w:sz="4" w:space="0"/>
              <w:bottom w:val="nil"/>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336</w:t>
            </w:r>
          </w:p>
        </w:tc>
        <w:tc>
          <w:tcPr>
            <w:tcW w:w="748" w:type="pct"/>
            <w:tcBorders>
              <w:top w:val="single" w:color="000000" w:sz="4" w:space="0"/>
              <w:bottom w:val="nil"/>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254</w:t>
            </w:r>
          </w:p>
        </w:tc>
        <w:tc>
          <w:tcPr>
            <w:tcW w:w="745" w:type="pct"/>
            <w:tcBorders>
              <w:top w:val="single" w:color="000000" w:sz="4" w:space="0"/>
              <w:bottom w:val="nil"/>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2</w:t>
            </w:r>
            <w:r>
              <w:rPr>
                <w:rFonts w:ascii="Times New Roman" w:hAnsi="Times New Roman" w:eastAsia="仿宋"/>
                <w:kern w:val="0"/>
                <w:sz w:val="15"/>
                <w:szCs w:val="18"/>
              </w:rPr>
              <w:t>35</w:t>
            </w:r>
            <w:r>
              <w:rPr>
                <w:rFonts w:hint="eastAsia" w:ascii="Times New Roman" w:hAnsi="Times New Roman" w:eastAsia="仿宋"/>
                <w:kern w:val="0"/>
                <w:sz w:val="15"/>
                <w:szCs w:val="18"/>
              </w:rPr>
              <w:t>2</w:t>
            </w:r>
          </w:p>
        </w:tc>
        <w:tc>
          <w:tcPr>
            <w:tcW w:w="745" w:type="pct"/>
            <w:tcBorders>
              <w:top w:val="single" w:color="000000" w:sz="4" w:space="0"/>
              <w:bottom w:val="nil"/>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ascii="Times New Roman" w:hAnsi="Times New Roman" w:eastAsia="仿宋"/>
                <w:kern w:val="0"/>
                <w:sz w:val="15"/>
                <w:szCs w:val="18"/>
              </w:rPr>
              <w:t>235</w:t>
            </w:r>
            <w:r>
              <w:rPr>
                <w:rFonts w:hint="eastAsia" w:ascii="Times New Roman" w:hAnsi="Times New Roman" w:eastAsia="仿宋"/>
                <w:kern w:val="0"/>
                <w:sz w:val="15"/>
                <w:szCs w:val="18"/>
              </w:rPr>
              <w:t>2</w:t>
            </w:r>
          </w:p>
        </w:tc>
        <w:tc>
          <w:tcPr>
            <w:tcW w:w="744" w:type="pct"/>
            <w:tcBorders>
              <w:top w:val="single" w:color="000000" w:sz="4" w:space="0"/>
              <w:bottom w:val="nil"/>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1923</w:t>
            </w:r>
          </w:p>
        </w:tc>
        <w:tc>
          <w:tcPr>
            <w:tcW w:w="744" w:type="pct"/>
            <w:tcBorders>
              <w:top w:val="single" w:color="000000" w:sz="4" w:space="0"/>
              <w:bottom w:val="nil"/>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1923</w:t>
            </w:r>
          </w:p>
        </w:tc>
      </w:tr>
      <w:tr>
        <w:trPr>
          <w:jc w:val="center"/>
        </w:trPr>
        <w:tc>
          <w:tcPr>
            <w:tcW w:w="611" w:type="pct"/>
            <w:tcBorders>
              <w:top w:val="nil"/>
              <w:bottom w:val="doub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ascii="Times New Roman" w:hAnsi="Times New Roman" w:eastAsia="仿宋"/>
                <w:position w:val="-4"/>
                <w:sz w:val="15"/>
              </w:rPr>
              <w:object>
                <v:shape id="_x0000_i1039" o:spt="75" type="#_x0000_t75" style="height:10pt;width:10pt;" o:ole="t" filled="f" o:preferrelative="t" stroked="f" coordsize="21600,21600">
                  <v:path/>
                  <v:fill on="f" focussize="0,0"/>
                  <v:stroke on="f" joinstyle="miter"/>
                  <v:imagedata r:id="rId34" o:title=""/>
                  <o:lock v:ext="edit" aspectratio="t"/>
                  <w10:wrap type="none"/>
                  <w10:anchorlock/>
                </v:shape>
                <o:OLEObject Type="Embed" ProgID="Equation.DSMT4" ShapeID="_x0000_i1039" DrawAspect="Content" ObjectID="_1468075739" r:id="rId33">
                  <o:LockedField>false</o:LockedField>
                </o:OLEObject>
              </w:object>
            </w:r>
          </w:p>
        </w:tc>
        <w:tc>
          <w:tcPr>
            <w:tcW w:w="663" w:type="pct"/>
            <w:tcBorders>
              <w:top w:val="nil"/>
              <w:bottom w:val="doub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0.960</w:t>
            </w:r>
          </w:p>
        </w:tc>
        <w:tc>
          <w:tcPr>
            <w:tcW w:w="748" w:type="pct"/>
            <w:tcBorders>
              <w:top w:val="nil"/>
              <w:bottom w:val="doub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ascii="Times New Roman" w:hAnsi="Times New Roman" w:eastAsia="仿宋"/>
                <w:kern w:val="0"/>
                <w:sz w:val="15"/>
                <w:szCs w:val="18"/>
              </w:rPr>
              <w:t>0.</w:t>
            </w:r>
            <w:r>
              <w:rPr>
                <w:rFonts w:hint="eastAsia" w:ascii="Times New Roman" w:hAnsi="Times New Roman" w:eastAsia="仿宋"/>
                <w:kern w:val="0"/>
                <w:sz w:val="15"/>
                <w:szCs w:val="18"/>
              </w:rPr>
              <w:t>975</w:t>
            </w:r>
          </w:p>
        </w:tc>
        <w:tc>
          <w:tcPr>
            <w:tcW w:w="745" w:type="pct"/>
            <w:tcBorders>
              <w:top w:val="nil"/>
              <w:bottom w:val="doub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0.</w:t>
            </w:r>
            <w:r>
              <w:rPr>
                <w:rFonts w:ascii="Times New Roman" w:hAnsi="Times New Roman" w:eastAsia="仿宋"/>
                <w:kern w:val="0"/>
                <w:sz w:val="15"/>
                <w:szCs w:val="18"/>
              </w:rPr>
              <w:t>85</w:t>
            </w:r>
            <w:r>
              <w:rPr>
                <w:rFonts w:hint="eastAsia" w:ascii="Times New Roman" w:hAnsi="Times New Roman" w:eastAsia="仿宋"/>
                <w:kern w:val="0"/>
                <w:sz w:val="15"/>
                <w:szCs w:val="18"/>
              </w:rPr>
              <w:t>5</w:t>
            </w:r>
          </w:p>
        </w:tc>
        <w:tc>
          <w:tcPr>
            <w:tcW w:w="745" w:type="pct"/>
            <w:tcBorders>
              <w:top w:val="nil"/>
              <w:bottom w:val="doub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ascii="Times New Roman" w:hAnsi="Times New Roman" w:eastAsia="仿宋"/>
                <w:kern w:val="0"/>
                <w:sz w:val="15"/>
                <w:szCs w:val="18"/>
              </w:rPr>
              <w:t>0.871</w:t>
            </w:r>
          </w:p>
        </w:tc>
        <w:tc>
          <w:tcPr>
            <w:tcW w:w="744" w:type="pct"/>
            <w:tcBorders>
              <w:top w:val="nil"/>
              <w:bottom w:val="doub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0</w:t>
            </w:r>
            <w:r>
              <w:rPr>
                <w:rFonts w:ascii="Times New Roman" w:hAnsi="Times New Roman" w:eastAsia="仿宋"/>
                <w:kern w:val="0"/>
                <w:sz w:val="15"/>
                <w:szCs w:val="18"/>
              </w:rPr>
              <w:t>.</w:t>
            </w:r>
            <w:r>
              <w:rPr>
                <w:rFonts w:hint="eastAsia" w:ascii="Times New Roman" w:hAnsi="Times New Roman" w:eastAsia="仿宋"/>
                <w:kern w:val="0"/>
                <w:sz w:val="15"/>
                <w:szCs w:val="18"/>
              </w:rPr>
              <w:t>913</w:t>
            </w:r>
          </w:p>
        </w:tc>
        <w:tc>
          <w:tcPr>
            <w:tcW w:w="744" w:type="pct"/>
            <w:tcBorders>
              <w:top w:val="nil"/>
              <w:bottom w:val="double" w:color="000000" w:sz="4" w:space="0"/>
            </w:tcBorders>
          </w:tcPr>
          <w:p>
            <w:pPr>
              <w:widowControl/>
              <w:autoSpaceDE w:val="0"/>
              <w:autoSpaceDN w:val="0"/>
              <w:adjustRightInd w:val="0"/>
              <w:spacing w:line="210" w:lineRule="exact"/>
              <w:jc w:val="center"/>
              <w:rPr>
                <w:rFonts w:ascii="Times New Roman" w:hAnsi="Times New Roman" w:eastAsia="仿宋"/>
                <w:kern w:val="0"/>
                <w:sz w:val="15"/>
                <w:szCs w:val="18"/>
              </w:rPr>
            </w:pPr>
            <w:r>
              <w:rPr>
                <w:rFonts w:hint="eastAsia" w:ascii="Times New Roman" w:hAnsi="Times New Roman" w:eastAsia="仿宋"/>
                <w:kern w:val="0"/>
                <w:sz w:val="15"/>
                <w:szCs w:val="18"/>
              </w:rPr>
              <w:t>0</w:t>
            </w:r>
            <w:r>
              <w:rPr>
                <w:rFonts w:ascii="Times New Roman" w:hAnsi="Times New Roman" w:eastAsia="仿宋"/>
                <w:kern w:val="0"/>
                <w:sz w:val="15"/>
                <w:szCs w:val="18"/>
              </w:rPr>
              <w:t>.9</w:t>
            </w:r>
            <w:r>
              <w:rPr>
                <w:rFonts w:hint="eastAsia" w:ascii="Times New Roman" w:hAnsi="Times New Roman" w:eastAsia="仿宋"/>
                <w:kern w:val="0"/>
                <w:sz w:val="15"/>
                <w:szCs w:val="18"/>
              </w:rPr>
              <w:t>74</w:t>
            </w:r>
          </w:p>
        </w:tc>
      </w:tr>
    </w:tbl>
    <w:p>
      <w:pPr>
        <w:ind w:firstLine="300" w:firstLineChars="200"/>
        <w:rPr>
          <w:rFonts w:ascii="宋体" w:hAnsi="宋体"/>
          <w:kern w:val="0"/>
          <w:sz w:val="15"/>
          <w:szCs w:val="15"/>
        </w:rPr>
      </w:pPr>
      <w:r>
        <w:rPr>
          <w:rFonts w:hint="eastAsia" w:ascii="宋体" w:hAnsi="宋体"/>
          <w:kern w:val="0"/>
          <w:sz w:val="15"/>
          <w:szCs w:val="15"/>
        </w:rPr>
        <w:t>注：第（1）-（2）列分析的是2018年的指数较基期2011年的收敛性，第（3）-（6）列是逐年数据的回归；控制变量为滞后一期的实际人均GDP、人口密度、财政支出/GDP、银行信贷余额/GDP、第三产业比重和互联网普及率（数据有缺失）；括号内数值为异方差稳健标准误；</w:t>
      </w:r>
      <w:r>
        <w:rPr>
          <w:rFonts w:ascii="Times New Roman" w:hAnsi="Times New Roman"/>
          <w:kern w:val="0"/>
          <w:sz w:val="15"/>
          <w:szCs w:val="15"/>
          <w:vertAlign w:val="superscript"/>
        </w:rPr>
        <w:t>***</w:t>
      </w:r>
      <w:r>
        <w:rPr>
          <w:rFonts w:ascii="Times New Roman" w:hAnsi="Times New Roman"/>
          <w:kern w:val="0"/>
          <w:sz w:val="15"/>
          <w:szCs w:val="15"/>
        </w:rPr>
        <w:t xml:space="preserve"> </w:t>
      </w:r>
      <w:r>
        <w:rPr>
          <w:rFonts w:hint="eastAsia" w:ascii="Times New Roman" w:hAnsi="Times New Roman"/>
          <w:kern w:val="0"/>
          <w:sz w:val="15"/>
          <w:szCs w:val="15"/>
        </w:rPr>
        <w:t>表示</w:t>
      </w:r>
      <w:r>
        <w:rPr>
          <w:rFonts w:ascii="Times New Roman" w:hAnsi="Times New Roman"/>
          <w:kern w:val="0"/>
          <w:sz w:val="15"/>
          <w:szCs w:val="15"/>
        </w:rPr>
        <w:t>1%</w:t>
      </w:r>
      <w:r>
        <w:rPr>
          <w:rFonts w:hint="eastAsia" w:ascii="宋体" w:hAnsi="宋体"/>
          <w:kern w:val="0"/>
          <w:sz w:val="15"/>
          <w:szCs w:val="15"/>
        </w:rPr>
        <w:t>的显著性水平。</w:t>
      </w:r>
    </w:p>
    <w:bookmarkEnd w:id="31"/>
    <w:p>
      <w:pPr>
        <w:tabs>
          <w:tab w:val="left" w:pos="720"/>
        </w:tabs>
        <w:ind w:firstLine="420" w:firstLineChars="200"/>
        <w:rPr>
          <w:rFonts w:ascii="Times New Roman" w:hAnsi="Times New Roman" w:eastAsia="仿宋"/>
          <w:szCs w:val="24"/>
        </w:rPr>
      </w:pPr>
      <w:r>
        <w:rPr>
          <w:rFonts w:hint="eastAsia" w:ascii="Times New Roman" w:hAnsi="Times New Roman" w:eastAsia="仿宋"/>
          <w:szCs w:val="21"/>
        </w:rPr>
        <w:t>数字普惠金融的上述地区收敛性具有非常重要的现实意义。这说明数字金融的发展对于缓解我国现阶段发展的不充分和不平衡矛盾可能会起到非常重要的作用。虽然严格论证这一点超出了本文的框架，但多篇使用我们第一期数据的学术论文对此问题进行了更详细、更严谨的分析。例如，谢绚丽等（</w:t>
      </w:r>
      <w:r>
        <w:rPr>
          <w:rFonts w:ascii="Times New Roman" w:hAnsi="Times New Roman" w:eastAsia="仿宋"/>
          <w:szCs w:val="21"/>
        </w:rPr>
        <w:t>2018</w:t>
      </w:r>
      <w:r>
        <w:rPr>
          <w:rFonts w:hint="eastAsia" w:ascii="Times New Roman" w:hAnsi="Times New Roman" w:eastAsia="仿宋"/>
          <w:szCs w:val="21"/>
        </w:rPr>
        <w:t>）、张勋等（</w:t>
      </w:r>
      <w:r>
        <w:rPr>
          <w:rFonts w:ascii="Times New Roman" w:hAnsi="Times New Roman" w:eastAsia="仿宋"/>
          <w:szCs w:val="21"/>
        </w:rPr>
        <w:t>201</w:t>
      </w:r>
      <w:r>
        <w:rPr>
          <w:rFonts w:hint="eastAsia" w:ascii="Times New Roman" w:hAnsi="Times New Roman" w:eastAsia="仿宋"/>
          <w:szCs w:val="21"/>
        </w:rPr>
        <w:t>9）发现中国的数字普惠金融显著促进了创新创业，而且这一促进作用在中西部落后地区，比东部发达地区更加显著。再比如，易行健和周利（</w:t>
      </w:r>
      <w:r>
        <w:rPr>
          <w:rFonts w:ascii="Times New Roman" w:hAnsi="Times New Roman" w:eastAsia="仿宋"/>
          <w:szCs w:val="21"/>
        </w:rPr>
        <w:t>2018</w:t>
      </w:r>
      <w:r>
        <w:rPr>
          <w:rFonts w:hint="eastAsia" w:ascii="Times New Roman" w:hAnsi="Times New Roman" w:eastAsia="仿宋"/>
          <w:szCs w:val="21"/>
        </w:rPr>
        <w:t>）的研究则发现数字普惠金融的发展显著促进了居民消费，且这一促进效应在农村地区、中西部地区以及中低收入阶层家庭更为明显。</w:t>
      </w:r>
    </w:p>
    <w:p>
      <w:pPr>
        <w:spacing w:before="100" w:beforeAutospacing="1" w:after="100" w:afterAutospacing="1"/>
        <w:ind w:firstLine="420" w:firstLineChars="200"/>
        <w:rPr>
          <w:rFonts w:ascii="Times New Roman" w:hAnsi="Times New Roman" w:eastAsia="仿宋"/>
          <w:szCs w:val="24"/>
        </w:rPr>
      </w:pPr>
      <w:r>
        <w:rPr>
          <w:rFonts w:hint="eastAsia" w:ascii="Times New Roman" w:hAnsi="Times New Roman" w:eastAsia="仿宋"/>
          <w:szCs w:val="24"/>
        </w:rPr>
        <w:t>（三）中国数字普惠金融发展的空间集聚性</w:t>
      </w:r>
    </w:p>
    <w:p>
      <w:pPr>
        <w:ind w:firstLine="420"/>
        <w:rPr>
          <w:rFonts w:ascii="Times New Roman" w:hAnsi="Times New Roman" w:eastAsia="仿宋"/>
          <w:szCs w:val="24"/>
        </w:rPr>
      </w:pPr>
      <w:r>
        <w:rPr>
          <w:rFonts w:hint="eastAsia" w:ascii="Times New Roman" w:hAnsi="Times New Roman" w:eastAsia="仿宋"/>
          <w:szCs w:val="21"/>
        </w:rPr>
        <w:t>在讨论完中国数字普惠金融总体上的地区收敛性之后，我们接着讨论其空间集聚性。就数字金融发展的空间特征而言，至少存在两种相互对立的假说。一方面，数字金融从理论上可以突破传统地理空间上的局限，在遥远的地区实现低成本、便捷的金融资源配置。因此某地区数字金融的发展与该地区的地理位置以及与周边地区的数字金融发展水平应该没有显著的相关性。然而，从另一个角度而言，数字金融作为金融的一种新的业态，仍然要遵循金融发展的基本规律。数字金融并不是凭空出现和发展的，其发展仍要依赖于实体经济和传统金融（</w:t>
      </w:r>
      <w:r>
        <w:rPr>
          <w:rFonts w:ascii="Times New Roman" w:hAnsi="Times New Roman" w:eastAsia="仿宋"/>
          <w:szCs w:val="21"/>
        </w:rPr>
        <w:t>Guo</w:t>
      </w:r>
      <w:r>
        <w:rPr>
          <w:rFonts w:ascii="Times New Roman" w:hAnsi="Times New Roman" w:eastAsia="仿宋"/>
          <w:i/>
          <w:szCs w:val="21"/>
        </w:rPr>
        <w:t xml:space="preserve"> et al.</w:t>
      </w:r>
      <w:r>
        <w:rPr>
          <w:rFonts w:hint="eastAsia" w:ascii="Times New Roman" w:hAnsi="Times New Roman" w:eastAsia="仿宋"/>
          <w:szCs w:val="21"/>
        </w:rPr>
        <w:t>，</w:t>
      </w:r>
      <w:r>
        <w:rPr>
          <w:rFonts w:ascii="Times New Roman" w:hAnsi="Times New Roman" w:eastAsia="仿宋"/>
          <w:szCs w:val="21"/>
        </w:rPr>
        <w:t>2016</w:t>
      </w:r>
      <w:r>
        <w:rPr>
          <w:rFonts w:hint="eastAsia" w:ascii="Times New Roman" w:hAnsi="Times New Roman" w:eastAsia="仿宋"/>
          <w:szCs w:val="21"/>
        </w:rPr>
        <w:t>；姚耀军和施丹燕，2017；郭峰和王瑶佩，2019）。而且，数字金融很多业务的推广也有赖于地理因素。因此，另一个合理的假说是数字金融的发展仍然会显示出很强的空间集聚性。结合以上两方面考虑，地区数字普惠金融发展在总体上呈现出收敛性之外，其空间集聚性是如何展现和演化的，就成为一个有价值的研究问题。</w:t>
      </w:r>
    </w:p>
    <w:p>
      <w:pPr>
        <w:ind w:firstLine="420" w:firstLineChars="200"/>
        <w:rPr>
          <w:rFonts w:ascii="Times New Roman" w:hAnsi="Times New Roman" w:eastAsia="仿宋"/>
          <w:szCs w:val="24"/>
        </w:rPr>
      </w:pPr>
      <w:r>
        <w:rPr>
          <w:rFonts w:hint="eastAsia" w:ascii="Times New Roman" w:hAnsi="Times New Roman" w:eastAsia="仿宋"/>
          <w:szCs w:val="24"/>
        </w:rPr>
        <w:t>为了检验数字普惠金融的空间集聚性，可以运用空间自相关指数M</w:t>
      </w:r>
      <w:r>
        <w:rPr>
          <w:rFonts w:ascii="Times New Roman" w:hAnsi="Times New Roman" w:eastAsia="仿宋"/>
          <w:szCs w:val="24"/>
        </w:rPr>
        <w:t>o</w:t>
      </w:r>
      <w:r>
        <w:rPr>
          <w:rFonts w:hint="eastAsia" w:ascii="Times New Roman" w:hAnsi="Times New Roman" w:eastAsia="仿宋"/>
          <w:szCs w:val="24"/>
        </w:rPr>
        <w:t>ran</w:t>
      </w:r>
      <w:r>
        <w:rPr>
          <w:rFonts w:ascii="Times New Roman" w:hAnsi="Times New Roman" w:eastAsia="仿宋"/>
          <w:szCs w:val="24"/>
        </w:rPr>
        <w:t>’s I</w:t>
      </w:r>
      <w:r>
        <w:rPr>
          <w:rFonts w:hint="eastAsia" w:ascii="Times New Roman" w:hAnsi="Times New Roman" w:eastAsia="仿宋"/>
          <w:szCs w:val="24"/>
        </w:rPr>
        <w:t>，其计算公式为：</w:t>
      </w:r>
    </w:p>
    <w:p>
      <w:pPr>
        <w:spacing w:line="360" w:lineRule="auto"/>
        <w:ind w:firstLine="630" w:firstLineChars="300"/>
        <w:jc w:val="center"/>
        <w:rPr>
          <w:rFonts w:ascii="Times New Roman" w:hAnsi="Times New Roman" w:eastAsia="仿宋"/>
          <w:szCs w:val="24"/>
        </w:rPr>
      </w:pPr>
      <w:r>
        <w:rPr>
          <w:rFonts w:ascii="Times New Roman" w:hAnsi="Times New Roman" w:eastAsia="仿宋"/>
          <w:position w:val="-62"/>
          <w:szCs w:val="24"/>
        </w:rPr>
        <w:object>
          <v:shape id="_x0000_i1040" o:spt="75" type="#_x0000_t75" style="height:67pt;width:190.6pt;" o:ole="t" filled="f" o:preferrelative="t" stroked="f" coordsize="21600,21600">
            <v:path/>
            <v:fill on="f" focussize="0,0"/>
            <v:stroke on="f" joinstyle="miter"/>
            <v:imagedata r:id="rId36" o:title=""/>
            <o:lock v:ext="edit" aspectratio="t"/>
            <w10:wrap type="none"/>
            <w10:anchorlock/>
          </v:shape>
          <o:OLEObject Type="Embed" ProgID="Equation.DSMT4" ShapeID="_x0000_i1040" DrawAspect="Content" ObjectID="_1468075740" r:id="rId35">
            <o:LockedField>false</o:LockedField>
          </o:OLEObject>
        </w:object>
      </w:r>
      <w:r>
        <w:rPr>
          <w:rFonts w:ascii="Times New Roman" w:hAnsi="Times New Roman" w:eastAsia="仿宋"/>
          <w:szCs w:val="24"/>
        </w:rPr>
        <w:t xml:space="preserve">            </w:t>
      </w:r>
      <w:r>
        <w:rPr>
          <w:rFonts w:hint="eastAsia" w:ascii="Times New Roman" w:hAnsi="Times New Roman" w:eastAsia="仿宋"/>
          <w:szCs w:val="24"/>
        </w:rPr>
        <w:t>（</w:t>
      </w:r>
      <w:r>
        <w:rPr>
          <w:rFonts w:ascii="Times New Roman" w:hAnsi="Times New Roman" w:eastAsia="仿宋"/>
          <w:szCs w:val="24"/>
        </w:rPr>
        <w:t>7）</w:t>
      </w:r>
    </w:p>
    <w:p>
      <w:pPr>
        <w:rPr>
          <w:rFonts w:ascii="Times New Roman" w:hAnsi="Times New Roman" w:eastAsia="仿宋"/>
          <w:szCs w:val="24"/>
        </w:rPr>
      </w:pPr>
      <w:r>
        <w:rPr>
          <w:rFonts w:hint="eastAsia" w:ascii="Times New Roman" w:hAnsi="Times New Roman" w:eastAsia="仿宋"/>
          <w:szCs w:val="24"/>
        </w:rPr>
        <w:t>其中，</w:t>
      </w:r>
      <w:r>
        <w:rPr>
          <w:rFonts w:ascii="Times New Roman" w:hAnsi="Times New Roman" w:eastAsia="仿宋"/>
          <w:szCs w:val="24"/>
        </w:rPr>
        <w:t xml:space="preserve"> </w:t>
      </w:r>
      <w:r>
        <w:rPr>
          <w:rFonts w:ascii="Times New Roman" w:hAnsi="Times New Roman" w:eastAsia="仿宋"/>
          <w:position w:val="-28"/>
          <w:szCs w:val="24"/>
        </w:rPr>
        <w:object>
          <v:shape id="_x0000_i1041" o:spt="75" type="#_x0000_t75" style="height:36.6pt;width:103.65pt;" o:ole="t" filled="f" o:preferrelative="t" stroked="f" coordsize="21600,21600">
            <v:path/>
            <v:fill on="f" focussize="0,0"/>
            <v:stroke on="f" joinstyle="miter"/>
            <v:imagedata r:id="rId38" o:title=""/>
            <o:lock v:ext="edit" aspectratio="t"/>
            <w10:wrap type="none"/>
            <w10:anchorlock/>
          </v:shape>
          <o:OLEObject Type="Embed" ProgID="Equation.DSMT4" ShapeID="_x0000_i1041" DrawAspect="Content" ObjectID="_1468075741" r:id="rId37">
            <o:LockedField>false</o:LockedField>
          </o:OLEObject>
        </w:object>
      </w:r>
      <w:r>
        <w:rPr>
          <w:rFonts w:hint="eastAsia" w:ascii="Times New Roman" w:hAnsi="Times New Roman" w:eastAsia="仿宋"/>
          <w:szCs w:val="24"/>
        </w:rPr>
        <w:t>，</w:t>
      </w:r>
      <w:r>
        <w:rPr>
          <w:rFonts w:ascii="Times New Roman" w:hAnsi="Times New Roman" w:eastAsia="仿宋"/>
          <w:position w:val="-28"/>
          <w:szCs w:val="24"/>
        </w:rPr>
        <w:object>
          <v:shape id="_x0000_i1042" o:spt="75" type="#_x0000_t75" style="height:36.6pt;width:57pt;" o:ole="t" filled="f" o:preferrelative="t" stroked="f" coordsize="21600,21600">
            <v:path/>
            <v:fill on="f" focussize="0,0"/>
            <v:stroke on="f" joinstyle="miter"/>
            <v:imagedata r:id="rId40" o:title=""/>
            <o:lock v:ext="edit" aspectratio="t"/>
            <w10:wrap type="none"/>
            <w10:anchorlock/>
          </v:shape>
          <o:OLEObject Type="Embed" ProgID="Equation.DSMT4" ShapeID="_x0000_i1042" DrawAspect="Content" ObjectID="_1468075742" r:id="rId39">
            <o:LockedField>false</o:LockedField>
          </o:OLEObject>
        </w:object>
      </w:r>
      <w:r>
        <w:rPr>
          <w:rFonts w:hint="eastAsia" w:ascii="Times New Roman" w:hAnsi="Times New Roman" w:eastAsia="仿宋"/>
          <w:szCs w:val="24"/>
        </w:rPr>
        <w:t>，</w:t>
      </w:r>
      <w:r>
        <w:rPr>
          <w:rFonts w:ascii="Times New Roman" w:hAnsi="Times New Roman" w:eastAsia="仿宋"/>
          <w:position w:val="-12"/>
          <w:szCs w:val="24"/>
        </w:rPr>
        <w:object>
          <v:shape id="_x0000_i1043" o:spt="75" type="#_x0000_t75" style="height:21.25pt;width:10pt;" o:ole="t" filled="f" o:preferrelative="t" stroked="f" coordsize="21600,21600">
            <v:path/>
            <v:fill on="f" focussize="0,0"/>
            <v:stroke on="f" joinstyle="miter"/>
            <v:imagedata r:id="rId42" o:title=""/>
            <o:lock v:ext="edit" aspectratio="t"/>
            <w10:wrap type="none"/>
            <w10:anchorlock/>
          </v:shape>
          <o:OLEObject Type="Embed" ProgID="Equation.DSMT4" ShapeID="_x0000_i1043" DrawAspect="Content" ObjectID="_1468075743" r:id="rId41">
            <o:LockedField>false</o:LockedField>
          </o:OLEObject>
        </w:object>
      </w:r>
      <w:r>
        <w:rPr>
          <w:rFonts w:hint="eastAsia" w:ascii="Times New Roman" w:hAnsi="Times New Roman" w:eastAsia="仿宋"/>
          <w:szCs w:val="24"/>
        </w:rPr>
        <w:t>表示第</w:t>
      </w:r>
      <w:r>
        <w:rPr>
          <w:rFonts w:ascii="Times New Roman" w:hAnsi="Times New Roman" w:eastAsia="仿宋"/>
          <w:position w:val="-6"/>
          <w:szCs w:val="24"/>
        </w:rPr>
        <w:object>
          <v:shape id="_x0000_i1044" o:spt="75" type="#_x0000_t75" style="height:15pt;width:5pt;" o:ole="t" filled="f" o:preferrelative="t" stroked="f" coordsize="21600,21600">
            <v:path/>
            <v:fill on="f" focussize="0,0"/>
            <v:stroke on="f" joinstyle="miter"/>
            <v:imagedata r:id="rId44" o:title=""/>
            <o:lock v:ext="edit" aspectratio="t"/>
            <w10:wrap type="none"/>
            <w10:anchorlock/>
          </v:shape>
          <o:OLEObject Type="Embed" ProgID="Equation.DSMT4" ShapeID="_x0000_i1044" DrawAspect="Content" ObjectID="_1468075744" r:id="rId43">
            <o:LockedField>false</o:LockedField>
          </o:OLEObject>
        </w:object>
      </w:r>
      <w:r>
        <w:rPr>
          <w:rFonts w:hint="eastAsia" w:ascii="Times New Roman" w:hAnsi="Times New Roman" w:eastAsia="仿宋"/>
          <w:szCs w:val="24"/>
        </w:rPr>
        <w:t>个地区的观测值，即数字普惠金融指数；</w:t>
      </w:r>
      <w:r>
        <w:rPr>
          <w:rFonts w:ascii="Times New Roman" w:hAnsi="Times New Roman" w:eastAsia="仿宋"/>
          <w:position w:val="-6"/>
          <w:szCs w:val="24"/>
        </w:rPr>
        <w:object>
          <v:shape id="_x0000_i1045" o:spt="75" type="#_x0000_t75" style="height:10pt;width:10pt;" o:ole="t" filled="f" o:preferrelative="t" stroked="f" coordsize="21600,21600">
            <v:path/>
            <v:fill on="f" focussize="0,0"/>
            <v:stroke on="f" joinstyle="miter"/>
            <v:imagedata r:id="rId46" o:title=""/>
            <o:lock v:ext="edit" aspectratio="t"/>
            <w10:wrap type="none"/>
            <w10:anchorlock/>
          </v:shape>
          <o:OLEObject Type="Embed" ProgID="Equation.DSMT4" ShapeID="_x0000_i1045" DrawAspect="Content" ObjectID="_1468075745" r:id="rId45">
            <o:LockedField>false</o:LockedField>
          </o:OLEObject>
        </w:object>
      </w:r>
      <w:r>
        <w:rPr>
          <w:rFonts w:hint="eastAsia" w:ascii="Times New Roman" w:hAnsi="Times New Roman" w:eastAsia="仿宋"/>
          <w:szCs w:val="24"/>
        </w:rPr>
        <w:t>为地区总数；</w:t>
      </w:r>
      <w:r>
        <w:rPr>
          <w:rFonts w:ascii="Times New Roman" w:hAnsi="Times New Roman" w:eastAsia="仿宋"/>
          <w:position w:val="-14"/>
          <w:szCs w:val="24"/>
        </w:rPr>
        <w:object>
          <v:shape id="_x0000_i1046" o:spt="75" type="#_x0000_t75" style="height:21.25pt;width:15pt;" o:ole="t" filled="f" o:preferrelative="t" stroked="f" coordsize="21600,21600">
            <v:path/>
            <v:fill on="f" focussize="0,0"/>
            <v:stroke on="f" joinstyle="miter"/>
            <v:imagedata r:id="rId48" o:title=""/>
            <o:lock v:ext="edit" aspectratio="t"/>
            <w10:wrap type="none"/>
            <w10:anchorlock/>
          </v:shape>
          <o:OLEObject Type="Embed" ProgID="Equation.DSMT4" ShapeID="_x0000_i1046" DrawAspect="Content" ObjectID="_1468075746" r:id="rId47">
            <o:LockedField>false</o:LockedField>
          </o:OLEObject>
        </w:object>
      </w:r>
      <w:r>
        <w:rPr>
          <w:rFonts w:hint="eastAsia" w:ascii="Times New Roman" w:hAnsi="Times New Roman" w:eastAsia="仿宋"/>
          <w:szCs w:val="24"/>
        </w:rPr>
        <w:t>为空间权重矩阵，本文主要选取地理距离矩阵，即空间权重矩阵的元素为两地区距离平方的倒数</w:t>
      </w:r>
      <w:r>
        <w:rPr>
          <w:rStyle w:val="43"/>
          <w:rFonts w:ascii="Times New Roman" w:hAnsi="Times New Roman" w:eastAsia="仿宋"/>
          <w:szCs w:val="24"/>
        </w:rPr>
        <w:footnoteReference w:id="11"/>
      </w:r>
      <w:r>
        <w:rPr>
          <w:rFonts w:hint="eastAsia" w:ascii="Times New Roman" w:hAnsi="Times New Roman" w:eastAsia="仿宋"/>
          <w:szCs w:val="24"/>
        </w:rPr>
        <w:t>。</w:t>
      </w:r>
    </w:p>
    <w:p>
      <w:pPr>
        <w:ind w:firstLine="420" w:firstLineChars="200"/>
        <w:rPr>
          <w:rFonts w:ascii="Times New Roman" w:hAnsi="Times New Roman" w:eastAsia="仿宋" w:cs="宋体"/>
          <w:szCs w:val="24"/>
        </w:rPr>
      </w:pPr>
      <w:r>
        <w:rPr>
          <w:rFonts w:hint="eastAsia" w:ascii="Times New Roman" w:hAnsi="Times New Roman" w:eastAsia="仿宋"/>
          <w:szCs w:val="24"/>
        </w:rPr>
        <w:t>Moran指数</w:t>
      </w:r>
      <w:r>
        <w:rPr>
          <w:rFonts w:hint="eastAsia" w:ascii="Times New Roman" w:hAnsi="Times New Roman" w:eastAsia="仿宋" w:cs="宋体"/>
          <w:szCs w:val="24"/>
        </w:rPr>
        <w:t>取值范围介于-1至1 之间：若其数值大于0，则说明地区数字普惠金融存在空间正自相关，即相邻区域之间数字普惠金融发展具有相似属性，数字普惠金融发展水平高的城市集聚在一起，发展水平低的城市集聚在一起，数值越大说明空间分布的正自相关性越强，集聚的强度也越强。而且，为了在空间自相关性之外，进一步考察具体地区的空间依赖性，可以使用局域</w:t>
      </w:r>
      <w:r>
        <w:rPr>
          <w:rFonts w:hint="eastAsia" w:ascii="Times New Roman" w:hAnsi="Times New Roman" w:eastAsia="仿宋"/>
          <w:szCs w:val="24"/>
        </w:rPr>
        <w:t>Moran指数。局域Moran分析可以提供各地区与相邻地区间的空间关系。在局域Moran分析中，一般是通过图形来展示不同地区的空间关系模式。具体而言，通过在二维平面上绘制局域Moran指数散点图，将各区域数字普惠金融发展指数分为4个象限的集群模式，用以清晰识别一个地区与临近地区的空间关系。</w:t>
      </w:r>
    </w:p>
    <w:p>
      <w:pPr>
        <w:ind w:firstLine="420" w:firstLineChars="200"/>
        <w:rPr>
          <w:rFonts w:ascii="Times New Roman" w:hAnsi="Times New Roman" w:eastAsia="仿宋" w:cs="宋体"/>
          <w:szCs w:val="24"/>
        </w:rPr>
      </w:pPr>
      <w:r>
        <w:rPr>
          <w:rFonts w:hint="eastAsia" w:ascii="Times New Roman" w:hAnsi="Times New Roman" w:eastAsia="仿宋"/>
          <w:szCs w:val="24"/>
        </w:rPr>
        <w:t>图6-图8当中给出了城市数字普惠金融指数和数字金融覆盖广度、使用深度的局域Moran指数散点图。</w:t>
      </w:r>
      <w:r>
        <w:rPr>
          <w:rFonts w:hint="eastAsia" w:ascii="Times New Roman" w:hAnsi="Times New Roman" w:eastAsia="仿宋" w:cs="宋体"/>
          <w:szCs w:val="24"/>
        </w:rPr>
        <w:t>总体而言，无论是数字普惠金融总指数还是覆盖广度和使用深度指数，绝大多数城市都落在第1象限或者第3象限，即要么是高-高组合，要么是低-低组合；只有少数一些城市落在了第2和第4象限。落在第1象限的大部分都是东部沿海城市，城市本身数字普惠金融发展水平高，周边城市数字普惠金融发展水平也高；落在第3象限的城市则恰恰相反，基本上属于中西部地区，城市本身和周边城市数字普惠金融发展水平都低。这一结论表明虽然数字金融理论上可以具有某种超地理特征，但现实上并不能真的完全摆脱地理限制。郭峰等（2016）基于空间计量模型和包含更多控制变量的回归结果表明某地数字金融发展水平跟其周边地区，以及其所处的地理位置等都有密切的关系，因此我们这里就不再进一步展开讨论了。</w:t>
      </w:r>
    </w:p>
    <w:p>
      <w:pPr>
        <w:ind w:firstLine="420" w:firstLineChars="200"/>
        <w:rPr>
          <w:rFonts w:ascii="Times New Roman" w:hAnsi="Times New Roman" w:eastAsia="仿宋" w:cs="宋体"/>
          <w:szCs w:val="24"/>
        </w:rPr>
      </w:pPr>
      <w:r>
        <w:rPr>
          <w:rFonts w:hint="eastAsia" w:ascii="Times New Roman" w:hAnsi="Times New Roman" w:eastAsia="仿宋" w:cs="宋体"/>
          <w:szCs w:val="24"/>
        </w:rPr>
        <w:t>而从纵向对比来看，数字普惠金融指数空间自相关性还有进一步加强的趋势。而横向对比使用深度和覆盖广度指数则可以看出，空间集聚性在使用深度上表现的更加明显，不同区域内的城市，要么都是数字金融使用深度较高的城市，要么都是使用深度较低的城市，甚少出现本城市数字金融使用深度高，而周边城市使用深度低的组合，反之亦然。这两种组合在数字金融覆盖广度指数上倒是还有一些体现，这背后反映了数字金融覆盖广度和使用深度在空间拓展和发展上的不同之处，这一点在下一小节当中还可以更加直观地看到。</w:t>
      </w:r>
    </w:p>
    <w:p>
      <w:pPr>
        <w:widowControl/>
        <w:jc w:val="left"/>
        <w:rPr>
          <w:rFonts w:ascii="Times New Roman" w:hAnsi="Times New Roman" w:eastAsia="仿宋" w:cs="宋体"/>
          <w:b/>
          <w:kern w:val="0"/>
          <w:szCs w:val="28"/>
        </w:rPr>
      </w:pPr>
      <w:r>
        <w:rPr>
          <w:rFonts w:ascii="Times New Roman" w:hAnsi="Times New Roman" w:eastAsia="仿宋" w:cs="宋体"/>
          <w:b/>
          <w:kern w:val="0"/>
          <w:szCs w:val="28"/>
        </w:rPr>
        <w:drawing>
          <wp:inline distT="0" distB="0" distL="0" distR="0">
            <wp:extent cx="2591435" cy="17278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592000" cy="1728000"/>
                    </a:xfrm>
                    <a:prstGeom prst="rect">
                      <a:avLst/>
                    </a:prstGeom>
                    <a:noFill/>
                    <a:ln>
                      <a:noFill/>
                    </a:ln>
                  </pic:spPr>
                </pic:pic>
              </a:graphicData>
            </a:graphic>
          </wp:inline>
        </w:drawing>
      </w:r>
      <w:r>
        <w:rPr>
          <w:rFonts w:hint="eastAsia" w:ascii="Times New Roman" w:hAnsi="Times New Roman" w:eastAsia="仿宋" w:cs="宋体"/>
          <w:b/>
          <w:kern w:val="0"/>
          <w:szCs w:val="28"/>
        </w:rPr>
        <w:drawing>
          <wp:inline distT="0" distB="0" distL="0" distR="0">
            <wp:extent cx="2591435" cy="172783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592000" cy="1728000"/>
                    </a:xfrm>
                    <a:prstGeom prst="rect">
                      <a:avLst/>
                    </a:prstGeom>
                    <a:noFill/>
                    <a:ln>
                      <a:noFill/>
                    </a:ln>
                  </pic:spPr>
                </pic:pic>
              </a:graphicData>
            </a:graphic>
          </wp:inline>
        </w:drawing>
      </w:r>
    </w:p>
    <w:p>
      <w:pPr>
        <w:jc w:val="center"/>
        <w:rPr>
          <w:rFonts w:ascii="Times New Roman" w:hAnsi="Times New Roman" w:eastAsia="仿宋" w:cstheme="minorBidi"/>
          <w:b/>
          <w:szCs w:val="18"/>
        </w:rPr>
      </w:pPr>
      <w:r>
        <w:rPr>
          <w:rFonts w:hint="eastAsia" w:ascii="Times New Roman" w:hAnsi="Times New Roman" w:eastAsia="仿宋" w:cstheme="minorBidi"/>
          <w:b/>
          <w:szCs w:val="18"/>
        </w:rPr>
        <w:t>图6</w:t>
      </w:r>
      <w:r>
        <w:rPr>
          <w:rFonts w:ascii="Times New Roman" w:hAnsi="Times New Roman" w:eastAsia="仿宋" w:cstheme="minorBidi"/>
          <w:b/>
          <w:szCs w:val="18"/>
        </w:rPr>
        <w:t xml:space="preserve"> </w:t>
      </w:r>
      <w:r>
        <w:rPr>
          <w:rFonts w:hint="eastAsia" w:ascii="Times New Roman" w:hAnsi="Times New Roman" w:eastAsia="仿宋" w:cstheme="minorBidi"/>
          <w:b/>
          <w:szCs w:val="18"/>
        </w:rPr>
        <w:t>2011和201</w:t>
      </w:r>
      <w:r>
        <w:rPr>
          <w:rFonts w:ascii="Times New Roman" w:hAnsi="Times New Roman" w:eastAsia="仿宋" w:cstheme="minorBidi"/>
          <w:b/>
          <w:szCs w:val="18"/>
        </w:rPr>
        <w:t>8</w:t>
      </w:r>
      <w:r>
        <w:rPr>
          <w:rFonts w:hint="eastAsia" w:ascii="Times New Roman" w:hAnsi="Times New Roman" w:eastAsia="仿宋" w:cstheme="minorBidi"/>
          <w:b/>
          <w:szCs w:val="18"/>
        </w:rPr>
        <w:t>年城市数字普惠金融指数局部Moran’s I 散点图</w:t>
      </w:r>
    </w:p>
    <w:p>
      <w:pPr>
        <w:jc w:val="left"/>
        <w:rPr>
          <w:rFonts w:ascii="Times New Roman" w:hAnsi="Times New Roman" w:eastAsia="仿宋" w:cstheme="minorBidi"/>
          <w:szCs w:val="18"/>
        </w:rPr>
      </w:pPr>
      <w:r>
        <w:rPr>
          <w:rFonts w:hint="eastAsia" w:ascii="Times New Roman" w:hAnsi="Times New Roman" w:eastAsia="仿宋" w:cstheme="minorBidi"/>
          <w:szCs w:val="18"/>
        </w:rPr>
        <w:t>数据来源：北京大学数字普惠金融指数</w:t>
      </w:r>
    </w:p>
    <w:p>
      <w:pPr>
        <w:widowControl/>
        <w:jc w:val="left"/>
        <w:rPr>
          <w:rFonts w:ascii="Times New Roman" w:hAnsi="Times New Roman" w:eastAsia="仿宋" w:cs="宋体"/>
          <w:b/>
          <w:kern w:val="0"/>
          <w:szCs w:val="28"/>
        </w:rPr>
      </w:pPr>
      <w:r>
        <w:rPr>
          <w:rFonts w:ascii="Times New Roman" w:hAnsi="Times New Roman" w:eastAsia="仿宋" w:cs="宋体"/>
          <w:b/>
          <w:kern w:val="0"/>
          <w:szCs w:val="28"/>
        </w:rPr>
        <w:drawing>
          <wp:inline distT="0" distB="0" distL="0" distR="0">
            <wp:extent cx="2591435" cy="17278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592000" cy="1728000"/>
                    </a:xfrm>
                    <a:prstGeom prst="rect">
                      <a:avLst/>
                    </a:prstGeom>
                    <a:noFill/>
                    <a:ln>
                      <a:noFill/>
                    </a:ln>
                  </pic:spPr>
                </pic:pic>
              </a:graphicData>
            </a:graphic>
          </wp:inline>
        </w:drawing>
      </w:r>
      <w:r>
        <w:rPr>
          <w:rFonts w:hint="eastAsia" w:ascii="Times New Roman" w:hAnsi="Times New Roman" w:eastAsia="仿宋" w:cs="宋体"/>
          <w:b/>
          <w:kern w:val="0"/>
          <w:szCs w:val="28"/>
        </w:rPr>
        <w:t xml:space="preserve"> </w:t>
      </w:r>
      <w:r>
        <w:rPr>
          <w:rFonts w:hint="eastAsia" w:ascii="Times New Roman" w:hAnsi="Times New Roman" w:eastAsia="仿宋" w:cs="宋体"/>
          <w:b/>
          <w:kern w:val="0"/>
          <w:szCs w:val="28"/>
        </w:rPr>
        <w:drawing>
          <wp:inline distT="0" distB="0" distL="0" distR="0">
            <wp:extent cx="2591435" cy="172783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592000" cy="1728000"/>
                    </a:xfrm>
                    <a:prstGeom prst="rect">
                      <a:avLst/>
                    </a:prstGeom>
                    <a:noFill/>
                    <a:ln>
                      <a:noFill/>
                    </a:ln>
                  </pic:spPr>
                </pic:pic>
              </a:graphicData>
            </a:graphic>
          </wp:inline>
        </w:drawing>
      </w:r>
    </w:p>
    <w:p>
      <w:pPr>
        <w:jc w:val="center"/>
        <w:rPr>
          <w:rFonts w:ascii="Times New Roman" w:hAnsi="Times New Roman" w:eastAsia="仿宋" w:cstheme="minorBidi"/>
          <w:b/>
          <w:szCs w:val="18"/>
        </w:rPr>
      </w:pPr>
      <w:r>
        <w:rPr>
          <w:rFonts w:hint="eastAsia" w:ascii="Times New Roman" w:hAnsi="Times New Roman" w:eastAsia="仿宋" w:cstheme="minorBidi"/>
          <w:b/>
          <w:szCs w:val="18"/>
        </w:rPr>
        <w:t>图7</w:t>
      </w:r>
      <w:r>
        <w:rPr>
          <w:rFonts w:ascii="Times New Roman" w:hAnsi="Times New Roman" w:eastAsia="仿宋" w:cstheme="minorBidi"/>
          <w:b/>
          <w:szCs w:val="18"/>
        </w:rPr>
        <w:t xml:space="preserve"> </w:t>
      </w:r>
      <w:r>
        <w:rPr>
          <w:rFonts w:hint="eastAsia" w:ascii="Times New Roman" w:hAnsi="Times New Roman" w:eastAsia="仿宋" w:cstheme="minorBidi"/>
          <w:b/>
          <w:szCs w:val="18"/>
        </w:rPr>
        <w:t>2011和201</w:t>
      </w:r>
      <w:r>
        <w:rPr>
          <w:rFonts w:ascii="Times New Roman" w:hAnsi="Times New Roman" w:eastAsia="仿宋" w:cstheme="minorBidi"/>
          <w:b/>
          <w:szCs w:val="18"/>
        </w:rPr>
        <w:t>8</w:t>
      </w:r>
      <w:r>
        <w:rPr>
          <w:rFonts w:hint="eastAsia" w:ascii="Times New Roman" w:hAnsi="Times New Roman" w:eastAsia="仿宋" w:cstheme="minorBidi"/>
          <w:b/>
          <w:szCs w:val="18"/>
        </w:rPr>
        <w:t>年城市数字金融覆盖广度指数局部Moran’s I 散点图</w:t>
      </w:r>
    </w:p>
    <w:p>
      <w:pPr>
        <w:jc w:val="left"/>
        <w:rPr>
          <w:rFonts w:ascii="Times New Roman" w:hAnsi="Times New Roman" w:eastAsia="仿宋" w:cstheme="minorBidi"/>
          <w:szCs w:val="18"/>
        </w:rPr>
      </w:pPr>
      <w:r>
        <w:rPr>
          <w:rFonts w:hint="eastAsia" w:ascii="Times New Roman" w:hAnsi="Times New Roman" w:eastAsia="仿宋" w:cstheme="minorBidi"/>
          <w:szCs w:val="18"/>
        </w:rPr>
        <w:t>数据来源：北京大学数字普惠金融指数</w:t>
      </w:r>
    </w:p>
    <w:p>
      <w:pPr>
        <w:widowControl/>
        <w:jc w:val="left"/>
        <w:rPr>
          <w:rFonts w:ascii="Times New Roman" w:hAnsi="Times New Roman" w:eastAsia="仿宋" w:cs="宋体"/>
          <w:b/>
          <w:kern w:val="0"/>
          <w:szCs w:val="28"/>
        </w:rPr>
      </w:pPr>
    </w:p>
    <w:p>
      <w:pPr>
        <w:widowControl/>
        <w:jc w:val="left"/>
        <w:rPr>
          <w:rFonts w:ascii="Times New Roman" w:hAnsi="Times New Roman" w:eastAsia="仿宋" w:cs="宋体"/>
          <w:b/>
          <w:kern w:val="0"/>
          <w:szCs w:val="28"/>
        </w:rPr>
      </w:pPr>
      <w:r>
        <w:rPr>
          <w:rFonts w:hint="eastAsia" w:ascii="Times New Roman" w:hAnsi="Times New Roman" w:eastAsia="仿宋" w:cs="宋体"/>
          <w:b/>
          <w:kern w:val="0"/>
          <w:szCs w:val="28"/>
        </w:rPr>
        <w:drawing>
          <wp:inline distT="0" distB="0" distL="0" distR="0">
            <wp:extent cx="2591435" cy="172783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592000" cy="1728000"/>
                    </a:xfrm>
                    <a:prstGeom prst="rect">
                      <a:avLst/>
                    </a:prstGeom>
                    <a:noFill/>
                    <a:ln>
                      <a:noFill/>
                    </a:ln>
                  </pic:spPr>
                </pic:pic>
              </a:graphicData>
            </a:graphic>
          </wp:inline>
        </w:drawing>
      </w:r>
      <w:r>
        <w:rPr>
          <w:rFonts w:hint="eastAsia" w:ascii="Times New Roman" w:hAnsi="Times New Roman" w:eastAsia="仿宋" w:cs="宋体"/>
          <w:b/>
          <w:kern w:val="0"/>
          <w:szCs w:val="28"/>
        </w:rPr>
        <w:t xml:space="preserve"> </w:t>
      </w:r>
      <w:r>
        <w:rPr>
          <w:rFonts w:hint="eastAsia" w:ascii="Times New Roman" w:hAnsi="Times New Roman" w:eastAsia="仿宋" w:cs="宋体"/>
          <w:b/>
          <w:kern w:val="0"/>
          <w:szCs w:val="28"/>
        </w:rPr>
        <w:drawing>
          <wp:inline distT="0" distB="0" distL="0" distR="0">
            <wp:extent cx="2591435" cy="17278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592000" cy="1728000"/>
                    </a:xfrm>
                    <a:prstGeom prst="rect">
                      <a:avLst/>
                    </a:prstGeom>
                    <a:noFill/>
                    <a:ln>
                      <a:noFill/>
                    </a:ln>
                  </pic:spPr>
                </pic:pic>
              </a:graphicData>
            </a:graphic>
          </wp:inline>
        </w:drawing>
      </w:r>
    </w:p>
    <w:p>
      <w:pPr>
        <w:jc w:val="center"/>
        <w:rPr>
          <w:rFonts w:ascii="Times New Roman" w:hAnsi="Times New Roman" w:eastAsia="仿宋" w:cstheme="minorBidi"/>
          <w:b/>
          <w:szCs w:val="18"/>
        </w:rPr>
      </w:pPr>
      <w:r>
        <w:rPr>
          <w:rFonts w:hint="eastAsia" w:ascii="Times New Roman" w:hAnsi="Times New Roman" w:eastAsia="仿宋" w:cstheme="minorBidi"/>
          <w:b/>
          <w:szCs w:val="18"/>
        </w:rPr>
        <w:t>图8</w:t>
      </w:r>
      <w:r>
        <w:rPr>
          <w:rFonts w:ascii="Times New Roman" w:hAnsi="Times New Roman" w:eastAsia="仿宋" w:cstheme="minorBidi"/>
          <w:b/>
          <w:szCs w:val="18"/>
        </w:rPr>
        <w:t xml:space="preserve"> </w:t>
      </w:r>
      <w:r>
        <w:rPr>
          <w:rFonts w:hint="eastAsia" w:ascii="Times New Roman" w:hAnsi="Times New Roman" w:eastAsia="仿宋" w:cstheme="minorBidi"/>
          <w:b/>
          <w:szCs w:val="18"/>
        </w:rPr>
        <w:t>2011和201</w:t>
      </w:r>
      <w:r>
        <w:rPr>
          <w:rFonts w:ascii="Times New Roman" w:hAnsi="Times New Roman" w:eastAsia="仿宋" w:cstheme="minorBidi"/>
          <w:b/>
          <w:szCs w:val="18"/>
        </w:rPr>
        <w:t>8</w:t>
      </w:r>
      <w:r>
        <w:rPr>
          <w:rFonts w:hint="eastAsia" w:ascii="Times New Roman" w:hAnsi="Times New Roman" w:eastAsia="仿宋" w:cstheme="minorBidi"/>
          <w:b/>
          <w:szCs w:val="18"/>
        </w:rPr>
        <w:t>年城市数字金融使用深度指数局部Moran’s I 散点图</w:t>
      </w:r>
    </w:p>
    <w:p>
      <w:pPr>
        <w:jc w:val="left"/>
        <w:rPr>
          <w:rFonts w:ascii="Times New Roman" w:hAnsi="Times New Roman" w:eastAsia="仿宋" w:cstheme="minorBidi"/>
          <w:szCs w:val="18"/>
        </w:rPr>
      </w:pPr>
      <w:r>
        <w:rPr>
          <w:rFonts w:hint="eastAsia" w:ascii="Times New Roman" w:hAnsi="Times New Roman" w:eastAsia="仿宋" w:cstheme="minorBidi"/>
          <w:szCs w:val="18"/>
        </w:rPr>
        <w:t>数据来源：北京大学数字普惠金融指数</w:t>
      </w:r>
    </w:p>
    <w:p>
      <w:pPr>
        <w:spacing w:before="100" w:beforeAutospacing="1" w:after="100" w:afterAutospacing="1"/>
        <w:ind w:firstLine="420" w:firstLineChars="200"/>
        <w:rPr>
          <w:rFonts w:ascii="Times New Roman" w:hAnsi="Times New Roman" w:eastAsia="仿宋"/>
          <w:szCs w:val="24"/>
        </w:rPr>
      </w:pPr>
      <w:r>
        <w:rPr>
          <w:rFonts w:hint="eastAsia" w:ascii="Times New Roman" w:hAnsi="Times New Roman" w:eastAsia="仿宋"/>
          <w:szCs w:val="24"/>
        </w:rPr>
        <w:t>（四）中国数字普惠金融发展的空间异质性</w:t>
      </w:r>
    </w:p>
    <w:p>
      <w:pPr>
        <w:ind w:firstLine="420" w:firstLineChars="200"/>
        <w:rPr>
          <w:rFonts w:ascii="Times New Roman" w:hAnsi="Times New Roman" w:eastAsia="仿宋"/>
          <w:szCs w:val="24"/>
        </w:rPr>
      </w:pPr>
      <w:r>
        <w:rPr>
          <w:rFonts w:hint="eastAsia" w:ascii="Times New Roman" w:hAnsi="Times New Roman" w:eastAsia="仿宋"/>
          <w:szCs w:val="24"/>
        </w:rPr>
        <w:t>在上文的分析中，我们看到中国数字普惠金融发展在地区之间存在明显的收敛性特征，也存在很强的空间集聚性，有的区域数字普惠金融发展较好，有的区域则在数字普惠金融发展上整体“陷落”。在本小节我们将通过地图的形式更加直观地看到中国数字普惠金融发展表现出的空间异质性。</w:t>
      </w:r>
    </w:p>
    <w:p>
      <w:pPr>
        <w:ind w:firstLine="420" w:firstLineChars="200"/>
        <w:rPr>
          <w:rFonts w:ascii="Times New Roman" w:hAnsi="Times New Roman" w:eastAsia="仿宋"/>
          <w:szCs w:val="24"/>
        </w:rPr>
      </w:pPr>
      <w:r>
        <w:rPr>
          <w:rFonts w:hint="eastAsia" w:ascii="Times New Roman" w:hAnsi="Times New Roman" w:eastAsia="仿宋"/>
          <w:szCs w:val="24"/>
        </w:rPr>
        <w:t>具体而言，图9给出了2011年和2018年城市数字普惠金融指数数值的梯队图：</w:t>
      </w:r>
      <w:r>
        <w:rPr>
          <w:rFonts w:ascii="Times New Roman" w:hAnsi="Times New Roman" w:eastAsia="仿宋"/>
          <w:szCs w:val="24"/>
        </w:rPr>
        <w:t>2011</w:t>
      </w:r>
      <w:r>
        <w:rPr>
          <w:rFonts w:hint="eastAsia" w:ascii="Times New Roman" w:hAnsi="Times New Roman" w:eastAsia="仿宋"/>
          <w:szCs w:val="24"/>
        </w:rPr>
        <w:t>年和2018年的梯队分类标准都以当年指数最高的城市指数值为基准，将排序在基准值</w:t>
      </w:r>
      <w:r>
        <w:rPr>
          <w:rFonts w:ascii="Times New Roman" w:hAnsi="Times New Roman" w:eastAsia="仿宋"/>
          <w:szCs w:val="24"/>
        </w:rPr>
        <w:t>80%</w:t>
      </w:r>
      <w:r>
        <w:rPr>
          <w:rFonts w:hint="eastAsia" w:ascii="Times New Roman" w:hAnsi="Times New Roman" w:eastAsia="仿宋"/>
          <w:szCs w:val="24"/>
        </w:rPr>
        <w:t>范围内的城市列为第一梯队；</w:t>
      </w:r>
      <w:r>
        <w:rPr>
          <w:rFonts w:ascii="Times New Roman" w:hAnsi="Times New Roman" w:eastAsia="仿宋"/>
          <w:szCs w:val="24"/>
        </w:rPr>
        <w:t>70%-80%</w:t>
      </w:r>
      <w:r>
        <w:rPr>
          <w:rFonts w:hint="eastAsia" w:ascii="Times New Roman" w:hAnsi="Times New Roman" w:eastAsia="仿宋"/>
          <w:szCs w:val="24"/>
        </w:rPr>
        <w:t>范围内为第二梯队；</w:t>
      </w:r>
      <w:r>
        <w:rPr>
          <w:rFonts w:ascii="Times New Roman" w:hAnsi="Times New Roman" w:eastAsia="仿宋"/>
          <w:szCs w:val="24"/>
        </w:rPr>
        <w:t>60%-70%</w:t>
      </w:r>
      <w:r>
        <w:rPr>
          <w:rFonts w:hint="eastAsia" w:ascii="Times New Roman" w:hAnsi="Times New Roman" w:eastAsia="仿宋"/>
          <w:szCs w:val="24"/>
        </w:rPr>
        <w:t>为第三梯队；</w:t>
      </w:r>
      <w:r>
        <w:rPr>
          <w:rFonts w:ascii="Times New Roman" w:hAnsi="Times New Roman" w:eastAsia="仿宋"/>
          <w:szCs w:val="24"/>
        </w:rPr>
        <w:t>60%</w:t>
      </w:r>
      <w:r>
        <w:rPr>
          <w:rFonts w:hint="eastAsia" w:ascii="Times New Roman" w:hAnsi="Times New Roman" w:eastAsia="仿宋"/>
          <w:szCs w:val="24"/>
        </w:rPr>
        <w:t>之后的城市列为第四梯队。等级越高，颜色越深。从中我们可以发现，在2011年，城市之间发展存在较大的差距，第一梯队集中在长三角、珠三角以及其他个别大城市，且二、三梯队十分单薄，大部分地区处于第四梯队；而发展到2018年，绝大部分城市处于一、二梯队，即绝大多数城市的数字普惠金融指数都在当年最高地区的70%以内，地区之间的差距大幅缩小，这一结论与上文的收敛性结论非常契合。</w:t>
      </w:r>
    </w:p>
    <w:p>
      <w:pPr>
        <w:ind w:firstLine="420" w:firstLineChars="200"/>
        <w:rPr>
          <w:rFonts w:ascii="Times New Roman" w:hAnsi="Times New Roman" w:eastAsia="仿宋"/>
          <w:szCs w:val="24"/>
        </w:rPr>
      </w:pPr>
      <w:bookmarkStart w:id="32" w:name="_Hlk9347111"/>
      <w:r>
        <w:rPr>
          <w:rFonts w:hint="eastAsia" w:ascii="Times New Roman" w:hAnsi="Times New Roman" w:eastAsia="仿宋"/>
          <w:szCs w:val="24"/>
        </w:rPr>
        <w:t>但图10和图11的数字金融覆盖广度和使用深度梯队图就展示了一副不一样的情形。数字金融覆盖广度指数与数字普惠金融总指数在2011和2018年的梯队图上，表现都非常接近，但数字金融使用深度指数的趋势就不太一样，在2011，除极个别地区（西藏两个地区）之外，数字金融使用深度指数呈现出明显的自东南沿海向内陆的阶梯性。到2018年，各地区的数字金融使用深度相对于该年最高值，差距大幅缩小，确实也表现出了某种整体收敛性，但通过对比地理经济学当中著名的胡焕庸线，我们依然可以发现，2018年数字金融使用深度指数第一、第二梯队基本处于胡焕庸线以东，而胡焕庸线以西区域仍然有较大的发展空间。</w:t>
      </w:r>
      <w:bookmarkStart w:id="33" w:name="_Hlk4794828"/>
      <w:r>
        <w:rPr>
          <w:rFonts w:hint="eastAsia" w:ascii="Times New Roman" w:hAnsi="Times New Roman" w:eastAsia="仿宋"/>
          <w:szCs w:val="24"/>
        </w:rPr>
        <w:t>而在图10的数字金融覆盖广度指数梯队图中，胡焕庸线的特征并不明显，2018年胡焕庸线以西的很多城市，数字金融覆盖广度也挤入第一梯队或第二梯队。数字金融在触达性和地理穿透性上的优势，在这几幅图当中展现无遗，但这几幅图同时也显示中西部地区的数字普惠金融在向纵深拓展上还有很大的发展空间。</w:t>
      </w:r>
      <w:bookmarkEnd w:id="33"/>
    </w:p>
    <w:bookmarkEnd w:id="32"/>
    <w:p>
      <w:r>
        <w:drawing>
          <wp:inline distT="0" distB="0" distL="0" distR="0">
            <wp:extent cx="2545080" cy="179959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545200" cy="1800000"/>
                    </a:xfrm>
                    <a:prstGeom prst="rect">
                      <a:avLst/>
                    </a:prstGeom>
                    <a:noFill/>
                    <a:ln>
                      <a:noFill/>
                    </a:ln>
                  </pic:spPr>
                </pic:pic>
              </a:graphicData>
            </a:graphic>
          </wp:inline>
        </w:drawing>
      </w:r>
      <w:r>
        <w:drawing>
          <wp:inline distT="0" distB="0" distL="0" distR="0">
            <wp:extent cx="2545080" cy="179959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45200" cy="1800000"/>
                    </a:xfrm>
                    <a:prstGeom prst="rect">
                      <a:avLst/>
                    </a:prstGeom>
                    <a:noFill/>
                    <a:ln>
                      <a:noFill/>
                    </a:ln>
                  </pic:spPr>
                </pic:pic>
              </a:graphicData>
            </a:graphic>
          </wp:inline>
        </w:drawing>
      </w:r>
    </w:p>
    <w:p>
      <w:pPr>
        <w:widowControl/>
        <w:autoSpaceDE w:val="0"/>
        <w:autoSpaceDN w:val="0"/>
        <w:adjustRightInd w:val="0"/>
        <w:spacing w:line="210" w:lineRule="exact"/>
        <w:jc w:val="center"/>
        <w:rPr>
          <w:rFonts w:ascii="Times New Roman" w:hAnsi="Times New Roman"/>
          <w:b/>
          <w:kern w:val="0"/>
          <w:sz w:val="18"/>
          <w:szCs w:val="18"/>
        </w:rPr>
      </w:pPr>
      <w:r>
        <w:rPr>
          <w:rFonts w:hint="eastAsia" w:ascii="Times New Roman" w:hAnsi="Times New Roman"/>
          <w:b/>
          <w:kern w:val="0"/>
          <w:sz w:val="18"/>
          <w:szCs w:val="18"/>
        </w:rPr>
        <w:t xml:space="preserve">图9 </w:t>
      </w:r>
      <w:r>
        <w:rPr>
          <w:rFonts w:ascii="Times New Roman" w:hAnsi="Times New Roman"/>
          <w:b/>
          <w:kern w:val="0"/>
          <w:sz w:val="18"/>
          <w:szCs w:val="18"/>
        </w:rPr>
        <w:t>2011</w:t>
      </w:r>
      <w:r>
        <w:rPr>
          <w:rFonts w:hint="eastAsia" w:ascii="Times New Roman" w:hAnsi="Times New Roman"/>
          <w:b/>
          <w:kern w:val="0"/>
          <w:sz w:val="18"/>
          <w:szCs w:val="18"/>
        </w:rPr>
        <w:t>和</w:t>
      </w:r>
      <w:r>
        <w:rPr>
          <w:rFonts w:ascii="Times New Roman" w:hAnsi="Times New Roman"/>
          <w:b/>
          <w:kern w:val="0"/>
          <w:sz w:val="18"/>
          <w:szCs w:val="18"/>
        </w:rPr>
        <w:t>2018</w:t>
      </w:r>
      <w:r>
        <w:rPr>
          <w:rFonts w:hint="eastAsia" w:ascii="Times New Roman" w:hAnsi="Times New Roman"/>
          <w:b/>
          <w:kern w:val="0"/>
          <w:sz w:val="18"/>
          <w:szCs w:val="18"/>
        </w:rPr>
        <w:t>年城市数字普惠金融总指数相对排序</w:t>
      </w:r>
    </w:p>
    <w:p>
      <w:pPr>
        <w:jc w:val="left"/>
        <w:rPr>
          <w:rFonts w:ascii="仿宋" w:hAnsi="仿宋" w:eastAsia="仿宋" w:cstheme="minorBidi"/>
          <w:sz w:val="18"/>
          <w:szCs w:val="18"/>
        </w:rPr>
      </w:pPr>
      <w:r>
        <w:rPr>
          <w:rFonts w:hint="eastAsia" w:ascii="仿宋" w:hAnsi="仿宋" w:eastAsia="仿宋" w:cstheme="minorBidi"/>
          <w:sz w:val="18"/>
          <w:szCs w:val="18"/>
        </w:rPr>
        <w:t>数据来源：北京大学数字普惠金融指数</w:t>
      </w:r>
    </w:p>
    <w:p>
      <w:pPr>
        <w:jc w:val="left"/>
        <w:rPr>
          <w:rFonts w:ascii="仿宋" w:hAnsi="仿宋" w:eastAsia="仿宋" w:cstheme="minorBidi"/>
          <w:sz w:val="18"/>
          <w:szCs w:val="18"/>
        </w:rPr>
      </w:pPr>
      <w:r>
        <w:rPr>
          <w:rFonts w:hint="eastAsia" w:ascii="仿宋" w:hAnsi="仿宋" w:eastAsia="仿宋" w:cstheme="minorBidi"/>
          <w:sz w:val="18"/>
          <w:szCs w:val="18"/>
        </w:rPr>
        <w:t>注：台港澳地区和部分其他城市缺少数据，因此为白色。</w:t>
      </w:r>
    </w:p>
    <w:p>
      <w:pPr>
        <w:jc w:val="center"/>
      </w:pPr>
      <w:bookmarkStart w:id="34" w:name="_Hlk4794849"/>
      <w:r>
        <w:drawing>
          <wp:inline distT="0" distB="0" distL="0" distR="0">
            <wp:extent cx="2545080" cy="179959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545200" cy="1800000"/>
                    </a:xfrm>
                    <a:prstGeom prst="rect">
                      <a:avLst/>
                    </a:prstGeom>
                    <a:noFill/>
                    <a:ln>
                      <a:noFill/>
                    </a:ln>
                  </pic:spPr>
                </pic:pic>
              </a:graphicData>
            </a:graphic>
          </wp:inline>
        </w:drawing>
      </w:r>
      <w:r>
        <w:drawing>
          <wp:inline distT="0" distB="0" distL="0" distR="0">
            <wp:extent cx="2545080" cy="179959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545200" cy="1800000"/>
                    </a:xfrm>
                    <a:prstGeom prst="rect">
                      <a:avLst/>
                    </a:prstGeom>
                    <a:noFill/>
                    <a:ln>
                      <a:noFill/>
                    </a:ln>
                  </pic:spPr>
                </pic:pic>
              </a:graphicData>
            </a:graphic>
          </wp:inline>
        </w:drawing>
      </w:r>
    </w:p>
    <w:bookmarkEnd w:id="34"/>
    <w:p>
      <w:pPr>
        <w:widowControl/>
        <w:autoSpaceDE w:val="0"/>
        <w:autoSpaceDN w:val="0"/>
        <w:adjustRightInd w:val="0"/>
        <w:spacing w:line="210" w:lineRule="exact"/>
        <w:jc w:val="center"/>
        <w:rPr>
          <w:rFonts w:ascii="Times New Roman" w:hAnsi="Times New Roman"/>
          <w:b/>
          <w:kern w:val="0"/>
          <w:sz w:val="18"/>
          <w:szCs w:val="18"/>
        </w:rPr>
      </w:pPr>
      <w:bookmarkStart w:id="35" w:name="_Toc5714009"/>
      <w:r>
        <w:rPr>
          <w:rFonts w:hint="eastAsia" w:ascii="Times New Roman" w:hAnsi="Times New Roman"/>
          <w:b/>
          <w:kern w:val="0"/>
          <w:sz w:val="18"/>
          <w:szCs w:val="18"/>
        </w:rPr>
        <w:t xml:space="preserve">图10 </w:t>
      </w:r>
      <w:r>
        <w:rPr>
          <w:rFonts w:ascii="Times New Roman" w:hAnsi="Times New Roman"/>
          <w:b/>
          <w:kern w:val="0"/>
          <w:sz w:val="18"/>
          <w:szCs w:val="18"/>
        </w:rPr>
        <w:t>2011</w:t>
      </w:r>
      <w:r>
        <w:rPr>
          <w:rFonts w:hint="eastAsia" w:ascii="Times New Roman" w:hAnsi="Times New Roman"/>
          <w:b/>
          <w:kern w:val="0"/>
          <w:sz w:val="18"/>
          <w:szCs w:val="18"/>
        </w:rPr>
        <w:t>和</w:t>
      </w:r>
      <w:r>
        <w:rPr>
          <w:rFonts w:ascii="Times New Roman" w:hAnsi="Times New Roman"/>
          <w:b/>
          <w:kern w:val="0"/>
          <w:sz w:val="18"/>
          <w:szCs w:val="18"/>
        </w:rPr>
        <w:t>2018</w:t>
      </w:r>
      <w:r>
        <w:rPr>
          <w:rFonts w:hint="eastAsia" w:ascii="Times New Roman" w:hAnsi="Times New Roman"/>
          <w:b/>
          <w:kern w:val="0"/>
          <w:sz w:val="18"/>
          <w:szCs w:val="18"/>
        </w:rPr>
        <w:t>年城市数字金融覆盖广度指数相对排序</w:t>
      </w:r>
    </w:p>
    <w:p>
      <w:pPr>
        <w:jc w:val="left"/>
        <w:rPr>
          <w:rFonts w:ascii="仿宋" w:hAnsi="仿宋" w:eastAsia="仿宋" w:cstheme="minorBidi"/>
          <w:sz w:val="18"/>
          <w:szCs w:val="18"/>
        </w:rPr>
      </w:pPr>
      <w:r>
        <w:rPr>
          <w:rFonts w:hint="eastAsia" w:ascii="仿宋" w:hAnsi="仿宋" w:eastAsia="仿宋" w:cstheme="minorBidi"/>
          <w:sz w:val="18"/>
          <w:szCs w:val="18"/>
        </w:rPr>
        <w:t>数据来源：北京大学数字普惠金融指数</w:t>
      </w:r>
    </w:p>
    <w:p>
      <w:pPr>
        <w:jc w:val="left"/>
        <w:rPr>
          <w:rFonts w:ascii="仿宋" w:hAnsi="仿宋" w:eastAsia="仿宋" w:cstheme="minorBidi"/>
          <w:sz w:val="18"/>
          <w:szCs w:val="18"/>
        </w:rPr>
      </w:pPr>
      <w:r>
        <w:rPr>
          <w:rFonts w:hint="eastAsia" w:ascii="仿宋" w:hAnsi="仿宋" w:eastAsia="仿宋" w:cstheme="minorBidi"/>
          <w:sz w:val="18"/>
          <w:szCs w:val="18"/>
        </w:rPr>
        <w:t>注：台港澳地区和部分其他城市缺少数据，因此为白色。</w:t>
      </w:r>
    </w:p>
    <w:p>
      <w:pPr>
        <w:jc w:val="left"/>
      </w:pPr>
      <w:r>
        <w:drawing>
          <wp:inline distT="0" distB="0" distL="0" distR="0">
            <wp:extent cx="2545080" cy="179959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545200" cy="1800000"/>
                    </a:xfrm>
                    <a:prstGeom prst="rect">
                      <a:avLst/>
                    </a:prstGeom>
                    <a:noFill/>
                    <a:ln>
                      <a:noFill/>
                    </a:ln>
                  </pic:spPr>
                </pic:pic>
              </a:graphicData>
            </a:graphic>
          </wp:inline>
        </w:drawing>
      </w:r>
      <w:r>
        <w:drawing>
          <wp:inline distT="0" distB="0" distL="0" distR="0">
            <wp:extent cx="2545080" cy="179959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545200" cy="1800000"/>
                    </a:xfrm>
                    <a:prstGeom prst="rect">
                      <a:avLst/>
                    </a:prstGeom>
                    <a:noFill/>
                    <a:ln>
                      <a:noFill/>
                    </a:ln>
                  </pic:spPr>
                </pic:pic>
              </a:graphicData>
            </a:graphic>
          </wp:inline>
        </w:drawing>
      </w:r>
    </w:p>
    <w:p>
      <w:pPr>
        <w:widowControl/>
        <w:autoSpaceDE w:val="0"/>
        <w:autoSpaceDN w:val="0"/>
        <w:adjustRightInd w:val="0"/>
        <w:spacing w:line="210" w:lineRule="exact"/>
        <w:jc w:val="center"/>
        <w:rPr>
          <w:rFonts w:ascii="Times New Roman" w:hAnsi="Times New Roman"/>
          <w:b/>
          <w:kern w:val="0"/>
          <w:sz w:val="18"/>
          <w:szCs w:val="18"/>
        </w:rPr>
      </w:pPr>
      <w:r>
        <w:rPr>
          <w:rFonts w:hint="eastAsia" w:ascii="Times New Roman" w:hAnsi="Times New Roman"/>
          <w:b/>
          <w:kern w:val="0"/>
          <w:sz w:val="18"/>
          <w:szCs w:val="18"/>
        </w:rPr>
        <w:t>图11</w:t>
      </w:r>
      <w:r>
        <w:rPr>
          <w:rFonts w:ascii="Times New Roman" w:hAnsi="Times New Roman"/>
          <w:b/>
          <w:kern w:val="0"/>
          <w:sz w:val="18"/>
          <w:szCs w:val="18"/>
        </w:rPr>
        <w:t xml:space="preserve"> 2011</w:t>
      </w:r>
      <w:r>
        <w:rPr>
          <w:rFonts w:hint="eastAsia" w:ascii="Times New Roman" w:hAnsi="Times New Roman"/>
          <w:b/>
          <w:kern w:val="0"/>
          <w:sz w:val="18"/>
          <w:szCs w:val="18"/>
        </w:rPr>
        <w:t>和</w:t>
      </w:r>
      <w:r>
        <w:rPr>
          <w:rFonts w:ascii="Times New Roman" w:hAnsi="Times New Roman"/>
          <w:b/>
          <w:kern w:val="0"/>
          <w:sz w:val="18"/>
          <w:szCs w:val="18"/>
        </w:rPr>
        <w:t>2018</w:t>
      </w:r>
      <w:r>
        <w:rPr>
          <w:rFonts w:hint="eastAsia" w:ascii="Times New Roman" w:hAnsi="Times New Roman"/>
          <w:b/>
          <w:kern w:val="0"/>
          <w:sz w:val="18"/>
          <w:szCs w:val="18"/>
        </w:rPr>
        <w:t>年城市数字金融使用深度指数相对排序</w:t>
      </w:r>
    </w:p>
    <w:p>
      <w:pPr>
        <w:jc w:val="left"/>
        <w:rPr>
          <w:rFonts w:ascii="仿宋" w:hAnsi="仿宋" w:eastAsia="仿宋" w:cstheme="minorBidi"/>
          <w:sz w:val="18"/>
          <w:szCs w:val="18"/>
        </w:rPr>
      </w:pPr>
      <w:r>
        <w:rPr>
          <w:rFonts w:hint="eastAsia" w:ascii="仿宋" w:hAnsi="仿宋" w:eastAsia="仿宋" w:cstheme="minorBidi"/>
          <w:sz w:val="18"/>
          <w:szCs w:val="18"/>
        </w:rPr>
        <w:t>数据来源：北京大学数字普惠金融指数</w:t>
      </w:r>
    </w:p>
    <w:p>
      <w:pPr>
        <w:jc w:val="left"/>
        <w:rPr>
          <w:rFonts w:ascii="仿宋" w:hAnsi="仿宋" w:eastAsia="仿宋" w:cstheme="minorBidi"/>
          <w:sz w:val="18"/>
          <w:szCs w:val="18"/>
        </w:rPr>
      </w:pPr>
      <w:r>
        <w:rPr>
          <w:rFonts w:hint="eastAsia" w:ascii="仿宋" w:hAnsi="仿宋" w:eastAsia="仿宋" w:cstheme="minorBidi"/>
          <w:sz w:val="18"/>
          <w:szCs w:val="18"/>
        </w:rPr>
        <w:t>注：台港澳地区和部分其他城市缺少数据，因此为白色。</w:t>
      </w:r>
    </w:p>
    <w:bookmarkEnd w:id="26"/>
    <w:bookmarkEnd w:id="35"/>
    <w:p>
      <w:pPr>
        <w:spacing w:line="360" w:lineRule="auto"/>
        <w:jc w:val="center"/>
        <w:rPr>
          <w:rFonts w:ascii="微软雅黑" w:hAnsi="微软雅黑" w:eastAsia="微软雅黑"/>
          <w:sz w:val="24"/>
          <w:szCs w:val="24"/>
        </w:rPr>
      </w:pPr>
      <w:bookmarkStart w:id="36" w:name="_Toc330317103"/>
      <w:bookmarkStart w:id="37" w:name="_Toc5714010"/>
      <w:r>
        <w:rPr>
          <w:rFonts w:hint="eastAsia" w:ascii="Times New Roman" w:hAnsi="楷体" w:eastAsia="楷体" w:cs="宋体"/>
          <w:sz w:val="28"/>
          <w:szCs w:val="28"/>
        </w:rPr>
        <w:t>五</w:t>
      </w:r>
      <w:r>
        <w:rPr>
          <w:rFonts w:ascii="Times New Roman" w:hAnsi="楷体" w:eastAsia="楷体" w:cs="宋体"/>
          <w:sz w:val="28"/>
          <w:szCs w:val="28"/>
        </w:rPr>
        <w:t>、</w:t>
      </w:r>
      <w:bookmarkEnd w:id="36"/>
      <w:r>
        <w:rPr>
          <w:rFonts w:hint="eastAsia" w:ascii="Times New Roman" w:hAnsi="楷体" w:eastAsia="楷体" w:cs="宋体"/>
          <w:sz w:val="28"/>
          <w:szCs w:val="28"/>
        </w:rPr>
        <w:t>结论</w:t>
      </w:r>
      <w:bookmarkEnd w:id="37"/>
    </w:p>
    <w:p>
      <w:pPr>
        <w:ind w:firstLine="420" w:firstLineChars="200"/>
        <w:rPr>
          <w:rFonts w:ascii="Times New Roman" w:hAnsi="Times New Roman" w:eastAsia="仿宋"/>
          <w:szCs w:val="21"/>
        </w:rPr>
      </w:pPr>
      <w:r>
        <w:rPr>
          <w:rFonts w:hint="eastAsia" w:ascii="Times New Roman" w:hAnsi="Times New Roman" w:eastAsia="仿宋"/>
        </w:rPr>
        <w:t>参考现有文献，特别是传统普惠金融指数编制的文献，在考虑数字普惠金融特征的基础上，</w:t>
      </w:r>
      <w:r>
        <w:rPr>
          <w:rFonts w:hint="eastAsia" w:ascii="Times New Roman" w:hAnsi="Times New Roman" w:eastAsia="仿宋"/>
          <w:szCs w:val="21"/>
        </w:rPr>
        <w:t>我们编制了2011-2018年中国内地31个省（直辖市、自治区）、337个地级以上城市（地区、自治州、盟等），以及约2800个县（县级市、旗、市辖区等）三个层级的数字普惠金融指数。而且在总指数基础上，我们还从不同维度编制了数字金融覆盖广度指数、数字金融使用深度指数和普惠金融数字化程度指数，以及数字金融使用深度指数下属的支付、保险、货币基金、信用、投资、信贷等分类指数。</w:t>
      </w:r>
    </w:p>
    <w:p>
      <w:pPr>
        <w:ind w:firstLine="420" w:firstLineChars="200"/>
        <w:rPr>
          <w:rFonts w:ascii="Times New Roman" w:hAnsi="Times New Roman" w:eastAsia="仿宋"/>
        </w:rPr>
      </w:pPr>
      <w:r>
        <w:rPr>
          <w:rFonts w:hint="eastAsia" w:ascii="Times New Roman" w:hAnsi="Times New Roman" w:eastAsia="仿宋"/>
        </w:rPr>
        <w:t>通过这一套数字普惠金融指数，</w:t>
      </w:r>
      <w:r>
        <w:rPr>
          <w:rFonts w:hint="eastAsia" w:ascii="Times New Roman" w:hAnsi="Times New Roman" w:eastAsia="仿宋"/>
          <w:szCs w:val="21"/>
        </w:rPr>
        <w:t>我们简要讨论了中国数字普惠金融的发展趋势和空间特征。总结而言，我们得到了如下几个结论：</w:t>
      </w:r>
      <w:bookmarkStart w:id="38" w:name="_Hlk9346364"/>
      <w:r>
        <w:rPr>
          <w:rFonts w:hint="eastAsia" w:ascii="Times New Roman" w:hAnsi="Times New Roman" w:eastAsia="仿宋"/>
        </w:rPr>
        <w:t>第一，中国数字普惠金融从2011年</w:t>
      </w:r>
      <w:r>
        <w:rPr>
          <w:rFonts w:ascii="Times New Roman" w:hAnsi="Times New Roman" w:eastAsia="仿宋"/>
        </w:rPr>
        <w:t>到</w:t>
      </w:r>
      <w:r>
        <w:rPr>
          <w:rFonts w:hint="eastAsia" w:ascii="Times New Roman" w:hAnsi="Times New Roman" w:eastAsia="仿宋"/>
        </w:rPr>
        <w:t>2018年</w:t>
      </w:r>
      <w:r>
        <w:rPr>
          <w:rFonts w:ascii="Times New Roman" w:hAnsi="Times New Roman" w:eastAsia="仿宋"/>
        </w:rPr>
        <w:t>实现</w:t>
      </w:r>
      <w:r>
        <w:rPr>
          <w:rFonts w:hint="eastAsia" w:ascii="Times New Roman" w:hAnsi="Times New Roman" w:eastAsia="仿宋"/>
          <w:szCs w:val="24"/>
        </w:rPr>
        <w:t>了跨越式发展</w:t>
      </w:r>
      <w:r>
        <w:rPr>
          <w:rFonts w:hint="eastAsia" w:ascii="Times New Roman" w:hAnsi="Times New Roman" w:eastAsia="仿宋"/>
        </w:rPr>
        <w:t>，而且数字金融使用深度的增长开始逐步成为数字普惠金融指数增长的重要驱动力，中国的数字普惠金融已经走过了粗放式的“圈地”时代，进入了深度拓展的新阶段、新时代。第二，中国数字普惠金融的发展表现出很强的地区收敛性，不同地区数字普惠金融发展差距总体上大幅缩小，数字普惠金融为经济落后地区实现普惠金融赶超提供了可能，并为广大中低收入者和弱势群体获得覆盖更广、使用深度更大的金融服务奠定了基础，进而有助于缓解中国经济发展中存在的不平衡问题。第三，虽然理论上数字金融具有超地理的特征，但数字普惠金融指数依然表现出很强的空间集聚性，有的区域数字普惠金融发展普遍较好，有的区域数字普惠金融发展则整体相对落后。第四，中西部地区在数字金融覆盖广度上与东部沿海地区差距大幅缩小，但数字金融使用深度上则尚有一定的追赶空间。</w:t>
      </w:r>
      <w:bookmarkEnd w:id="38"/>
    </w:p>
    <w:p>
      <w:pPr>
        <w:ind w:firstLine="420" w:firstLineChars="200"/>
        <w:rPr>
          <w:rFonts w:ascii="Times New Roman" w:hAnsi="Times New Roman" w:eastAsia="仿宋"/>
        </w:rPr>
      </w:pPr>
      <w:r>
        <w:rPr>
          <w:rFonts w:hint="eastAsia" w:ascii="Times New Roman" w:hAnsi="Times New Roman" w:eastAsia="仿宋"/>
        </w:rPr>
        <w:t>数字金融是近年来中国社会各界广泛关注的领域，但基础数据的缺失极大地限制了相关领域的实证研究。</w:t>
      </w:r>
      <w:bookmarkStart w:id="39" w:name="_Hlk9346224"/>
      <w:r>
        <w:rPr>
          <w:rFonts w:hint="eastAsia" w:ascii="Times New Roman" w:hAnsi="Times New Roman" w:eastAsia="仿宋"/>
        </w:rPr>
        <w:t>这套指数为各界提供了一套反映数字普惠金融发展现状和演变趋势的基础数据。</w:t>
      </w:r>
      <w:bookmarkEnd w:id="39"/>
      <w:r>
        <w:rPr>
          <w:rFonts w:hint="eastAsia" w:ascii="Times New Roman" w:hAnsi="Times New Roman" w:eastAsia="仿宋"/>
        </w:rPr>
        <w:t>在本文，我们通过一些尽可能简化的方法，已经揭示出这套指数背后所能展现的丰富结论，我们相信在与家户、企业、地区特征等其他经济社会指标匹配之后，从这套指数当中还可以得到更多、更严谨的结论</w:t>
      </w:r>
      <w:r>
        <w:rPr>
          <w:rStyle w:val="43"/>
          <w:rFonts w:ascii="Times New Roman" w:hAnsi="Times New Roman" w:eastAsia="仿宋"/>
        </w:rPr>
        <w:footnoteReference w:id="12"/>
      </w:r>
      <w:r>
        <w:rPr>
          <w:rFonts w:hint="eastAsia" w:ascii="Times New Roman" w:hAnsi="Times New Roman" w:eastAsia="仿宋"/>
        </w:rPr>
        <w:t>。当然，虽然我们对数字普惠金融的指标体系和指数编制方法进行了反复推敲，但其中存在的固有缺陷仍然必须承认。例如，限于</w:t>
      </w:r>
      <w:r>
        <w:rPr>
          <w:rFonts w:ascii="Times New Roman" w:hAnsi="Times New Roman" w:eastAsia="仿宋"/>
        </w:rPr>
        <w:t>数据的可获得性</w:t>
      </w:r>
      <w:r>
        <w:rPr>
          <w:rFonts w:hint="eastAsia" w:ascii="Times New Roman" w:hAnsi="Times New Roman" w:eastAsia="仿宋"/>
        </w:rPr>
        <w:t>和不同机构数据的可匹配性等障碍</w:t>
      </w:r>
      <w:r>
        <w:rPr>
          <w:rFonts w:ascii="Times New Roman" w:hAnsi="Times New Roman" w:eastAsia="仿宋"/>
        </w:rPr>
        <w:t>，</w:t>
      </w:r>
      <w:r>
        <w:rPr>
          <w:rFonts w:hint="eastAsia" w:ascii="Times New Roman" w:hAnsi="Times New Roman" w:eastAsia="仿宋"/>
        </w:rPr>
        <w:t>依然只能</w:t>
      </w:r>
      <w:r>
        <w:rPr>
          <w:rFonts w:ascii="Times New Roman" w:hAnsi="Times New Roman" w:eastAsia="仿宋"/>
        </w:rPr>
        <w:t>仅以</w:t>
      </w:r>
      <w:r>
        <w:rPr>
          <w:rFonts w:hint="eastAsia" w:ascii="Times New Roman" w:hAnsi="Times New Roman" w:eastAsia="仿宋"/>
        </w:rPr>
        <w:t>一家代表性的数字金融机构为数据来源，因此不能反映数字普惠金融发展的完整图景</w:t>
      </w:r>
      <w:r>
        <w:rPr>
          <w:rStyle w:val="43"/>
          <w:rFonts w:ascii="Times New Roman" w:hAnsi="Times New Roman" w:eastAsia="仿宋"/>
        </w:rPr>
        <w:footnoteReference w:id="13"/>
      </w:r>
      <w:r>
        <w:rPr>
          <w:rFonts w:hint="eastAsia" w:ascii="Times New Roman" w:hAnsi="Times New Roman" w:eastAsia="仿宋"/>
        </w:rPr>
        <w:t>。但如果将研究的问题限定于发展趋势、地区差距等，那么这套指数还是有一定代表性的。特别是在缺乏度量地区间数字普惠金融发展现状的情况下，本指数的发布可以为各界人士提供一个各地数字普惠金融发展程度的粗略度量，供关注该领域的各界人士参考。</w:t>
      </w:r>
      <w:bookmarkStart w:id="40" w:name="_Toc5714011"/>
    </w:p>
    <w:p>
      <w:pPr>
        <w:jc w:val="center"/>
        <w:outlineLvl w:val="0"/>
        <w:rPr>
          <w:rFonts w:ascii="仿宋" w:hAnsi="仿宋" w:eastAsia="仿宋" w:cstheme="minorBidi"/>
          <w:b/>
          <w:sz w:val="28"/>
          <w:szCs w:val="28"/>
        </w:rPr>
      </w:pPr>
      <w:r>
        <w:rPr>
          <w:rFonts w:hint="eastAsia" w:ascii="仿宋" w:hAnsi="仿宋" w:eastAsia="仿宋" w:cstheme="minorBidi"/>
          <w:b/>
          <w:sz w:val="28"/>
          <w:szCs w:val="28"/>
        </w:rPr>
        <w:t>参考</w:t>
      </w:r>
      <w:r>
        <w:rPr>
          <w:rFonts w:ascii="仿宋" w:hAnsi="仿宋" w:eastAsia="仿宋" w:cstheme="minorBidi"/>
          <w:b/>
          <w:sz w:val="28"/>
          <w:szCs w:val="28"/>
        </w:rPr>
        <w:t>文献</w:t>
      </w:r>
      <w:bookmarkEnd w:id="40"/>
    </w:p>
    <w:p>
      <w:pPr>
        <w:pStyle w:val="116"/>
        <w:numPr>
          <w:ilvl w:val="0"/>
          <w:numId w:val="1"/>
        </w:numPr>
        <w:autoSpaceDE w:val="0"/>
        <w:autoSpaceDN w:val="0"/>
        <w:adjustRightInd w:val="0"/>
        <w:ind w:firstLineChars="0"/>
        <w:rPr>
          <w:rFonts w:ascii="Times New Roman" w:hAnsi="Times New Roman" w:eastAsia="仿宋" w:cs="DINPro"/>
          <w:sz w:val="18"/>
        </w:rPr>
      </w:pPr>
      <w:r>
        <w:rPr>
          <w:rFonts w:ascii="Times New Roman" w:hAnsi="Times New Roman" w:eastAsia="仿宋" w:cs="DINPro"/>
          <w:kern w:val="0"/>
          <w:sz w:val="18"/>
          <w:szCs w:val="24"/>
        </w:rPr>
        <w:t>Barro, R</w:t>
      </w:r>
      <w:r>
        <w:rPr>
          <w:rFonts w:hint="eastAsia" w:ascii="Times New Roman" w:hAnsi="Times New Roman" w:eastAsia="仿宋" w:cs="DINPro"/>
          <w:kern w:val="0"/>
          <w:sz w:val="18"/>
          <w:szCs w:val="24"/>
        </w:rPr>
        <w:t>.</w:t>
      </w:r>
      <w:r>
        <w:rPr>
          <w:rFonts w:ascii="Times New Roman" w:hAnsi="Times New Roman" w:eastAsia="仿宋" w:cs="DINPro"/>
          <w:kern w:val="0"/>
          <w:sz w:val="18"/>
          <w:szCs w:val="24"/>
        </w:rPr>
        <w:t xml:space="preserve"> J., and X. Sala-i-Martin, “Convergence”, </w:t>
      </w:r>
      <w:r>
        <w:rPr>
          <w:rFonts w:ascii="Times New Roman" w:hAnsi="Times New Roman" w:eastAsia="仿宋" w:cs="DINPro"/>
          <w:i/>
          <w:sz w:val="18"/>
        </w:rPr>
        <w:t>Journal of Political Economy</w:t>
      </w:r>
      <w:r>
        <w:rPr>
          <w:rFonts w:ascii="Times New Roman" w:hAnsi="Times New Roman" w:eastAsia="仿宋" w:cs="DINPro"/>
          <w:sz w:val="18"/>
        </w:rPr>
        <w:t>,</w:t>
      </w:r>
      <w:r>
        <w:rPr>
          <w:rFonts w:ascii="Times New Roman" w:hAnsi="Times New Roman" w:eastAsia="仿宋" w:cs="DINPro"/>
          <w:kern w:val="0"/>
          <w:sz w:val="18"/>
          <w:szCs w:val="24"/>
        </w:rPr>
        <w:t xml:space="preserve"> 1992, </w:t>
      </w:r>
      <w:r>
        <w:rPr>
          <w:rFonts w:ascii="Times New Roman" w:hAnsi="Times New Roman" w:eastAsia="仿宋" w:cs="DINPro"/>
          <w:sz w:val="18"/>
        </w:rPr>
        <w:t>100(2), 223-251.</w:t>
      </w:r>
    </w:p>
    <w:p>
      <w:pPr>
        <w:pStyle w:val="116"/>
        <w:widowControl/>
        <w:numPr>
          <w:ilvl w:val="0"/>
          <w:numId w:val="1"/>
        </w:numPr>
        <w:ind w:firstLineChars="0"/>
        <w:rPr>
          <w:rFonts w:ascii="Times New Roman" w:hAnsi="Times New Roman" w:eastAsia="仿宋" w:cs="Arial"/>
          <w:color w:val="000000"/>
          <w:sz w:val="18"/>
          <w:szCs w:val="21"/>
        </w:rPr>
      </w:pPr>
      <w:r>
        <w:rPr>
          <w:rFonts w:ascii="Times New Roman" w:hAnsi="Times New Roman" w:eastAsia="仿宋" w:cs="Arial"/>
          <w:color w:val="000000"/>
          <w:sz w:val="18"/>
          <w:szCs w:val="21"/>
        </w:rPr>
        <w:t xml:space="preserve">Chen, L., “From Fintech to Finlife: The case of Fintech Development in China”, </w:t>
      </w:r>
      <w:r>
        <w:rPr>
          <w:rFonts w:ascii="Times New Roman" w:hAnsi="Times New Roman" w:eastAsia="仿宋" w:cs="Arial"/>
          <w:i/>
          <w:color w:val="000000"/>
          <w:sz w:val="18"/>
          <w:szCs w:val="21"/>
        </w:rPr>
        <w:t>China Economic Journal</w:t>
      </w:r>
      <w:r>
        <w:rPr>
          <w:rFonts w:ascii="Times New Roman" w:hAnsi="Times New Roman" w:eastAsia="仿宋" w:cs="Arial"/>
          <w:color w:val="000000"/>
          <w:sz w:val="18"/>
          <w:szCs w:val="21"/>
        </w:rPr>
        <w:t>, 2016, 9(3), 225-239.</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陈银娥、孙琼、徐文赟，中国普惠金融发展的分布动态与空间趋同研究”，《金融经济学研究》，</w:t>
      </w:r>
      <w:r>
        <w:rPr>
          <w:rFonts w:ascii="Times New Roman" w:hAnsi="Times New Roman" w:eastAsia="仿宋" w:cs="Arial"/>
          <w:color w:val="000000"/>
          <w:sz w:val="18"/>
          <w:szCs w:val="21"/>
        </w:rPr>
        <w:t>2015</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6</w:t>
      </w:r>
      <w:r>
        <w:rPr>
          <w:rFonts w:hint="eastAsia" w:ascii="Times New Roman" w:hAnsi="Times New Roman" w:eastAsia="仿宋" w:cs="Arial"/>
          <w:color w:val="000000"/>
          <w:sz w:val="18"/>
          <w:szCs w:val="21"/>
        </w:rPr>
        <w:t>期，第</w:t>
      </w:r>
      <w:r>
        <w:rPr>
          <w:rFonts w:ascii="Times New Roman" w:hAnsi="Times New Roman" w:eastAsia="仿宋" w:cs="Arial"/>
          <w:color w:val="000000"/>
          <w:sz w:val="18"/>
          <w:szCs w:val="21"/>
        </w:rPr>
        <w:t>72-81</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ascii="Times New Roman" w:hAnsi="Times New Roman" w:eastAsia="仿宋" w:cs="Arial"/>
          <w:color w:val="000000"/>
          <w:sz w:val="18"/>
          <w:szCs w:val="21"/>
        </w:rPr>
        <w:t>Demirguc-Kunt, A. and L., Klapper, “Measuring Financial Inclusion: The Global Findex Database”, Policy Research Working Paper Series, No.6025, 2012.</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傅秋子、黄益平，“数字金融对农村金融需求的异质性影响：来自数字普惠金融指数与中国家庭金融调查的证据”，《金融研究》，2018 年第11 期，第68-84 页。</w:t>
      </w:r>
    </w:p>
    <w:p>
      <w:pPr>
        <w:pStyle w:val="116"/>
        <w:widowControl/>
        <w:numPr>
          <w:ilvl w:val="0"/>
          <w:numId w:val="1"/>
        </w:numPr>
        <w:ind w:firstLineChars="0"/>
        <w:rPr>
          <w:rFonts w:ascii="Times New Roman" w:hAnsi="Times New Roman" w:eastAsia="仿宋" w:cs="Arial"/>
          <w:color w:val="000000"/>
          <w:sz w:val="18"/>
          <w:szCs w:val="21"/>
        </w:rPr>
      </w:pPr>
      <w:r>
        <w:rPr>
          <w:rFonts w:ascii="Times New Roman" w:hAnsi="Times New Roman" w:eastAsia="仿宋" w:cs="Arial"/>
          <w:color w:val="000000"/>
          <w:sz w:val="18"/>
          <w:szCs w:val="21"/>
        </w:rPr>
        <w:t>Global Parternship for Financial Inclusion</w:t>
      </w:r>
      <w:r>
        <w:rPr>
          <w:rFonts w:hint="eastAsia" w:ascii="Times New Roman" w:hAnsi="Times New Roman" w:eastAsia="仿宋" w:cs="Arial"/>
          <w:color w:val="000000"/>
          <w:sz w:val="18"/>
          <w:szCs w:val="21"/>
        </w:rPr>
        <w:t>，</w:t>
      </w:r>
      <w:r>
        <w:rPr>
          <w:rFonts w:ascii="Times New Roman" w:hAnsi="Times New Roman" w:eastAsia="仿宋" w:cs="Arial"/>
          <w:color w:val="000000"/>
          <w:sz w:val="18"/>
          <w:szCs w:val="21"/>
        </w:rPr>
        <w:t>“G20 Financial Inclusion Indicators”, 2013</w:t>
      </w:r>
      <w:r>
        <w:rPr>
          <w:rFonts w:hint="eastAsia" w:ascii="Times New Roman" w:hAnsi="Times New Roman" w:eastAsia="仿宋" w:cs="Arial"/>
          <w:color w:val="000000"/>
          <w:sz w:val="18"/>
          <w:szCs w:val="21"/>
        </w:rPr>
        <w:t>．</w:t>
      </w:r>
    </w:p>
    <w:p>
      <w:pPr>
        <w:pStyle w:val="116"/>
        <w:widowControl/>
        <w:numPr>
          <w:ilvl w:val="0"/>
          <w:numId w:val="1"/>
        </w:numPr>
        <w:ind w:firstLineChars="0"/>
        <w:rPr>
          <w:rFonts w:ascii="Times New Roman" w:hAnsi="Times New Roman" w:eastAsia="仿宋" w:cs="Arial"/>
          <w:color w:val="000000"/>
          <w:sz w:val="18"/>
          <w:szCs w:val="21"/>
        </w:rPr>
      </w:pPr>
      <w:r>
        <w:rPr>
          <w:rFonts w:ascii="Times New Roman" w:hAnsi="Times New Roman" w:eastAsia="仿宋" w:cs="Arial"/>
          <w:color w:val="000000"/>
          <w:sz w:val="18"/>
          <w:szCs w:val="21"/>
        </w:rPr>
        <w:t xml:space="preserve">Guo, F., S. T. Kong and J. Wang,2016, “General Patterns andRegional Disparity of Internet Finance Development in China: Evidence from thePeking University Internet Finance Development Index”, </w:t>
      </w:r>
      <w:r>
        <w:rPr>
          <w:rFonts w:ascii="Times New Roman" w:hAnsi="Times New Roman" w:eastAsia="仿宋" w:cs="Arial"/>
          <w:i/>
          <w:color w:val="000000"/>
          <w:sz w:val="18"/>
          <w:szCs w:val="21"/>
        </w:rPr>
        <w:t>China Economic Journal</w:t>
      </w:r>
      <w:r>
        <w:rPr>
          <w:rFonts w:ascii="Times New Roman" w:hAnsi="Times New Roman" w:eastAsia="仿宋" w:cs="Arial"/>
          <w:color w:val="000000"/>
          <w:sz w:val="18"/>
          <w:szCs w:val="21"/>
        </w:rPr>
        <w:t xml:space="preserve">, 2016, 9(3), 253-271.  </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郭峰、孔涛、王靖一，“互联网金融的空间集聚效应分析：来自互联网金融发展指数的证据”，《国际金融研究》，</w:t>
      </w:r>
      <w:r>
        <w:rPr>
          <w:rFonts w:ascii="Times New Roman" w:hAnsi="Times New Roman" w:eastAsia="仿宋" w:cs="Arial"/>
          <w:color w:val="000000"/>
          <w:sz w:val="18"/>
          <w:szCs w:val="21"/>
        </w:rPr>
        <w:t>2017</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8</w:t>
      </w:r>
      <w:r>
        <w:rPr>
          <w:rFonts w:hint="eastAsia" w:ascii="Times New Roman" w:hAnsi="Times New Roman" w:eastAsia="仿宋" w:cs="Arial"/>
          <w:color w:val="000000"/>
          <w:sz w:val="18"/>
          <w:szCs w:val="21"/>
        </w:rPr>
        <w:t>期，第</w:t>
      </w:r>
      <w:r>
        <w:rPr>
          <w:rFonts w:ascii="Times New Roman" w:hAnsi="Times New Roman" w:eastAsia="仿宋" w:cs="Arial"/>
          <w:color w:val="000000"/>
          <w:sz w:val="18"/>
          <w:szCs w:val="21"/>
        </w:rPr>
        <w:t>75-85</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kern w:val="0"/>
          <w:sz w:val="18"/>
          <w:szCs w:val="21"/>
        </w:rPr>
        <w:t>郭峰、王瑶佩，“传统金融基础、知识门槛与数字金融下乡”，《财经研究》，待刊，</w:t>
      </w:r>
      <w:r>
        <w:rPr>
          <w:rFonts w:ascii="Times New Roman" w:hAnsi="Times New Roman" w:eastAsia="仿宋" w:cs="Arial"/>
          <w:color w:val="000000"/>
          <w:kern w:val="0"/>
          <w:sz w:val="18"/>
          <w:szCs w:val="21"/>
        </w:rPr>
        <w:t>2019</w:t>
      </w:r>
      <w:r>
        <w:rPr>
          <w:rFonts w:hint="eastAsia" w:ascii="Times New Roman" w:hAnsi="Times New Roman" w:eastAsia="仿宋" w:cs="Arial"/>
          <w:color w:val="000000"/>
          <w:kern w:val="0"/>
          <w:sz w:val="18"/>
          <w:szCs w:val="21"/>
        </w:rPr>
        <w:t>。</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黄益平、黄卓，“中国的数字金融发展：现在与未来”，《经济学季刊》, 2018年第1卷第4期，第205-218页。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焦瑾璞，“移动支付推动普惠金融发展的应用分析与政策建议”，《中国流通经济》，</w:t>
      </w:r>
      <w:r>
        <w:rPr>
          <w:rFonts w:ascii="Times New Roman" w:hAnsi="Times New Roman" w:eastAsia="仿宋" w:cs="Arial"/>
          <w:color w:val="000000"/>
          <w:sz w:val="18"/>
          <w:szCs w:val="21"/>
        </w:rPr>
        <w:t>2014</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7</w:t>
      </w:r>
      <w:r>
        <w:rPr>
          <w:rFonts w:hint="eastAsia" w:ascii="Times New Roman" w:hAnsi="Times New Roman" w:eastAsia="仿宋" w:cs="Arial"/>
          <w:color w:val="000000"/>
          <w:sz w:val="18"/>
          <w:szCs w:val="21"/>
        </w:rPr>
        <w:t>期</w:t>
      </w:r>
      <w:r>
        <w:rPr>
          <w:rFonts w:ascii="Times New Roman" w:hAnsi="Times New Roman" w:eastAsia="仿宋" w:cs="Arial"/>
          <w:color w:val="000000"/>
          <w:sz w:val="18"/>
          <w:szCs w:val="21"/>
        </w:rPr>
        <w:t>7-10</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焦瑾璞、黄亭亭、汪天都、张韶华、王瑱，“中国普惠金融发展进程及实证研究”，《上海金融》，</w:t>
      </w:r>
      <w:r>
        <w:rPr>
          <w:rFonts w:ascii="Times New Roman" w:hAnsi="Times New Roman" w:eastAsia="仿宋" w:cs="Arial"/>
          <w:color w:val="000000"/>
          <w:sz w:val="18"/>
          <w:szCs w:val="21"/>
        </w:rPr>
        <w:t>2015</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4</w:t>
      </w:r>
      <w:r>
        <w:rPr>
          <w:rFonts w:hint="eastAsia" w:ascii="Times New Roman" w:hAnsi="Times New Roman" w:eastAsia="仿宋" w:cs="Arial"/>
          <w:color w:val="000000"/>
          <w:sz w:val="18"/>
          <w:szCs w:val="21"/>
        </w:rPr>
        <w:t>期，第</w:t>
      </w:r>
      <w:r>
        <w:rPr>
          <w:rFonts w:ascii="Times New Roman" w:hAnsi="Times New Roman" w:eastAsia="仿宋" w:cs="Arial"/>
          <w:color w:val="000000"/>
          <w:sz w:val="18"/>
          <w:szCs w:val="21"/>
        </w:rPr>
        <w:t>12-22</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焦瑾璞、孙天琦、黄亭亭、汪天都，“数字货币与普惠金融发展—理论框架、国际实践与监管体系”，《金融监管研究》，</w:t>
      </w:r>
      <w:r>
        <w:rPr>
          <w:rFonts w:ascii="Times New Roman" w:hAnsi="Times New Roman" w:eastAsia="仿宋" w:cs="Arial"/>
          <w:color w:val="000000"/>
          <w:sz w:val="18"/>
          <w:szCs w:val="21"/>
        </w:rPr>
        <w:t>2015</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7</w:t>
      </w:r>
      <w:r>
        <w:rPr>
          <w:rFonts w:hint="eastAsia" w:ascii="Times New Roman" w:hAnsi="Times New Roman" w:eastAsia="仿宋" w:cs="Arial"/>
          <w:color w:val="000000"/>
          <w:sz w:val="18"/>
          <w:szCs w:val="21"/>
        </w:rPr>
        <w:t>期，第</w:t>
      </w:r>
      <w:r>
        <w:rPr>
          <w:rFonts w:ascii="Times New Roman" w:hAnsi="Times New Roman" w:eastAsia="仿宋" w:cs="Arial"/>
          <w:color w:val="000000"/>
          <w:sz w:val="18"/>
          <w:szCs w:val="21"/>
        </w:rPr>
        <w:t>19-35</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李继尊，“关于互联网金融的思考”，《管理世界》，</w:t>
      </w:r>
      <w:r>
        <w:rPr>
          <w:rFonts w:ascii="Times New Roman" w:hAnsi="Times New Roman" w:eastAsia="仿宋" w:cs="Arial"/>
          <w:color w:val="000000"/>
          <w:sz w:val="18"/>
          <w:szCs w:val="21"/>
        </w:rPr>
        <w:t>2015</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7</w:t>
      </w:r>
      <w:r>
        <w:rPr>
          <w:rFonts w:hint="eastAsia" w:ascii="Times New Roman" w:hAnsi="Times New Roman" w:eastAsia="仿宋" w:cs="Arial"/>
          <w:color w:val="000000"/>
          <w:sz w:val="18"/>
          <w:szCs w:val="21"/>
        </w:rPr>
        <w:t>期，第</w:t>
      </w:r>
      <w:r>
        <w:rPr>
          <w:rFonts w:ascii="Times New Roman" w:hAnsi="Times New Roman" w:eastAsia="仿宋" w:cs="Arial"/>
          <w:color w:val="000000"/>
          <w:sz w:val="18"/>
          <w:szCs w:val="21"/>
        </w:rPr>
        <w:t>1-7</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彭非、袁卫、惠争勤，“对综合评价方法中指数功效函数的一种改进探讨”，《统计研究》，</w:t>
      </w:r>
      <w:r>
        <w:rPr>
          <w:rFonts w:ascii="Times New Roman" w:hAnsi="Times New Roman" w:eastAsia="仿宋" w:cs="Arial"/>
          <w:color w:val="000000"/>
          <w:sz w:val="18"/>
          <w:szCs w:val="21"/>
        </w:rPr>
        <w:t>2007</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12</w:t>
      </w:r>
      <w:r>
        <w:rPr>
          <w:rFonts w:hint="eastAsia" w:ascii="Times New Roman" w:hAnsi="Times New Roman" w:eastAsia="仿宋" w:cs="Arial"/>
          <w:color w:val="000000"/>
          <w:sz w:val="18"/>
          <w:szCs w:val="21"/>
        </w:rPr>
        <w:t>期，第</w:t>
      </w:r>
      <w:r>
        <w:rPr>
          <w:rFonts w:ascii="Times New Roman" w:hAnsi="Times New Roman" w:eastAsia="仿宋" w:cs="Arial"/>
          <w:color w:val="000000"/>
          <w:sz w:val="18"/>
          <w:szCs w:val="21"/>
        </w:rPr>
        <w:t>29-34</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彭红枫、林川，“言之有物:网络借贷中语言有用吗?——来自人人贷借款描述的经验证据”，《金融研究》，2018年第11期，第133-153页。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邱晗、黄益平、纪洋，“金融科技对银行行为的影响：基于互联网理财的视角”，《金融研究》，2018 年第11 期，第17-30 页。</w:t>
      </w:r>
    </w:p>
    <w:p>
      <w:pPr>
        <w:pStyle w:val="29"/>
        <w:numPr>
          <w:ilvl w:val="0"/>
          <w:numId w:val="1"/>
        </w:numPr>
        <w:spacing w:before="0" w:beforeAutospacing="0" w:after="0" w:afterAutospacing="0" w:line="360" w:lineRule="auto"/>
        <w:jc w:val="both"/>
        <w:rPr>
          <w:rFonts w:ascii="Times New Roman" w:hAnsi="Times New Roman" w:eastAsia="仿宋"/>
          <w:color w:val="000000"/>
          <w:sz w:val="18"/>
          <w:szCs w:val="21"/>
          <w:shd w:val="clear" w:color="auto" w:fill="FFFFFF"/>
        </w:rPr>
      </w:pPr>
      <w:r>
        <w:rPr>
          <w:rFonts w:hint="eastAsia" w:ascii="Times New Roman" w:hAnsi="Times New Roman" w:eastAsia="仿宋"/>
          <w:color w:val="000000"/>
          <w:sz w:val="18"/>
          <w:szCs w:val="21"/>
          <w:shd w:val="clear" w:color="auto" w:fill="FFFFFF"/>
        </w:rPr>
        <w:t>Sala-I-Martin X</w:t>
      </w:r>
      <w:r>
        <w:rPr>
          <w:rFonts w:ascii="Times New Roman" w:hAnsi="Times New Roman" w:eastAsia="仿宋"/>
          <w:color w:val="000000"/>
          <w:sz w:val="18"/>
          <w:szCs w:val="21"/>
          <w:shd w:val="clear" w:color="auto" w:fill="FFFFFF"/>
        </w:rPr>
        <w:t>., “</w:t>
      </w:r>
      <w:r>
        <w:rPr>
          <w:rFonts w:hint="eastAsia" w:ascii="Times New Roman" w:hAnsi="Times New Roman" w:eastAsia="仿宋"/>
          <w:color w:val="000000"/>
          <w:sz w:val="18"/>
          <w:szCs w:val="21"/>
          <w:shd w:val="clear" w:color="auto" w:fill="FFFFFF"/>
        </w:rPr>
        <w:t>The Classical Approach to Convergence Analysis</w:t>
      </w:r>
      <w:r>
        <w:rPr>
          <w:rFonts w:ascii="Times New Roman" w:hAnsi="Times New Roman" w:eastAsia="仿宋"/>
          <w:color w:val="000000"/>
          <w:sz w:val="18"/>
          <w:szCs w:val="21"/>
          <w:shd w:val="clear" w:color="auto" w:fill="FFFFFF"/>
        </w:rPr>
        <w:t>”,</w:t>
      </w:r>
      <w:r>
        <w:rPr>
          <w:rFonts w:hint="eastAsia" w:ascii="Times New Roman" w:hAnsi="Times New Roman" w:eastAsia="仿宋"/>
          <w:color w:val="000000"/>
          <w:sz w:val="18"/>
          <w:szCs w:val="21"/>
          <w:shd w:val="clear" w:color="auto" w:fill="FFFFFF"/>
        </w:rPr>
        <w:t xml:space="preserve"> </w:t>
      </w:r>
      <w:r>
        <w:rPr>
          <w:rFonts w:hint="eastAsia" w:ascii="Times New Roman" w:hAnsi="Times New Roman" w:eastAsia="仿宋"/>
          <w:i/>
          <w:color w:val="000000"/>
          <w:sz w:val="18"/>
          <w:szCs w:val="21"/>
          <w:shd w:val="clear" w:color="auto" w:fill="FFFFFF"/>
        </w:rPr>
        <w:t>Economic Journal</w:t>
      </w:r>
      <w:r>
        <w:rPr>
          <w:rFonts w:hint="eastAsia" w:ascii="Times New Roman" w:hAnsi="Times New Roman" w:eastAsia="仿宋"/>
          <w:color w:val="000000"/>
          <w:sz w:val="18"/>
          <w:szCs w:val="21"/>
          <w:shd w:val="clear" w:color="auto" w:fill="FFFFFF"/>
        </w:rPr>
        <w:t xml:space="preserve"> </w:t>
      </w:r>
      <w:r>
        <w:rPr>
          <w:rFonts w:ascii="Times New Roman" w:hAnsi="Times New Roman" w:eastAsia="仿宋"/>
          <w:color w:val="000000"/>
          <w:sz w:val="18"/>
          <w:szCs w:val="21"/>
          <w:shd w:val="clear" w:color="auto" w:fill="FFFFFF"/>
        </w:rPr>
        <w:t xml:space="preserve">1996, </w:t>
      </w:r>
      <w:r>
        <w:rPr>
          <w:rFonts w:hint="eastAsia" w:ascii="Times New Roman" w:hAnsi="Times New Roman" w:eastAsia="仿宋"/>
          <w:color w:val="000000"/>
          <w:sz w:val="18"/>
          <w:szCs w:val="21"/>
          <w:shd w:val="clear" w:color="auto" w:fill="FFFFFF"/>
        </w:rPr>
        <w:t>106</w:t>
      </w:r>
      <w:r>
        <w:rPr>
          <w:rFonts w:ascii="Times New Roman" w:hAnsi="Times New Roman" w:eastAsia="仿宋"/>
          <w:color w:val="000000"/>
          <w:sz w:val="18"/>
          <w:szCs w:val="21"/>
          <w:shd w:val="clear" w:color="auto" w:fill="FFFFFF"/>
        </w:rPr>
        <w:t>(437),</w:t>
      </w:r>
      <w:r>
        <w:rPr>
          <w:rFonts w:hint="eastAsia" w:ascii="Times New Roman" w:hAnsi="Times New Roman" w:eastAsia="仿宋"/>
          <w:color w:val="000000"/>
          <w:sz w:val="18"/>
          <w:szCs w:val="21"/>
          <w:shd w:val="clear" w:color="auto" w:fill="FFFFFF"/>
        </w:rPr>
        <w:t xml:space="preserve"> 1019-1036</w:t>
      </w:r>
      <w:r>
        <w:rPr>
          <w:rFonts w:ascii="Times New Roman" w:hAnsi="Times New Roman" w:eastAsia="仿宋"/>
          <w:color w:val="000000"/>
          <w:sz w:val="18"/>
          <w:szCs w:val="21"/>
          <w:shd w:val="clear" w:color="auto" w:fill="FFFFFF"/>
        </w:rPr>
        <w:t>.</w:t>
      </w:r>
    </w:p>
    <w:p>
      <w:pPr>
        <w:pStyle w:val="116"/>
        <w:widowControl/>
        <w:numPr>
          <w:ilvl w:val="0"/>
          <w:numId w:val="1"/>
        </w:numPr>
        <w:ind w:firstLineChars="0"/>
        <w:rPr>
          <w:rFonts w:ascii="Times New Roman" w:hAnsi="Times New Roman" w:eastAsia="仿宋" w:cs="Arial"/>
          <w:color w:val="000000"/>
          <w:sz w:val="18"/>
          <w:szCs w:val="21"/>
        </w:rPr>
      </w:pPr>
      <w:r>
        <w:rPr>
          <w:rFonts w:ascii="Times New Roman" w:hAnsi="Times New Roman" w:eastAsia="仿宋" w:cs="Arial"/>
          <w:color w:val="000000"/>
          <w:sz w:val="18"/>
          <w:szCs w:val="21"/>
        </w:rPr>
        <w:t>Sarma, M., 2012, “Index of Financial Inclusion-A measure of financial sector inclusiveness”, Berlin Working Papers on Money, Finance, Trade and Development No. 07/2012.</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世界银行集团，“</w:t>
      </w:r>
      <w:r>
        <w:rPr>
          <w:rFonts w:ascii="Times New Roman" w:hAnsi="Times New Roman" w:eastAsia="仿宋" w:cs="Arial"/>
          <w:color w:val="000000"/>
          <w:sz w:val="18"/>
          <w:szCs w:val="21"/>
        </w:rPr>
        <w:t>2014</w:t>
      </w:r>
      <w:r>
        <w:rPr>
          <w:rFonts w:hint="eastAsia" w:ascii="Times New Roman" w:hAnsi="Times New Roman" w:eastAsia="仿宋" w:cs="Arial"/>
          <w:color w:val="000000"/>
          <w:sz w:val="18"/>
          <w:szCs w:val="21"/>
        </w:rPr>
        <w:t>年全球金融发展报告：普惠金融”，北京：中国财政经济出版社，</w:t>
      </w:r>
      <w:r>
        <w:rPr>
          <w:rFonts w:ascii="Times New Roman" w:hAnsi="Times New Roman" w:eastAsia="仿宋" w:cs="Arial"/>
          <w:color w:val="000000"/>
          <w:sz w:val="18"/>
          <w:szCs w:val="21"/>
        </w:rPr>
        <w:t>2015</w:t>
      </w:r>
      <w:r>
        <w:rPr>
          <w:rFonts w:hint="eastAsia" w:ascii="Times New Roman" w:hAnsi="Times New Roman" w:eastAsia="仿宋" w:cs="Arial"/>
          <w:color w:val="000000"/>
          <w:sz w:val="18"/>
          <w:szCs w:val="21"/>
        </w:rPr>
        <w:t>年10月。</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王靖一, 黄益平，“金融科技媒体情绪的刻画与对网贷市场的影响”，《经济学季刊》，2018年第17卷第4期，第339-366页。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王伟、田杰、李鹏，“我国金融排除度的空间差异及影响因素分析”，《西南金融》，</w:t>
      </w:r>
      <w:r>
        <w:rPr>
          <w:rFonts w:ascii="Times New Roman" w:hAnsi="Times New Roman" w:eastAsia="仿宋" w:cs="Arial"/>
          <w:color w:val="000000"/>
          <w:sz w:val="18"/>
          <w:szCs w:val="21"/>
        </w:rPr>
        <w:t>2011</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3</w:t>
      </w:r>
      <w:r>
        <w:rPr>
          <w:rFonts w:hint="eastAsia" w:ascii="Times New Roman" w:hAnsi="Times New Roman" w:eastAsia="仿宋" w:cs="Arial"/>
          <w:color w:val="000000"/>
          <w:sz w:val="18"/>
          <w:szCs w:val="21"/>
        </w:rPr>
        <w:t>期，第</w:t>
      </w:r>
      <w:r>
        <w:rPr>
          <w:rFonts w:ascii="Times New Roman" w:hAnsi="Times New Roman" w:eastAsia="仿宋" w:cs="Arial"/>
          <w:color w:val="000000"/>
          <w:sz w:val="18"/>
          <w:szCs w:val="21"/>
        </w:rPr>
        <w:t>14-17</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吴雨、李洁、尹志超，“房价上涨对P2P网络借贷成本的影响分析——来自‘人人贷’的经验证据”，《金融研究》，</w:t>
      </w:r>
      <w:r>
        <w:rPr>
          <w:rFonts w:ascii="Times New Roman" w:hAnsi="Times New Roman" w:eastAsia="仿宋" w:cs="Arial"/>
          <w:color w:val="000000"/>
          <w:sz w:val="18"/>
          <w:szCs w:val="21"/>
        </w:rPr>
        <w:t>2018</w:t>
      </w:r>
      <w:r>
        <w:rPr>
          <w:rFonts w:hint="eastAsia" w:ascii="Times New Roman" w:hAnsi="Times New Roman" w:eastAsia="仿宋" w:cs="Arial"/>
          <w:color w:val="000000"/>
          <w:sz w:val="18"/>
          <w:szCs w:val="21"/>
        </w:rPr>
        <w:t>年第11期，第</w:t>
      </w:r>
      <w:r>
        <w:rPr>
          <w:rFonts w:ascii="Times New Roman" w:hAnsi="Times New Roman" w:eastAsia="仿宋" w:cs="Arial"/>
          <w:color w:val="000000"/>
          <w:sz w:val="18"/>
          <w:szCs w:val="21"/>
        </w:rPr>
        <w:t>85-97</w:t>
      </w:r>
      <w:r>
        <w:rPr>
          <w:rFonts w:hint="eastAsia" w:ascii="Times New Roman" w:hAnsi="Times New Roman" w:eastAsia="仿宋" w:cs="Arial"/>
          <w:color w:val="000000"/>
          <w:sz w:val="18"/>
          <w:szCs w:val="21"/>
        </w:rPr>
        <w:t>页。</w:t>
      </w:r>
      <w:r>
        <w:rPr>
          <w:rFonts w:ascii="Times New Roman" w:hAnsi="Times New Roman" w:eastAsia="仿宋" w:cs="Arial"/>
          <w:color w:val="000000"/>
          <w:sz w:val="18"/>
          <w:szCs w:val="21"/>
        </w:rPr>
        <w:tab/>
      </w:r>
    </w:p>
    <w:p>
      <w:pPr>
        <w:pStyle w:val="116"/>
        <w:numPr>
          <w:ilvl w:val="0"/>
          <w:numId w:val="1"/>
        </w:numPr>
        <w:ind w:firstLineChars="0"/>
        <w:jc w:val="left"/>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姚耀军、施丹燕，“互联网金融区域差异化发展的逻辑与检验</w:t>
      </w:r>
      <w:r>
        <w:rPr>
          <w:rFonts w:ascii="Times New Roman" w:hAnsi="Times New Roman" w:eastAsia="仿宋" w:cs="Arial"/>
          <w:color w:val="000000"/>
          <w:sz w:val="18"/>
          <w:szCs w:val="21"/>
        </w:rPr>
        <w:t>——</w:t>
      </w:r>
      <w:r>
        <w:rPr>
          <w:rFonts w:hint="eastAsia" w:ascii="Times New Roman" w:hAnsi="Times New Roman" w:eastAsia="仿宋" w:cs="Arial"/>
          <w:color w:val="000000"/>
          <w:sz w:val="18"/>
          <w:szCs w:val="21"/>
        </w:rPr>
        <w:t>路径依赖与政府干预视角”，《金融研究》，</w:t>
      </w:r>
      <w:r>
        <w:rPr>
          <w:rFonts w:ascii="Times New Roman" w:hAnsi="Times New Roman" w:eastAsia="仿宋" w:cs="Arial"/>
          <w:color w:val="000000"/>
          <w:sz w:val="18"/>
          <w:szCs w:val="21"/>
        </w:rPr>
        <w:t>2017</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5</w:t>
      </w:r>
      <w:r>
        <w:rPr>
          <w:rFonts w:hint="eastAsia" w:ascii="Times New Roman" w:hAnsi="Times New Roman" w:eastAsia="仿宋" w:cs="Arial"/>
          <w:color w:val="000000"/>
          <w:sz w:val="18"/>
          <w:szCs w:val="21"/>
        </w:rPr>
        <w:t>期，第</w:t>
      </w:r>
      <w:r>
        <w:rPr>
          <w:rFonts w:ascii="Times New Roman" w:hAnsi="Times New Roman" w:eastAsia="仿宋" w:cs="Arial"/>
          <w:color w:val="000000"/>
          <w:sz w:val="18"/>
          <w:szCs w:val="21"/>
        </w:rPr>
        <w:t>127-142</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伍旭川、肖翔，“基于全球视角的普惠金融指数研究”，《南方金融》，</w:t>
      </w:r>
      <w:r>
        <w:rPr>
          <w:rFonts w:ascii="Times New Roman" w:hAnsi="Times New Roman" w:eastAsia="仿宋" w:cs="Arial"/>
          <w:color w:val="000000"/>
          <w:sz w:val="18"/>
          <w:szCs w:val="21"/>
        </w:rPr>
        <w:t>2014</w:t>
      </w:r>
      <w:r>
        <w:rPr>
          <w:rFonts w:hint="eastAsia" w:ascii="Times New Roman" w:hAnsi="Times New Roman" w:eastAsia="仿宋" w:cs="Arial"/>
          <w:color w:val="000000"/>
          <w:sz w:val="18"/>
          <w:szCs w:val="21"/>
        </w:rPr>
        <w:t>年第</w:t>
      </w:r>
      <w:r>
        <w:rPr>
          <w:rFonts w:ascii="Times New Roman" w:hAnsi="Times New Roman" w:eastAsia="仿宋" w:cs="Arial"/>
          <w:color w:val="000000"/>
          <w:sz w:val="18"/>
          <w:szCs w:val="21"/>
        </w:rPr>
        <w:t>6</w:t>
      </w:r>
      <w:r>
        <w:rPr>
          <w:rFonts w:hint="eastAsia" w:ascii="Times New Roman" w:hAnsi="Times New Roman" w:eastAsia="仿宋" w:cs="Arial"/>
          <w:color w:val="000000"/>
          <w:sz w:val="18"/>
          <w:szCs w:val="21"/>
        </w:rPr>
        <w:t>期，第</w:t>
      </w:r>
      <w:r>
        <w:rPr>
          <w:rFonts w:ascii="Times New Roman" w:hAnsi="Times New Roman" w:eastAsia="仿宋" w:cs="Arial"/>
          <w:color w:val="000000"/>
          <w:sz w:val="18"/>
          <w:szCs w:val="21"/>
        </w:rPr>
        <w:t>15-20</w:t>
      </w:r>
      <w:r>
        <w:rPr>
          <w:rFonts w:hint="eastAsia" w:ascii="Times New Roman" w:hAnsi="Times New Roman" w:eastAsia="仿宋" w:cs="Arial"/>
          <w:color w:val="000000"/>
          <w:sz w:val="18"/>
          <w:szCs w:val="21"/>
        </w:rPr>
        <w:t>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谢绚丽、沈艳、张浩星、郭峰，“数字金融能促进创业吗：来自中国的证据”，《经济学季刊》，2018年第17卷第4期，第1557-1580页。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易行健、周利，“数字普惠金融发展是否显著影响了居民消费——来自中国家庭的微观证据”，《金融研究》，2018 年第11 期，第47-67 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张海洋, 蔡航，“头衔的价值——来自网络借贷的证据”，《经济学季刊》，2018年第17卷第4期，第241-272页。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张皓星, 黄益平，“情绪、违约率与反向挤兑——来自某互金企业的证据”，《经济学季刊》，2018年第17卷第4期，第219-240页。</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张勋、万广华、张佳佳、何宗樾，《数字经济、普惠金融与包容性增长》，《经济研究》，录用待刊，2019年。</w:t>
      </w:r>
    </w:p>
    <w:p>
      <w:pPr>
        <w:pStyle w:val="116"/>
        <w:widowControl/>
        <w:numPr>
          <w:ilvl w:val="0"/>
          <w:numId w:val="1"/>
        </w:numPr>
        <w:ind w:firstLineChars="0"/>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中国人民银行金融消费权益保护局，“2017年中国普惠金融指标分析报告”，中国人民银行研究报告，2018年8月。</w:t>
      </w:r>
    </w:p>
    <w:p>
      <w:pPr>
        <w:pStyle w:val="116"/>
        <w:widowControl/>
        <w:numPr>
          <w:ilvl w:val="0"/>
          <w:numId w:val="1"/>
        </w:numPr>
        <w:ind w:firstLineChars="0"/>
        <w:jc w:val="left"/>
        <w:rPr>
          <w:rFonts w:ascii="Times New Roman" w:hAnsi="Times New Roman" w:eastAsia="仿宋" w:cs="Arial"/>
          <w:color w:val="000000"/>
          <w:sz w:val="18"/>
          <w:szCs w:val="21"/>
        </w:rPr>
      </w:pPr>
      <w:r>
        <w:rPr>
          <w:rFonts w:hint="eastAsia" w:ascii="Times New Roman" w:hAnsi="Times New Roman" w:eastAsia="仿宋" w:cs="Arial"/>
          <w:color w:val="000000"/>
          <w:sz w:val="18"/>
          <w:szCs w:val="21"/>
        </w:rPr>
        <w:t>朱家祥、沈艳、邹欣，“网络借贷：普惠？普骗？与监管科技”，《经济学季刊》，2018年第17卷第4期，第315-338页。</w:t>
      </w:r>
    </w:p>
    <w:p>
      <w:pPr>
        <w:widowControl/>
        <w:jc w:val="left"/>
        <w:rPr>
          <w:rFonts w:ascii="宋体"/>
          <w:b/>
          <w:kern w:val="0"/>
          <w:sz w:val="24"/>
          <w:szCs w:val="24"/>
        </w:rPr>
      </w:pPr>
      <w:r>
        <w:rPr>
          <w:rFonts w:ascii="宋体"/>
          <w:b/>
          <w:kern w:val="0"/>
          <w:sz w:val="24"/>
          <w:szCs w:val="24"/>
        </w:rPr>
        <w:br w:type="page"/>
      </w:r>
    </w:p>
    <w:p>
      <w:pPr>
        <w:jc w:val="center"/>
        <w:rPr>
          <w:rFonts w:ascii="Times New Roman" w:hAnsi="Times New Roman"/>
          <w:b/>
          <w:sz w:val="24"/>
          <w:szCs w:val="24"/>
        </w:rPr>
      </w:pPr>
      <w:r>
        <w:rPr>
          <w:rFonts w:ascii="Times New Roman" w:hAnsi="Times New Roman"/>
          <w:b/>
          <w:sz w:val="24"/>
          <w:szCs w:val="24"/>
        </w:rPr>
        <w:t>Measuring China’s Digital Financial Inclusion: Index Compilation and Spatial Characteristics</w:t>
      </w:r>
    </w:p>
    <w:p>
      <w:pPr>
        <w:spacing w:before="156" w:beforeLines="50" w:after="156" w:afterLines="50"/>
        <w:jc w:val="center"/>
        <w:rPr>
          <w:rFonts w:ascii="Times New Roman" w:hAnsi="Times New Roman" w:eastAsia="楷体"/>
          <w:b/>
          <w:kern w:val="0"/>
          <w:sz w:val="24"/>
          <w:szCs w:val="20"/>
        </w:rPr>
      </w:pPr>
      <w:r>
        <w:rPr>
          <w:rFonts w:ascii="Times New Roman" w:hAnsi="Times New Roman" w:eastAsia="楷体"/>
          <w:b/>
          <w:kern w:val="0"/>
          <w:sz w:val="24"/>
          <w:szCs w:val="20"/>
        </w:rPr>
        <w:t>FENG GUO</w:t>
      </w:r>
    </w:p>
    <w:p>
      <w:pPr>
        <w:pStyle w:val="124"/>
        <w:spacing w:before="156" w:beforeLines="50" w:after="156" w:afterLines="50" w:line="240" w:lineRule="auto"/>
        <w:ind w:firstLine="0" w:firstLineChars="0"/>
        <w:jc w:val="center"/>
        <w:rPr>
          <w:rFonts w:eastAsia="楷体"/>
          <w:sz w:val="24"/>
        </w:rPr>
      </w:pPr>
      <w:r>
        <w:rPr>
          <w:rFonts w:eastAsia="楷体"/>
          <w:sz w:val="24"/>
        </w:rPr>
        <w:t>(</w:t>
      </w:r>
      <w:r>
        <w:rPr>
          <w:i/>
          <w:sz w:val="24"/>
        </w:rPr>
        <w:t xml:space="preserve">Shanghai University of Finance and Economics </w:t>
      </w:r>
      <w:r>
        <w:rPr>
          <w:rFonts w:hint="eastAsia"/>
          <w:i/>
          <w:sz w:val="24"/>
          <w:lang w:eastAsia="zh-CN"/>
        </w:rPr>
        <w:t>&amp;</w:t>
      </w:r>
      <w:r>
        <w:rPr>
          <w:i/>
          <w:sz w:val="24"/>
        </w:rPr>
        <w:t xml:space="preserve"> Peking University</w:t>
      </w:r>
      <w:r>
        <w:rPr>
          <w:rFonts w:eastAsia="楷体"/>
          <w:sz w:val="24"/>
        </w:rPr>
        <w:t>)</w:t>
      </w:r>
    </w:p>
    <w:p>
      <w:pPr>
        <w:spacing w:before="156" w:beforeLines="50" w:after="156" w:afterLines="50"/>
        <w:jc w:val="center"/>
        <w:rPr>
          <w:rFonts w:ascii="Times New Roman" w:hAnsi="Times New Roman" w:eastAsia="楷体"/>
          <w:b/>
          <w:kern w:val="0"/>
          <w:sz w:val="24"/>
          <w:szCs w:val="20"/>
        </w:rPr>
      </w:pPr>
      <w:r>
        <w:rPr>
          <w:rFonts w:ascii="Times New Roman" w:hAnsi="Times New Roman" w:eastAsia="楷体"/>
          <w:b/>
          <w:kern w:val="0"/>
          <w:sz w:val="24"/>
          <w:szCs w:val="20"/>
        </w:rPr>
        <w:t xml:space="preserve">JINGYI </w:t>
      </w:r>
      <w:r>
        <w:rPr>
          <w:rFonts w:hint="eastAsia" w:ascii="Times New Roman" w:hAnsi="Times New Roman" w:eastAsia="楷体"/>
          <w:b/>
          <w:kern w:val="0"/>
          <w:sz w:val="24"/>
          <w:szCs w:val="20"/>
        </w:rPr>
        <w:t>WANG</w:t>
      </w:r>
      <w:r>
        <w:rPr>
          <w:rStyle w:val="43"/>
          <w:rFonts w:ascii="楷体" w:hAnsi="楷体"/>
        </w:rPr>
        <w:footnoteReference w:id="14" w:customMarkFollows="1"/>
        <w:t>*</w:t>
      </w:r>
    </w:p>
    <w:p>
      <w:pPr>
        <w:spacing w:before="156" w:beforeLines="50" w:after="156" w:afterLines="50"/>
        <w:jc w:val="center"/>
        <w:rPr>
          <w:rFonts w:ascii="Times New Roman" w:hAnsi="Times New Roman"/>
          <w:i/>
          <w:kern w:val="0"/>
          <w:sz w:val="24"/>
          <w:szCs w:val="20"/>
          <w:lang w:val="zh-CN" w:eastAsia="zh-CN"/>
        </w:rPr>
      </w:pPr>
      <w:r>
        <w:rPr>
          <w:rFonts w:ascii="Times New Roman" w:hAnsi="Times New Roman"/>
          <w:i/>
          <w:kern w:val="0"/>
          <w:sz w:val="24"/>
          <w:szCs w:val="20"/>
          <w:lang w:val="zh-CN" w:eastAsia="zh-CN"/>
        </w:rPr>
        <w:t xml:space="preserve">(Central University of Finance and Economics </w:t>
      </w:r>
      <w:r>
        <w:rPr>
          <w:rFonts w:hint="eastAsia" w:ascii="Times New Roman" w:hAnsi="Times New Roman"/>
          <w:i/>
          <w:kern w:val="0"/>
          <w:sz w:val="24"/>
          <w:szCs w:val="20"/>
          <w:lang w:val="zh-CN"/>
        </w:rPr>
        <w:t>&amp;</w:t>
      </w:r>
      <w:r>
        <w:rPr>
          <w:rFonts w:ascii="Times New Roman" w:hAnsi="Times New Roman"/>
          <w:i/>
          <w:kern w:val="0"/>
          <w:sz w:val="24"/>
          <w:szCs w:val="20"/>
          <w:lang w:val="zh-CN" w:eastAsia="zh-CN"/>
        </w:rPr>
        <w:t xml:space="preserve"> Peking University)</w:t>
      </w:r>
    </w:p>
    <w:p>
      <w:pPr>
        <w:spacing w:before="156" w:beforeLines="50" w:after="156" w:afterLines="50"/>
        <w:jc w:val="center"/>
        <w:rPr>
          <w:rFonts w:ascii="Times New Roman" w:hAnsi="Times New Roman" w:eastAsia="楷体"/>
          <w:b/>
          <w:kern w:val="0"/>
          <w:sz w:val="24"/>
          <w:szCs w:val="20"/>
        </w:rPr>
      </w:pPr>
      <w:r>
        <w:rPr>
          <w:rFonts w:hint="eastAsia" w:ascii="Times New Roman" w:hAnsi="Times New Roman" w:eastAsia="楷体"/>
          <w:b/>
          <w:kern w:val="0"/>
          <w:sz w:val="24"/>
          <w:szCs w:val="20"/>
        </w:rPr>
        <w:t>FANG</w:t>
      </w:r>
      <w:r>
        <w:rPr>
          <w:rFonts w:ascii="Times New Roman" w:hAnsi="Times New Roman" w:eastAsia="楷体"/>
          <w:b/>
          <w:kern w:val="0"/>
          <w:sz w:val="24"/>
          <w:szCs w:val="20"/>
        </w:rPr>
        <w:t xml:space="preserve"> </w:t>
      </w:r>
      <w:r>
        <w:rPr>
          <w:rFonts w:hint="eastAsia" w:ascii="Times New Roman" w:hAnsi="Times New Roman" w:eastAsia="楷体"/>
          <w:b/>
          <w:kern w:val="0"/>
          <w:sz w:val="24"/>
          <w:szCs w:val="20"/>
        </w:rPr>
        <w:t>WANG</w:t>
      </w:r>
      <w:r>
        <w:rPr>
          <w:rFonts w:ascii="Times New Roman" w:hAnsi="Times New Roman" w:eastAsia="楷体"/>
          <w:b/>
          <w:kern w:val="0"/>
          <w:sz w:val="24"/>
          <w:szCs w:val="20"/>
        </w:rPr>
        <w:t xml:space="preserve">  </w:t>
      </w:r>
      <w:r>
        <w:rPr>
          <w:rFonts w:hint="eastAsia" w:ascii="Times New Roman" w:hAnsi="Times New Roman" w:eastAsia="楷体"/>
          <w:b/>
          <w:kern w:val="0"/>
          <w:sz w:val="24"/>
          <w:szCs w:val="20"/>
        </w:rPr>
        <w:t>ZHIYUN</w:t>
      </w:r>
      <w:r>
        <w:rPr>
          <w:rFonts w:ascii="Times New Roman" w:hAnsi="Times New Roman" w:eastAsia="楷体"/>
          <w:b/>
          <w:kern w:val="0"/>
          <w:sz w:val="24"/>
          <w:szCs w:val="20"/>
        </w:rPr>
        <w:t xml:space="preserve"> </w:t>
      </w:r>
      <w:r>
        <w:rPr>
          <w:rFonts w:hint="eastAsia" w:ascii="Times New Roman" w:hAnsi="Times New Roman" w:eastAsia="楷体"/>
          <w:b/>
          <w:kern w:val="0"/>
          <w:sz w:val="24"/>
          <w:szCs w:val="20"/>
        </w:rPr>
        <w:t>CHENG</w:t>
      </w:r>
    </w:p>
    <w:p>
      <w:pPr>
        <w:spacing w:before="156" w:beforeLines="50" w:after="156" w:afterLines="50"/>
        <w:jc w:val="center"/>
        <w:rPr>
          <w:rFonts w:ascii="Times New Roman" w:hAnsi="Times New Roman"/>
          <w:i/>
          <w:kern w:val="0"/>
          <w:sz w:val="24"/>
          <w:szCs w:val="20"/>
          <w:lang w:val="zh-CN" w:eastAsia="zh-CN"/>
        </w:rPr>
      </w:pPr>
      <w:r>
        <w:rPr>
          <w:rFonts w:hint="eastAsia" w:ascii="Times New Roman" w:hAnsi="Times New Roman"/>
          <w:i/>
          <w:kern w:val="0"/>
          <w:sz w:val="24"/>
          <w:szCs w:val="20"/>
          <w:lang w:val="zh-CN" w:eastAsia="zh-CN"/>
        </w:rPr>
        <w:t>（</w:t>
      </w:r>
      <w:r>
        <w:rPr>
          <w:rFonts w:ascii="Times New Roman" w:hAnsi="Times New Roman"/>
          <w:i/>
          <w:kern w:val="0"/>
          <w:sz w:val="24"/>
          <w:szCs w:val="20"/>
          <w:lang w:val="zh-CN" w:eastAsia="zh-CN"/>
        </w:rPr>
        <w:t>Ant Financial Services Group</w:t>
      </w:r>
      <w:r>
        <w:rPr>
          <w:rFonts w:hint="eastAsia" w:ascii="Times New Roman" w:hAnsi="Times New Roman"/>
          <w:i/>
          <w:kern w:val="0"/>
          <w:sz w:val="24"/>
          <w:szCs w:val="20"/>
          <w:lang w:val="zh-CN" w:eastAsia="zh-CN"/>
        </w:rPr>
        <w:t>）</w:t>
      </w:r>
    </w:p>
    <w:p>
      <w:pPr>
        <w:jc w:val="center"/>
        <w:rPr>
          <w:rFonts w:ascii="Times New Roman" w:hAnsi="Times New Roman"/>
          <w:b/>
          <w:sz w:val="24"/>
          <w:szCs w:val="24"/>
          <w:lang w:val="zh-CN"/>
        </w:rPr>
      </w:pPr>
      <w:r>
        <w:rPr>
          <w:rFonts w:hint="eastAsia" w:ascii="Times New Roman" w:hAnsi="Times New Roman"/>
          <w:b/>
          <w:sz w:val="24"/>
          <w:szCs w:val="24"/>
          <w:lang w:val="zh-CN"/>
        </w:rPr>
        <w:t>TAO</w:t>
      </w:r>
      <w:r>
        <w:rPr>
          <w:rFonts w:ascii="Times New Roman" w:hAnsi="Times New Roman"/>
          <w:b/>
          <w:sz w:val="24"/>
          <w:szCs w:val="24"/>
          <w:lang w:val="zh-CN"/>
        </w:rPr>
        <w:t xml:space="preserve"> </w:t>
      </w:r>
      <w:r>
        <w:rPr>
          <w:rFonts w:hint="eastAsia" w:ascii="Times New Roman" w:hAnsi="Times New Roman"/>
          <w:b/>
          <w:sz w:val="24"/>
          <w:szCs w:val="24"/>
          <w:lang w:val="zh-CN"/>
        </w:rPr>
        <w:t>KONG</w:t>
      </w:r>
    </w:p>
    <w:p>
      <w:pPr>
        <w:pStyle w:val="124"/>
        <w:spacing w:before="156" w:beforeLines="50" w:after="156" w:afterLines="50" w:line="240" w:lineRule="auto"/>
        <w:ind w:firstLineChars="0"/>
        <w:jc w:val="center"/>
        <w:rPr>
          <w:rFonts w:eastAsia="楷体"/>
          <w:sz w:val="24"/>
        </w:rPr>
      </w:pPr>
      <w:r>
        <w:rPr>
          <w:rFonts w:eastAsia="楷体"/>
          <w:sz w:val="24"/>
        </w:rPr>
        <w:t>(</w:t>
      </w:r>
      <w:r>
        <w:rPr>
          <w:i/>
          <w:sz w:val="24"/>
        </w:rPr>
        <w:t>Peking University</w:t>
      </w:r>
      <w:r>
        <w:rPr>
          <w:rFonts w:eastAsia="楷体"/>
          <w:sz w:val="24"/>
        </w:rPr>
        <w:t>)</w:t>
      </w:r>
    </w:p>
    <w:p>
      <w:pPr>
        <w:jc w:val="center"/>
        <w:rPr>
          <w:rFonts w:ascii="Times New Roman" w:hAnsi="Times New Roman"/>
          <w:b/>
          <w:sz w:val="24"/>
          <w:szCs w:val="24"/>
          <w:lang w:val="zh-CN"/>
        </w:rPr>
      </w:pPr>
      <w:r>
        <w:rPr>
          <w:rFonts w:hint="eastAsia" w:ascii="Times New Roman" w:hAnsi="Times New Roman"/>
          <w:b/>
          <w:sz w:val="24"/>
          <w:szCs w:val="24"/>
          <w:lang w:val="zh-CN"/>
        </w:rPr>
        <w:t>XUN</w:t>
      </w:r>
      <w:r>
        <w:rPr>
          <w:rFonts w:ascii="Times New Roman" w:hAnsi="Times New Roman"/>
          <w:b/>
          <w:sz w:val="24"/>
          <w:szCs w:val="24"/>
          <w:lang w:val="zh-CN"/>
        </w:rPr>
        <w:t xml:space="preserve"> </w:t>
      </w:r>
      <w:r>
        <w:rPr>
          <w:rFonts w:hint="eastAsia" w:ascii="Times New Roman" w:hAnsi="Times New Roman"/>
          <w:b/>
          <w:sz w:val="24"/>
          <w:szCs w:val="24"/>
          <w:lang w:val="zh-CN"/>
        </w:rPr>
        <w:t>ZHANG</w:t>
      </w:r>
    </w:p>
    <w:p>
      <w:pPr>
        <w:pStyle w:val="124"/>
        <w:spacing w:before="156" w:beforeLines="50" w:after="156" w:afterLines="50" w:line="240" w:lineRule="auto"/>
        <w:ind w:firstLineChars="0"/>
        <w:jc w:val="center"/>
        <w:rPr>
          <w:i/>
          <w:sz w:val="24"/>
        </w:rPr>
      </w:pPr>
      <w:r>
        <w:rPr>
          <w:rFonts w:hint="eastAsia"/>
          <w:i/>
          <w:sz w:val="24"/>
        </w:rPr>
        <w:t>（</w:t>
      </w:r>
      <w:r>
        <w:rPr>
          <w:i/>
          <w:sz w:val="24"/>
        </w:rPr>
        <w:t xml:space="preserve">Beijing Normal University </w:t>
      </w:r>
      <w:r>
        <w:rPr>
          <w:rFonts w:hint="eastAsia"/>
          <w:i/>
          <w:sz w:val="24"/>
        </w:rPr>
        <w:t>&amp;</w:t>
      </w:r>
      <w:r>
        <w:rPr>
          <w:i/>
          <w:sz w:val="24"/>
        </w:rPr>
        <w:t xml:space="preserve"> Peking University)</w:t>
      </w:r>
    </w:p>
    <w:p>
      <w:pPr>
        <w:widowControl/>
        <w:ind w:firstLine="360" w:firstLineChars="200"/>
        <w:rPr>
          <w:rFonts w:ascii="Times New Roman" w:hAnsi="Times New Roman" w:eastAsiaTheme="minorEastAsia"/>
          <w:sz w:val="18"/>
          <w:szCs w:val="18"/>
        </w:rPr>
      </w:pPr>
      <w:r>
        <w:rPr>
          <w:rFonts w:ascii="Times New Roman" w:hAnsi="Times New Roman" w:eastAsiaTheme="minorEastAsia"/>
          <w:b/>
          <w:sz w:val="18"/>
          <w:szCs w:val="18"/>
        </w:rPr>
        <w:t>Abstract:</w:t>
      </w:r>
      <w:r>
        <w:rPr>
          <w:rFonts w:ascii="Times New Roman" w:hAnsi="Times New Roman" w:eastAsiaTheme="minorEastAsia"/>
          <w:sz w:val="18"/>
          <w:szCs w:val="18"/>
        </w:rPr>
        <w:t xml:space="preserve"> Enabled by innovative technologies such as intelligent algorithms, Big Data and cloud computing, digital finance has demonstrated great potential for enhancing financial inclusion. Compared with traditional financial institutions, digital finance offers financial services to a wider population at a lower cost. Over the past one and half decades, China has established the largest and arguably most dynamic digital finance sector in the world. Using a large dataset provided by a dominant firm in China’s digital financial industry, we compiled the Peking University Digital Financial Inclusion Index of China to present an accurate and in-depth depiction of how digital financial inclusion has developed in China. Our index covers approximately 2800 counties</w:t>
      </w:r>
      <w:r>
        <w:rPr>
          <w:rFonts w:hint="eastAsia" w:ascii="Times New Roman" w:hAnsi="Times New Roman" w:eastAsiaTheme="minorEastAsia"/>
          <w:sz w:val="18"/>
          <w:szCs w:val="18"/>
        </w:rPr>
        <w:t>,</w:t>
      </w:r>
      <w:r>
        <w:rPr>
          <w:rFonts w:ascii="Times New Roman" w:hAnsi="Times New Roman" w:eastAsiaTheme="minorEastAsia"/>
          <w:sz w:val="18"/>
          <w:szCs w:val="18"/>
        </w:rPr>
        <w:t xml:space="preserve"> 337 cities and 31 provinces, over the period 2011-2018. In this paper, we describe the methodology of constructing this index before characterizing the current status of digital financial inclusion in China. We show that digital finance has demonstrated a clear trend of regional convergence and its development exhibited spatial agglomeration and heterogeneity.</w:t>
      </w:r>
    </w:p>
    <w:p>
      <w:pPr>
        <w:widowControl/>
        <w:ind w:firstLine="360" w:firstLineChars="200"/>
        <w:jc w:val="left"/>
        <w:rPr>
          <w:rFonts w:ascii="Times New Roman" w:hAnsi="Times New Roman" w:eastAsiaTheme="minorEastAsia"/>
          <w:sz w:val="18"/>
          <w:szCs w:val="18"/>
        </w:rPr>
      </w:pPr>
      <w:r>
        <w:rPr>
          <w:rFonts w:ascii="Times New Roman" w:hAnsi="Times New Roman" w:eastAsiaTheme="minorEastAsia"/>
          <w:b/>
          <w:sz w:val="18"/>
          <w:szCs w:val="18"/>
        </w:rPr>
        <w:t xml:space="preserve">Keywords: </w:t>
      </w:r>
      <w:r>
        <w:rPr>
          <w:rFonts w:ascii="Times New Roman" w:hAnsi="Times New Roman" w:eastAsiaTheme="minorEastAsia"/>
          <w:sz w:val="18"/>
          <w:szCs w:val="18"/>
        </w:rPr>
        <w:t>Digital Finance, Financial Inclusion, Analytic Hierarchy Process</w:t>
      </w:r>
    </w:p>
    <w:p>
      <w:pPr>
        <w:widowControl/>
        <w:ind w:firstLine="360" w:firstLineChars="200"/>
        <w:jc w:val="left"/>
        <w:rPr>
          <w:rFonts w:ascii="Times New Roman" w:hAnsi="Times New Roman" w:eastAsiaTheme="minorEastAsia"/>
          <w:sz w:val="18"/>
          <w:szCs w:val="18"/>
        </w:rPr>
      </w:pPr>
      <w:r>
        <w:rPr>
          <w:rFonts w:ascii="Times New Roman" w:hAnsi="Times New Roman" w:eastAsiaTheme="minorEastAsia"/>
          <w:b/>
          <w:sz w:val="18"/>
          <w:szCs w:val="18"/>
        </w:rPr>
        <w:t>JEL Classification:</w:t>
      </w:r>
      <w:r>
        <w:rPr>
          <w:rFonts w:ascii="Times New Roman" w:hAnsi="Times New Roman" w:eastAsiaTheme="minorEastAsia"/>
          <w:sz w:val="18"/>
          <w:szCs w:val="18"/>
        </w:rPr>
        <w:t xml:space="preserve"> G2</w:t>
      </w:r>
      <w:r>
        <w:rPr>
          <w:rFonts w:hint="eastAsia" w:ascii="Times New Roman" w:hAnsi="Times New Roman" w:eastAsiaTheme="minorEastAsia"/>
          <w:sz w:val="18"/>
          <w:szCs w:val="18"/>
        </w:rPr>
        <w:t>0</w:t>
      </w:r>
      <w:r>
        <w:rPr>
          <w:rFonts w:ascii="Times New Roman" w:hAnsi="Times New Roman" w:eastAsiaTheme="minorEastAsia"/>
          <w:sz w:val="18"/>
          <w:szCs w:val="18"/>
        </w:rPr>
        <w:t xml:space="preserve">, </w:t>
      </w:r>
      <w:r>
        <w:rPr>
          <w:rFonts w:hint="eastAsia" w:ascii="Times New Roman" w:hAnsi="Times New Roman" w:eastAsiaTheme="minorEastAsia"/>
          <w:sz w:val="18"/>
          <w:szCs w:val="18"/>
        </w:rPr>
        <w:t>G10</w:t>
      </w:r>
      <w:r>
        <w:rPr>
          <w:rFonts w:ascii="Times New Roman" w:hAnsi="Times New Roman" w:eastAsiaTheme="minorEastAsia"/>
          <w:sz w:val="18"/>
          <w:szCs w:val="18"/>
        </w:rPr>
        <w:t>, O16</w:t>
      </w:r>
    </w:p>
    <w:p>
      <w:pPr>
        <w:widowControl/>
        <w:jc w:val="left"/>
        <w:rPr>
          <w:rFonts w:ascii="宋体"/>
          <w:b/>
          <w:kern w:val="0"/>
          <w:sz w:val="24"/>
          <w:szCs w:val="24"/>
        </w:rPr>
      </w:pPr>
    </w:p>
    <w:sectPr>
      <w:footerReference r:id="rId4" w:type="default"/>
      <w:footnotePr>
        <w:numFmt w:val="decimalEnclosedCircleChinese"/>
        <w:numRestart w:val="eachPage"/>
      </w:footnotePr>
      <w:pgSz w:w="11906" w:h="16838"/>
      <w:pgMar w:top="1440" w:right="1800" w:bottom="1440" w:left="1800" w:header="907" w:footer="45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TSong">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000001FF" w:csb1="00000000"/>
  </w:font>
  <w:font w:name="Verdana">
    <w:panose1 w:val="020B0604030504040204"/>
    <w:charset w:val="00"/>
    <w:family w:val="swiss"/>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方正仿宋_GBK">
    <w:panose1 w:val="02000000000000000000"/>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1" w:csb1="00000000"/>
  </w:font>
  <w:font w:name="MS Gothic">
    <w:altName w:val="苹方-简"/>
    <w:panose1 w:val="020B0609070205080204"/>
    <w:charset w:val="80"/>
    <w:family w:val="modern"/>
    <w:pitch w:val="default"/>
    <w:sig w:usb0="00000000" w:usb1="00000000" w:usb2="08000012" w:usb3="00000000" w:csb0="0002009F" w:csb1="00000000"/>
  </w:font>
  <w:font w:name="Tahoma">
    <w:panose1 w:val="020B0604030504040204"/>
    <w:charset w:val="00"/>
    <w:family w:val="swiss"/>
    <w:pitch w:val="default"/>
    <w:sig w:usb0="00000000" w:usb1="00000000" w:usb2="00000000" w:usb3="00000000" w:csb0="00000000" w:csb1="00000000"/>
  </w:font>
  <w:font w:name="楷体_GB2312">
    <w:altName w:val="汉仪楷体简"/>
    <w:panose1 w:val="00000000000000000000"/>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0" w:usb1="00000000" w:usb2="00000000" w:usb3="00000000" w:csb0="000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time">
    <w:altName w:val="苹方-简"/>
    <w:panose1 w:val="00000000000000000000"/>
    <w:charset w:val="00"/>
    <w:family w:val="roman"/>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00000000" w:usb1="00000000" w:usb2="00000000" w:usb3="00000000" w:csb0="00000000" w:csb1="00000000"/>
  </w:font>
  <w:font w:name="AdobeHeitiStd-Regular">
    <w:altName w:val="苹方-简"/>
    <w:panose1 w:val="00000000000000000000"/>
    <w:charset w:val="86"/>
    <w:family w:val="auto"/>
    <w:pitch w:val="default"/>
    <w:sig w:usb0="00000000" w:usb1="00000000" w:usb2="00000010" w:usb3="00000000" w:csb0="00040000" w:csb1="00000000"/>
  </w:font>
  <w:font w:name="DY31+ZITLuW-31">
    <w:altName w:val="苹方-简"/>
    <w:panose1 w:val="00000000000000000000"/>
    <w:charset w:val="86"/>
    <w:family w:val="auto"/>
    <w:pitch w:val="default"/>
    <w:sig w:usb0="00000000" w:usb1="00000000" w:usb2="00000010" w:usb3="00000000" w:csb0="00040000" w:csb1="00000000"/>
  </w:font>
  <w:font w:name="DY7+ZITLuV-7">
    <w:altName w:val="苹方-简"/>
    <w:panose1 w:val="00000000000000000000"/>
    <w:charset w:val="86"/>
    <w:family w:val="auto"/>
    <w:pitch w:val="default"/>
    <w:sig w:usb0="00000000" w:usb1="00000000" w:usb2="00000010" w:usb3="00000000" w:csb0="00040000" w:csb1="00000000"/>
  </w:font>
  <w:font w:name="E-BZ+ZEbGB6-2">
    <w:altName w:val="苹方-简"/>
    <w:panose1 w:val="00000000000000000000"/>
    <w:charset w:val="86"/>
    <w:family w:val="auto"/>
    <w:pitch w:val="default"/>
    <w:sig w:usb0="00000000" w:usb1="00000000" w:usb2="00000010" w:usb3="00000000" w:csb0="00040000" w:csb1="00000000"/>
  </w:font>
  <w:font w:name="DINPro">
    <w:altName w:val="苹方-简"/>
    <w:panose1 w:val="00000000000000000000"/>
    <w:charset w:val="86"/>
    <w:family w:val="auto"/>
    <w:pitch w:val="default"/>
    <w:sig w:usb0="00000000" w:usb1="00000000" w:usb2="00000010" w:usb3="00000000" w:csb0="00040000" w:csb1="00000000"/>
  </w:font>
  <w:font w:name="宋体-简">
    <w:panose1 w:val="02010600040101010101"/>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lang w:val="zh-CN"/>
      </w:rPr>
    </w:pPr>
    <w:r>
      <mc:AlternateContent>
        <mc:Choice Requires="wps">
          <w:drawing>
            <wp:anchor distT="0" distB="0" distL="114300" distR="114300" simplePos="0" relativeHeight="251660288" behindDoc="0" locked="0" layoutInCell="1" allowOverlap="1">
              <wp:simplePos x="0" y="0"/>
              <wp:positionH relativeFrom="margin">
                <wp:posOffset>-782320</wp:posOffset>
              </wp:positionH>
              <wp:positionV relativeFrom="paragraph">
                <wp:posOffset>3067050</wp:posOffset>
              </wp:positionV>
              <wp:extent cx="7905750" cy="647700"/>
              <wp:effectExtent l="8255" t="9525" r="10795" b="9525"/>
              <wp:wrapNone/>
              <wp:docPr id="8" name="Rectangle 30"/>
              <wp:cNvGraphicFramePr/>
              <a:graphic xmlns:a="http://schemas.openxmlformats.org/drawingml/2006/main">
                <a:graphicData uri="http://schemas.microsoft.com/office/word/2010/wordprocessingShape">
                  <wps:wsp>
                    <wps:cNvSpPr>
                      <a:spLocks noChangeArrowheads="1"/>
                    </wps:cNvSpPr>
                    <wps:spPr bwMode="auto">
                      <a:xfrm>
                        <a:off x="0" y="0"/>
                        <a:ext cx="7905750" cy="647700"/>
                      </a:xfrm>
                      <a:prstGeom prst="rect">
                        <a:avLst/>
                      </a:prstGeom>
                      <a:solidFill>
                        <a:srgbClr val="548DD4"/>
                      </a:solidFill>
                      <a:ln w="9525">
                        <a:solidFill>
                          <a:srgbClr val="548DD4"/>
                        </a:solidFill>
                        <a:miter lim="800000"/>
                      </a:ln>
                    </wps:spPr>
                    <wps:txbx>
                      <w:txbxContent>
                        <w:p>
                          <w:pPr>
                            <w:pStyle w:val="19"/>
                            <w:jc w:val="center"/>
                            <w:rPr>
                              <w:rFonts w:ascii="楷体_GB2312" w:hAnsi="宋体" w:eastAsia="楷体_GB2312"/>
                              <w:b/>
                              <w:color w:val="FFFFFF"/>
                              <w:sz w:val="24"/>
                              <w:szCs w:val="24"/>
                            </w:rPr>
                          </w:pPr>
                          <w:r>
                            <w:rPr>
                              <w:rFonts w:ascii="楷体_GB2312" w:hAnsi="宋体" w:eastAsia="楷体_GB2312"/>
                              <w:b/>
                              <w:color w:val="FFFFFF"/>
                              <w:sz w:val="24"/>
                              <w:szCs w:val="24"/>
                            </w:rPr>
                            <w:t>SFI</w:t>
                          </w:r>
                          <w:r>
                            <w:rPr>
                              <w:rFonts w:hint="eastAsia" w:ascii="楷体_GB2312" w:hAnsi="宋体" w:eastAsia="楷体_GB2312"/>
                              <w:b/>
                              <w:color w:val="FFFFFF"/>
                              <w:sz w:val="24"/>
                              <w:szCs w:val="24"/>
                            </w:rPr>
                            <w:t>课题报告</w:t>
                          </w:r>
                          <w:r>
                            <w:rPr>
                              <w:rFonts w:ascii="楷体_GB2312" w:hAnsi="宋体" w:eastAsia="楷体_GB2312"/>
                              <w:b/>
                              <w:color w:val="FFFFFF"/>
                              <w:sz w:val="24"/>
                              <w:szCs w:val="24"/>
                            </w:rPr>
                            <w:t xml:space="preserve">                    </w:t>
                          </w:r>
                          <w:r>
                            <w:fldChar w:fldCharType="begin"/>
                          </w:r>
                          <w:r>
                            <w:instrText xml:space="preserve"> PAGE   \* MERGEFORMAT </w:instrText>
                          </w:r>
                          <w:r>
                            <w:fldChar w:fldCharType="separate"/>
                          </w:r>
                          <w:r>
                            <w:rPr>
                              <w:rFonts w:ascii="楷体_GB2312" w:hAnsi="宋体" w:eastAsia="楷体_GB2312"/>
                              <w:b/>
                              <w:color w:val="FFFFFF"/>
                              <w:sz w:val="24"/>
                              <w:szCs w:val="24"/>
                              <w:lang w:val="zh-CN"/>
                            </w:rPr>
                            <w:t>20</w:t>
                          </w:r>
                          <w:r>
                            <w:rPr>
                              <w:rFonts w:ascii="楷体_GB2312" w:hAnsi="宋体" w:eastAsia="楷体_GB2312"/>
                              <w:b/>
                              <w:color w:val="FFFFFF"/>
                              <w:sz w:val="24"/>
                              <w:szCs w:val="24"/>
                              <w:lang w:val="zh-CN"/>
                            </w:rPr>
                            <w:fldChar w:fldCharType="end"/>
                          </w:r>
                          <w:r>
                            <w:rPr>
                              <w:rFonts w:ascii="楷体_GB2312" w:hAnsi="宋体" w:eastAsia="楷体_GB2312"/>
                              <w:b/>
                              <w:color w:val="FFFFFF"/>
                              <w:sz w:val="24"/>
                              <w:szCs w:val="24"/>
                            </w:rPr>
                            <w:t xml:space="preserve">                    2015</w:t>
                          </w:r>
                          <w:r>
                            <w:rPr>
                              <w:rFonts w:hint="eastAsia" w:ascii="楷体_GB2312" w:hAnsi="宋体" w:eastAsia="楷体_GB2312"/>
                              <w:b/>
                              <w:color w:val="FFFFFF"/>
                              <w:sz w:val="24"/>
                              <w:szCs w:val="24"/>
                            </w:rPr>
                            <w:t>年</w:t>
                          </w:r>
                          <w:r>
                            <w:rPr>
                              <w:rFonts w:ascii="楷体_GB2312" w:hAnsi="宋体" w:eastAsia="楷体_GB2312"/>
                              <w:b/>
                              <w:color w:val="FFFFFF"/>
                              <w:sz w:val="24"/>
                              <w:szCs w:val="24"/>
                            </w:rPr>
                            <w:t>04</w:t>
                          </w:r>
                          <w:r>
                            <w:rPr>
                              <w:rFonts w:hint="eastAsia" w:ascii="楷体_GB2312" w:hAnsi="宋体" w:eastAsia="楷体_GB2312"/>
                              <w:b/>
                              <w:color w:val="FFFFFF"/>
                              <w:sz w:val="24"/>
                              <w:szCs w:val="24"/>
                            </w:rPr>
                            <w:t>月</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61.6pt;margin-top:241.5pt;height:51pt;width:622.5pt;mso-position-horizontal-relative:margin;z-index:251660288;mso-width-relative:page;mso-height-relative:page;" fillcolor="#548DD4" filled="t" stroked="t" coordsize="21600,21600" o:gfxdata="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Ajd6sfcAAAADQEAAA8AAAAAAAAA&#10;AQAgAAAAOAAAAGRycy9kb3ducmV2LnhtbFBLAQIUABQAAAAIAIdO4kDIWw6RMAIAAH4EAAAOAAAA&#10;AAAAAAEAIAAAAEEBAABkcnMvZTJvRG9jLnhtbFBLBQYAAAAABgAGAFkBAADjBQAAAAA=&#10;">
              <v:fill on="t" focussize="0,0"/>
              <v:stroke color="#548DD4" miterlimit="8" joinstyle="miter"/>
              <v:imagedata o:title=""/>
              <o:lock v:ext="edit" aspectratio="f"/>
              <v:textbox>
                <w:txbxContent>
                  <w:p>
                    <w:pPr>
                      <w:pStyle w:val="19"/>
                      <w:jc w:val="center"/>
                      <w:rPr>
                        <w:rFonts w:ascii="楷体_GB2312" w:hAnsi="宋体" w:eastAsia="楷体_GB2312"/>
                        <w:b/>
                        <w:color w:val="FFFFFF"/>
                        <w:sz w:val="24"/>
                        <w:szCs w:val="24"/>
                      </w:rPr>
                    </w:pPr>
                    <w:r>
                      <w:rPr>
                        <w:rFonts w:ascii="楷体_GB2312" w:hAnsi="宋体" w:eastAsia="楷体_GB2312"/>
                        <w:b/>
                        <w:color w:val="FFFFFF"/>
                        <w:sz w:val="24"/>
                        <w:szCs w:val="24"/>
                      </w:rPr>
                      <w:t>SFI</w:t>
                    </w:r>
                    <w:r>
                      <w:rPr>
                        <w:rFonts w:hint="eastAsia" w:ascii="楷体_GB2312" w:hAnsi="宋体" w:eastAsia="楷体_GB2312"/>
                        <w:b/>
                        <w:color w:val="FFFFFF"/>
                        <w:sz w:val="24"/>
                        <w:szCs w:val="24"/>
                      </w:rPr>
                      <w:t>课题报告</w:t>
                    </w:r>
                    <w:r>
                      <w:rPr>
                        <w:rFonts w:ascii="楷体_GB2312" w:hAnsi="宋体" w:eastAsia="楷体_GB2312"/>
                        <w:b/>
                        <w:color w:val="FFFFFF"/>
                        <w:sz w:val="24"/>
                        <w:szCs w:val="24"/>
                      </w:rPr>
                      <w:t xml:space="preserve">                    </w:t>
                    </w:r>
                    <w:r>
                      <w:fldChar w:fldCharType="begin"/>
                    </w:r>
                    <w:r>
                      <w:instrText xml:space="preserve"> PAGE   \* MERGEFORMAT </w:instrText>
                    </w:r>
                    <w:r>
                      <w:fldChar w:fldCharType="separate"/>
                    </w:r>
                    <w:r>
                      <w:rPr>
                        <w:rFonts w:ascii="楷体_GB2312" w:hAnsi="宋体" w:eastAsia="楷体_GB2312"/>
                        <w:b/>
                        <w:color w:val="FFFFFF"/>
                        <w:sz w:val="24"/>
                        <w:szCs w:val="24"/>
                        <w:lang w:val="zh-CN"/>
                      </w:rPr>
                      <w:t>20</w:t>
                    </w:r>
                    <w:r>
                      <w:rPr>
                        <w:rFonts w:ascii="楷体_GB2312" w:hAnsi="宋体" w:eastAsia="楷体_GB2312"/>
                        <w:b/>
                        <w:color w:val="FFFFFF"/>
                        <w:sz w:val="24"/>
                        <w:szCs w:val="24"/>
                        <w:lang w:val="zh-CN"/>
                      </w:rPr>
                      <w:fldChar w:fldCharType="end"/>
                    </w:r>
                    <w:r>
                      <w:rPr>
                        <w:rFonts w:ascii="楷体_GB2312" w:hAnsi="宋体" w:eastAsia="楷体_GB2312"/>
                        <w:b/>
                        <w:color w:val="FFFFFF"/>
                        <w:sz w:val="24"/>
                        <w:szCs w:val="24"/>
                      </w:rPr>
                      <w:t xml:space="preserve">                    2015</w:t>
                    </w:r>
                    <w:r>
                      <w:rPr>
                        <w:rFonts w:hint="eastAsia" w:ascii="楷体_GB2312" w:hAnsi="宋体" w:eastAsia="楷体_GB2312"/>
                        <w:b/>
                        <w:color w:val="FFFFFF"/>
                        <w:sz w:val="24"/>
                        <w:szCs w:val="24"/>
                      </w:rPr>
                      <w:t>年</w:t>
                    </w:r>
                    <w:r>
                      <w:rPr>
                        <w:rFonts w:ascii="楷体_GB2312" w:hAnsi="宋体" w:eastAsia="楷体_GB2312"/>
                        <w:b/>
                        <w:color w:val="FFFFFF"/>
                        <w:sz w:val="24"/>
                        <w:szCs w:val="24"/>
                      </w:rPr>
                      <w:t>04</w:t>
                    </w:r>
                    <w:r>
                      <w:rPr>
                        <w:rFonts w:hint="eastAsia" w:ascii="楷体_GB2312" w:hAnsi="宋体" w:eastAsia="楷体_GB2312"/>
                        <w:b/>
                        <w:color w:val="FFFFFF"/>
                        <w:sz w:val="24"/>
                        <w:szCs w:val="24"/>
                      </w:rPr>
                      <w:t>月</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margin">
                <wp:posOffset>-782320</wp:posOffset>
              </wp:positionH>
              <wp:positionV relativeFrom="paragraph">
                <wp:posOffset>3067050</wp:posOffset>
              </wp:positionV>
              <wp:extent cx="7905750" cy="647700"/>
              <wp:effectExtent l="8255" t="9525" r="10795" b="9525"/>
              <wp:wrapNone/>
              <wp:docPr id="6" name="Rectangle 29"/>
              <wp:cNvGraphicFramePr/>
              <a:graphic xmlns:a="http://schemas.openxmlformats.org/drawingml/2006/main">
                <a:graphicData uri="http://schemas.microsoft.com/office/word/2010/wordprocessingShape">
                  <wps:wsp>
                    <wps:cNvSpPr>
                      <a:spLocks noChangeArrowheads="1"/>
                    </wps:cNvSpPr>
                    <wps:spPr bwMode="auto">
                      <a:xfrm>
                        <a:off x="0" y="0"/>
                        <a:ext cx="7905750" cy="647700"/>
                      </a:xfrm>
                      <a:prstGeom prst="rect">
                        <a:avLst/>
                      </a:prstGeom>
                      <a:solidFill>
                        <a:srgbClr val="548DD4"/>
                      </a:solidFill>
                      <a:ln w="9525">
                        <a:solidFill>
                          <a:srgbClr val="548DD4"/>
                        </a:solidFill>
                        <a:miter lim="800000"/>
                      </a:ln>
                    </wps:spPr>
                    <wps:txbx>
                      <w:txbxContent>
                        <w:p>
                          <w:pPr>
                            <w:pStyle w:val="19"/>
                            <w:jc w:val="center"/>
                            <w:rPr>
                              <w:rFonts w:ascii="楷体_GB2312" w:hAnsi="宋体" w:eastAsia="楷体_GB2312"/>
                              <w:b/>
                              <w:color w:val="FFFFFF"/>
                              <w:sz w:val="24"/>
                              <w:szCs w:val="24"/>
                            </w:rPr>
                          </w:pPr>
                          <w:r>
                            <w:rPr>
                              <w:rFonts w:ascii="楷体_GB2312" w:hAnsi="宋体" w:eastAsia="楷体_GB2312"/>
                              <w:b/>
                              <w:color w:val="FFFFFF"/>
                              <w:sz w:val="24"/>
                              <w:szCs w:val="24"/>
                            </w:rPr>
                            <w:t>SFI</w:t>
                          </w:r>
                          <w:r>
                            <w:rPr>
                              <w:rFonts w:hint="eastAsia" w:ascii="楷体_GB2312" w:hAnsi="宋体" w:eastAsia="楷体_GB2312"/>
                              <w:b/>
                              <w:color w:val="FFFFFF"/>
                              <w:sz w:val="24"/>
                              <w:szCs w:val="24"/>
                            </w:rPr>
                            <w:t>课题报告</w:t>
                          </w:r>
                          <w:r>
                            <w:rPr>
                              <w:rFonts w:ascii="楷体_GB2312" w:hAnsi="宋体" w:eastAsia="楷体_GB2312"/>
                              <w:b/>
                              <w:color w:val="FFFFFF"/>
                              <w:sz w:val="24"/>
                              <w:szCs w:val="24"/>
                            </w:rPr>
                            <w:t xml:space="preserve">                    </w:t>
                          </w:r>
                          <w:r>
                            <w:fldChar w:fldCharType="begin"/>
                          </w:r>
                          <w:r>
                            <w:instrText xml:space="preserve"> PAGE   \* MERGEFORMAT </w:instrText>
                          </w:r>
                          <w:r>
                            <w:fldChar w:fldCharType="separate"/>
                          </w:r>
                          <w:r>
                            <w:rPr>
                              <w:rFonts w:ascii="楷体_GB2312" w:hAnsi="宋体" w:eastAsia="楷体_GB2312"/>
                              <w:b/>
                              <w:color w:val="FFFFFF"/>
                              <w:sz w:val="24"/>
                              <w:szCs w:val="24"/>
                              <w:lang w:val="zh-CN"/>
                            </w:rPr>
                            <w:t>20</w:t>
                          </w:r>
                          <w:r>
                            <w:rPr>
                              <w:rFonts w:ascii="楷体_GB2312" w:hAnsi="宋体" w:eastAsia="楷体_GB2312"/>
                              <w:b/>
                              <w:color w:val="FFFFFF"/>
                              <w:sz w:val="24"/>
                              <w:szCs w:val="24"/>
                              <w:lang w:val="zh-CN"/>
                            </w:rPr>
                            <w:fldChar w:fldCharType="end"/>
                          </w:r>
                          <w:r>
                            <w:rPr>
                              <w:rFonts w:ascii="楷体_GB2312" w:hAnsi="宋体" w:eastAsia="楷体_GB2312"/>
                              <w:b/>
                              <w:color w:val="FFFFFF"/>
                              <w:sz w:val="24"/>
                              <w:szCs w:val="24"/>
                            </w:rPr>
                            <w:t xml:space="preserve">                    2015</w:t>
                          </w:r>
                          <w:r>
                            <w:rPr>
                              <w:rFonts w:hint="eastAsia" w:ascii="楷体_GB2312" w:hAnsi="宋体" w:eastAsia="楷体_GB2312"/>
                              <w:b/>
                              <w:color w:val="FFFFFF"/>
                              <w:sz w:val="24"/>
                              <w:szCs w:val="24"/>
                            </w:rPr>
                            <w:t>年</w:t>
                          </w:r>
                          <w:r>
                            <w:rPr>
                              <w:rFonts w:ascii="楷体_GB2312" w:hAnsi="宋体" w:eastAsia="楷体_GB2312"/>
                              <w:b/>
                              <w:color w:val="FFFFFF"/>
                              <w:sz w:val="24"/>
                              <w:szCs w:val="24"/>
                            </w:rPr>
                            <w:t>04</w:t>
                          </w:r>
                          <w:r>
                            <w:rPr>
                              <w:rFonts w:hint="eastAsia" w:ascii="楷体_GB2312" w:hAnsi="宋体" w:eastAsia="楷体_GB2312"/>
                              <w:b/>
                              <w:color w:val="FFFFFF"/>
                              <w:sz w:val="24"/>
                              <w:szCs w:val="24"/>
                            </w:rPr>
                            <w:t>月</w:t>
                          </w:r>
                        </w:p>
                      </w:txbxContent>
                    </wps:txbx>
                    <wps:bodyPr rot="0" vert="horz" wrap="square" lIns="91440" tIns="45720" rIns="91440" bIns="45720" anchor="t" anchorCtr="0" upright="1">
                      <a:noAutofit/>
                    </wps:bodyPr>
                  </wps:wsp>
                </a:graphicData>
              </a:graphic>
            </wp:anchor>
          </w:drawing>
        </mc:Choice>
        <mc:Fallback>
          <w:pict>
            <v:rect id="Rectangle 29" o:spid="_x0000_s1026" o:spt="1" style="position:absolute;left:0pt;margin-left:-61.6pt;margin-top:241.5pt;height:51pt;width:622.5pt;mso-position-horizontal-relative:margin;z-index:251659264;mso-width-relative:page;mso-height-relative:page;" fillcolor="#548DD4" filled="t" stroked="t" coordsize="21600,21600" o:gfxdata="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Ajd6sfcAAAADQEAAA8AAAAAAAAA&#10;AQAgAAAAOAAAAGRycy9kb3ducmV2LnhtbFBLAQIUABQAAAAIAIdO4kA5fNPEMAIAAH4EAAAOAAAA&#10;AAAAAAEAIAAAAEEBAABkcnMvZTJvRG9jLnhtbFBLBQYAAAAABgAGAFkBAADjBQAAAAA=&#10;">
              <v:fill on="t" focussize="0,0"/>
              <v:stroke color="#548DD4" miterlimit="8" joinstyle="miter"/>
              <v:imagedata o:title=""/>
              <o:lock v:ext="edit" aspectratio="f"/>
              <v:textbox>
                <w:txbxContent>
                  <w:p>
                    <w:pPr>
                      <w:pStyle w:val="19"/>
                      <w:jc w:val="center"/>
                      <w:rPr>
                        <w:rFonts w:ascii="楷体_GB2312" w:hAnsi="宋体" w:eastAsia="楷体_GB2312"/>
                        <w:b/>
                        <w:color w:val="FFFFFF"/>
                        <w:sz w:val="24"/>
                        <w:szCs w:val="24"/>
                      </w:rPr>
                    </w:pPr>
                    <w:r>
                      <w:rPr>
                        <w:rFonts w:ascii="楷体_GB2312" w:hAnsi="宋体" w:eastAsia="楷体_GB2312"/>
                        <w:b/>
                        <w:color w:val="FFFFFF"/>
                        <w:sz w:val="24"/>
                        <w:szCs w:val="24"/>
                      </w:rPr>
                      <w:t>SFI</w:t>
                    </w:r>
                    <w:r>
                      <w:rPr>
                        <w:rFonts w:hint="eastAsia" w:ascii="楷体_GB2312" w:hAnsi="宋体" w:eastAsia="楷体_GB2312"/>
                        <w:b/>
                        <w:color w:val="FFFFFF"/>
                        <w:sz w:val="24"/>
                        <w:szCs w:val="24"/>
                      </w:rPr>
                      <w:t>课题报告</w:t>
                    </w:r>
                    <w:r>
                      <w:rPr>
                        <w:rFonts w:ascii="楷体_GB2312" w:hAnsi="宋体" w:eastAsia="楷体_GB2312"/>
                        <w:b/>
                        <w:color w:val="FFFFFF"/>
                        <w:sz w:val="24"/>
                        <w:szCs w:val="24"/>
                      </w:rPr>
                      <w:t xml:space="preserve">                    </w:t>
                    </w:r>
                    <w:r>
                      <w:fldChar w:fldCharType="begin"/>
                    </w:r>
                    <w:r>
                      <w:instrText xml:space="preserve"> PAGE   \* MERGEFORMAT </w:instrText>
                    </w:r>
                    <w:r>
                      <w:fldChar w:fldCharType="separate"/>
                    </w:r>
                    <w:r>
                      <w:rPr>
                        <w:rFonts w:ascii="楷体_GB2312" w:hAnsi="宋体" w:eastAsia="楷体_GB2312"/>
                        <w:b/>
                        <w:color w:val="FFFFFF"/>
                        <w:sz w:val="24"/>
                        <w:szCs w:val="24"/>
                        <w:lang w:val="zh-CN"/>
                      </w:rPr>
                      <w:t>20</w:t>
                    </w:r>
                    <w:r>
                      <w:rPr>
                        <w:rFonts w:ascii="楷体_GB2312" w:hAnsi="宋体" w:eastAsia="楷体_GB2312"/>
                        <w:b/>
                        <w:color w:val="FFFFFF"/>
                        <w:sz w:val="24"/>
                        <w:szCs w:val="24"/>
                        <w:lang w:val="zh-CN"/>
                      </w:rPr>
                      <w:fldChar w:fldCharType="end"/>
                    </w:r>
                    <w:r>
                      <w:rPr>
                        <w:rFonts w:ascii="楷体_GB2312" w:hAnsi="宋体" w:eastAsia="楷体_GB2312"/>
                        <w:b/>
                        <w:color w:val="FFFFFF"/>
                        <w:sz w:val="24"/>
                        <w:szCs w:val="24"/>
                      </w:rPr>
                      <w:t xml:space="preserve">                    2015</w:t>
                    </w:r>
                    <w:r>
                      <w:rPr>
                        <w:rFonts w:hint="eastAsia" w:ascii="楷体_GB2312" w:hAnsi="宋体" w:eastAsia="楷体_GB2312"/>
                        <w:b/>
                        <w:color w:val="FFFFFF"/>
                        <w:sz w:val="24"/>
                        <w:szCs w:val="24"/>
                      </w:rPr>
                      <w:t>年</w:t>
                    </w:r>
                    <w:r>
                      <w:rPr>
                        <w:rFonts w:ascii="楷体_GB2312" w:hAnsi="宋体" w:eastAsia="楷体_GB2312"/>
                        <w:b/>
                        <w:color w:val="FFFFFF"/>
                        <w:sz w:val="24"/>
                        <w:szCs w:val="24"/>
                      </w:rPr>
                      <w:t>04</w:t>
                    </w:r>
                    <w:r>
                      <w:rPr>
                        <w:rFonts w:hint="eastAsia" w:ascii="楷体_GB2312" w:hAnsi="宋体" w:eastAsia="楷体_GB2312"/>
                        <w:b/>
                        <w:color w:val="FFFFFF"/>
                        <w:sz w:val="24"/>
                        <w:szCs w:val="24"/>
                      </w:rPr>
                      <w:t>月</w:t>
                    </w:r>
                  </w:p>
                </w:txbxContent>
              </v:textbox>
            </v:rect>
          </w:pict>
        </mc:Fallback>
      </mc:AlternateContent>
    </w:r>
    <w:r>
      <w:fldChar w:fldCharType="begin"/>
    </w:r>
    <w:r>
      <w:instrText xml:space="preserve"> PAGE   \* MERGEFORMAT </w:instrText>
    </w:r>
    <w:r>
      <w:fldChar w:fldCharType="separate"/>
    </w:r>
    <w:r>
      <w:rPr>
        <w:lang w:val="zh-CN"/>
      </w:rPr>
      <w:t>20</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30">
    <w:p>
      <w:r>
        <w:separator/>
      </w:r>
    </w:p>
  </w:footnote>
  <w:footnote w:type="continuationSeparator" w:id="31">
    <w:p>
      <w:r>
        <w:continuationSeparator/>
      </w:r>
    </w:p>
  </w:footnote>
  <w:footnote w:id="0">
    <w:p>
      <w:pPr>
        <w:pStyle w:val="24"/>
        <w:jc w:val="both"/>
        <w:rPr>
          <w:rFonts w:ascii="Times New Roman" w:hAnsi="Times New Roman" w:eastAsia="仿宋"/>
        </w:rPr>
      </w:pPr>
      <w:r>
        <w:rPr>
          <w:rStyle w:val="43"/>
          <w:rFonts w:ascii="Times New Roman" w:hAnsi="Times New Roman" w:eastAsia="仿宋"/>
        </w:rPr>
        <w:t>*</w:t>
      </w:r>
      <w:r>
        <w:rPr>
          <w:rFonts w:hint="eastAsia" w:ascii="Times New Roman" w:hAnsi="Times New Roman" w:eastAsia="仿宋"/>
        </w:rPr>
        <w:t>郭峰：上海财经大学公共经济与管理学院、北京大学数字金融研究中心；王靖一：中央财经大学金融学院、北京大学数字金融研究中心；王芳、程志云：蚂蚁金融服务集团研究院；孔涛：北京大学中国社会科学调查中心、北京大学数字金融研究中心；张勋：北京师范大学统计学院、北京大学数字金融研究中心。通信作者及地址：王靖一，邮箱：</w:t>
      </w:r>
      <w:r>
        <w:rPr>
          <w:rFonts w:ascii="Times New Roman" w:hAnsi="Times New Roman" w:eastAsia="仿宋"/>
        </w:rPr>
        <w:t>wangjy1992@163.com</w:t>
      </w:r>
      <w:r>
        <w:rPr>
          <w:rFonts w:hint="eastAsia" w:ascii="Times New Roman" w:hAnsi="Times New Roman" w:eastAsia="仿宋"/>
        </w:rPr>
        <w:t>；电话：</w:t>
      </w:r>
      <w:r>
        <w:rPr>
          <w:rFonts w:ascii="Times New Roman" w:hAnsi="Times New Roman" w:eastAsia="仿宋"/>
        </w:rPr>
        <w:t>15201317797</w:t>
      </w:r>
      <w:r>
        <w:rPr>
          <w:rFonts w:hint="eastAsia" w:ascii="Times New Roman" w:hAnsi="Times New Roman" w:eastAsia="仿宋"/>
        </w:rPr>
        <w:t>；地址：北京市海淀区颐和园路</w:t>
      </w:r>
      <w:r>
        <w:rPr>
          <w:rFonts w:ascii="Times New Roman" w:hAnsi="Times New Roman" w:eastAsia="仿宋"/>
        </w:rPr>
        <w:t>5</w:t>
      </w:r>
      <w:r>
        <w:rPr>
          <w:rFonts w:hint="eastAsia" w:ascii="Times New Roman" w:hAnsi="Times New Roman" w:eastAsia="仿宋"/>
        </w:rPr>
        <w:t>号理科五号楼</w:t>
      </w:r>
      <w:r>
        <w:rPr>
          <w:rFonts w:ascii="Times New Roman" w:hAnsi="Times New Roman" w:eastAsia="仿宋"/>
        </w:rPr>
        <w:t>615</w:t>
      </w:r>
      <w:r>
        <w:rPr>
          <w:rFonts w:hint="eastAsia" w:ascii="Times New Roman" w:hAnsi="Times New Roman" w:eastAsia="仿宋"/>
        </w:rPr>
        <w:t>。本文获得国家社会科学基金重大项目“数字普惠金融的创新、风险与监管研究”（课题号：</w:t>
      </w:r>
      <w:r>
        <w:rPr>
          <w:rFonts w:ascii="Times New Roman" w:hAnsi="Times New Roman" w:eastAsia="仿宋"/>
        </w:rPr>
        <w:t>18ZDA091</w:t>
      </w:r>
      <w:r>
        <w:rPr>
          <w:rFonts w:hint="eastAsia" w:ascii="Times New Roman" w:hAnsi="Times New Roman" w:eastAsia="仿宋"/>
        </w:rPr>
        <w:t>）的资助，也得到了北京大学数字金融研究中心和蚂蚁金服集团课题组其他成员（李勇国、魏爱勇、阮方圆、孙涛等）以及黄益平、梁世栋、孙天琦、李振华等专家提供的宝贵意见和帮助，特此致谢。本文即将发表于《经济学季刊》，感谢三位匿名审稿人的建设性修改意见。文责自负。</w:t>
      </w:r>
    </w:p>
  </w:footnote>
  <w:footnote w:id="1">
    <w:p>
      <w:pPr>
        <w:pStyle w:val="24"/>
        <w:rPr>
          <w:rFonts w:ascii="Times New Roman" w:hAnsi="Times New Roman" w:eastAsia="仿宋"/>
        </w:rPr>
      </w:pPr>
      <w:r>
        <w:rPr>
          <w:rStyle w:val="43"/>
          <w:rFonts w:ascii="Times New Roman" w:hAnsi="Times New Roman" w:eastAsia="仿宋"/>
        </w:rPr>
        <w:footnoteRef/>
      </w:r>
      <w:r>
        <w:rPr>
          <w:rFonts w:hint="eastAsia" w:ascii="Times New Roman" w:hAnsi="Times New Roman" w:eastAsia="仿宋"/>
        </w:rPr>
        <w:t>需要说明的是，所谓“数字金融”，跟互联网金融、金融科技等概念类似，具有广义和</w:t>
      </w:r>
      <w:bookmarkStart w:id="41" w:name="_Hlk11500357"/>
      <w:r>
        <w:rPr>
          <w:rFonts w:hint="eastAsia" w:ascii="Times New Roman" w:hAnsi="Times New Roman" w:eastAsia="仿宋"/>
        </w:rPr>
        <w:t>狭义</w:t>
      </w:r>
      <w:bookmarkEnd w:id="41"/>
      <w:r>
        <w:rPr>
          <w:rFonts w:hint="eastAsia" w:ascii="Times New Roman" w:hAnsi="Times New Roman" w:eastAsia="仿宋"/>
        </w:rPr>
        <w:t>之分：广义上讲银行及其他传统金融机构以及互联网企业利用数字技术开展的金融业务，都可以称为数字金融；而狭义上数字金融则一般指互联网企业开展的新型金融模式。而所谓“数字普惠金融”，则指借助上述定义的新型数字金融模式实现的普惠金融服务。本文采用的数字金融更接近于其狭义的定义，但也不否认银行等传统金融机构其实也越来越拥抱新型数字技术，来改造其金融业务。</w:t>
      </w:r>
    </w:p>
  </w:footnote>
  <w:footnote w:id="2">
    <w:p>
      <w:pPr>
        <w:pStyle w:val="24"/>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这套指数是北京大学数字金融研究中心与蚂蚁金服集团研究院研究人员合作编制完成的，中心研究人员参与了指标体系设计、程序编写、指数校验、报告撰写等诸多环节，蚂蚁金服研究院研究人员则负责底层数据的整理和指数具体计算等工作，出于保护商业机密和消费者个人隐私的原因，蚂蚁金服没有向中心输出底层数据。</w:t>
      </w:r>
    </w:p>
  </w:footnote>
  <w:footnote w:id="3">
    <w:p>
      <w:pPr>
        <w:pStyle w:val="24"/>
        <w:jc w:val="both"/>
        <w:rPr>
          <w:rFonts w:ascii="Times New Roman" w:hAnsi="Times New Roman" w:eastAsia="仿宋"/>
        </w:rPr>
      </w:pPr>
      <w:r>
        <w:rPr>
          <w:rStyle w:val="43"/>
          <w:rFonts w:ascii="Times New Roman" w:hAnsi="Times New Roman" w:eastAsia="仿宋"/>
        </w:rPr>
        <w:footnoteRef/>
      </w:r>
      <w:r>
        <w:rPr>
          <w:rFonts w:hint="eastAsia" w:ascii="Times New Roman" w:hAnsi="Times New Roman" w:eastAsia="仿宋" w:cs="宋体"/>
          <w:kern w:val="0"/>
          <w:szCs w:val="24"/>
        </w:rPr>
        <w:t>这套数字普惠金融指数目前已经编制完成两期，</w:t>
      </w:r>
      <w:r>
        <w:rPr>
          <w:rFonts w:ascii="Times New Roman" w:hAnsi="Times New Roman" w:eastAsia="仿宋" w:cs="宋体"/>
          <w:kern w:val="0"/>
          <w:szCs w:val="24"/>
        </w:rPr>
        <w:t>2016</w:t>
      </w:r>
      <w:r>
        <w:rPr>
          <w:rFonts w:hint="eastAsia" w:ascii="Times New Roman" w:hAnsi="Times New Roman" w:eastAsia="仿宋" w:cs="宋体"/>
          <w:kern w:val="0"/>
          <w:szCs w:val="24"/>
        </w:rPr>
        <w:t>年</w:t>
      </w:r>
      <w:r>
        <w:rPr>
          <w:rFonts w:ascii="Times New Roman" w:hAnsi="Times New Roman" w:eastAsia="仿宋" w:cs="宋体"/>
          <w:kern w:val="0"/>
          <w:szCs w:val="24"/>
        </w:rPr>
        <w:t>7</w:t>
      </w:r>
      <w:r>
        <w:rPr>
          <w:rFonts w:hint="eastAsia" w:ascii="Times New Roman" w:hAnsi="Times New Roman" w:eastAsia="仿宋" w:cs="宋体"/>
          <w:kern w:val="0"/>
          <w:szCs w:val="24"/>
        </w:rPr>
        <w:t>月发布第一期（</w:t>
      </w:r>
      <w:r>
        <w:rPr>
          <w:rFonts w:ascii="Times New Roman" w:hAnsi="Times New Roman" w:eastAsia="仿宋" w:cs="宋体"/>
          <w:kern w:val="0"/>
          <w:szCs w:val="24"/>
        </w:rPr>
        <w:t>2011-2015</w:t>
      </w:r>
      <w:r>
        <w:rPr>
          <w:rFonts w:hint="eastAsia" w:ascii="Times New Roman" w:hAnsi="Times New Roman" w:eastAsia="仿宋" w:cs="宋体"/>
          <w:kern w:val="0"/>
          <w:szCs w:val="24"/>
        </w:rPr>
        <w:t>年）数据。到</w:t>
      </w:r>
      <w:r>
        <w:rPr>
          <w:rFonts w:ascii="Times New Roman" w:hAnsi="Times New Roman" w:eastAsia="仿宋" w:cs="宋体"/>
          <w:kern w:val="0"/>
          <w:szCs w:val="24"/>
        </w:rPr>
        <w:t>2019</w:t>
      </w:r>
      <w:r>
        <w:rPr>
          <w:rFonts w:hint="eastAsia" w:ascii="Times New Roman" w:hAnsi="Times New Roman" w:eastAsia="仿宋" w:cs="宋体"/>
          <w:kern w:val="0"/>
          <w:szCs w:val="24"/>
        </w:rPr>
        <w:t>年</w:t>
      </w:r>
      <w:r>
        <w:rPr>
          <w:rFonts w:ascii="Times New Roman" w:hAnsi="Times New Roman" w:eastAsia="仿宋" w:cs="宋体"/>
          <w:kern w:val="0"/>
          <w:szCs w:val="24"/>
        </w:rPr>
        <w:t>4</w:t>
      </w:r>
      <w:r>
        <w:rPr>
          <w:rFonts w:hint="eastAsia" w:ascii="Times New Roman" w:hAnsi="Times New Roman" w:eastAsia="仿宋" w:cs="宋体"/>
          <w:kern w:val="0"/>
          <w:szCs w:val="24"/>
        </w:rPr>
        <w:t>月第二期（</w:t>
      </w:r>
      <w:r>
        <w:rPr>
          <w:rFonts w:ascii="Times New Roman" w:hAnsi="Times New Roman" w:eastAsia="仿宋" w:cs="宋体"/>
          <w:kern w:val="0"/>
          <w:szCs w:val="24"/>
        </w:rPr>
        <w:t>2016-2018</w:t>
      </w:r>
      <w:r>
        <w:rPr>
          <w:rFonts w:hint="eastAsia" w:ascii="Times New Roman" w:hAnsi="Times New Roman" w:eastAsia="仿宋" w:cs="宋体"/>
          <w:kern w:val="0"/>
          <w:szCs w:val="24"/>
        </w:rPr>
        <w:t>年）数据发布时，第一期指数已至少被</w:t>
      </w:r>
      <w:r>
        <w:rPr>
          <w:rFonts w:ascii="Times New Roman" w:hAnsi="Times New Roman" w:eastAsia="仿宋" w:cs="宋体"/>
          <w:kern w:val="0"/>
          <w:szCs w:val="24"/>
        </w:rPr>
        <w:t>40</w:t>
      </w:r>
      <w:r>
        <w:rPr>
          <w:rFonts w:hint="eastAsia" w:ascii="Times New Roman" w:hAnsi="Times New Roman" w:eastAsia="仿宋" w:cs="宋体"/>
          <w:kern w:val="0"/>
          <w:szCs w:val="24"/>
        </w:rPr>
        <w:t>余篇学术论文所使用。</w:t>
      </w:r>
      <w:r>
        <w:rPr>
          <w:rFonts w:hint="eastAsia" w:ascii="Times New Roman" w:hAnsi="Times New Roman" w:eastAsia="仿宋"/>
        </w:rPr>
        <w:t>具体论文清单详见本指数报告发布版的附录。</w:t>
      </w:r>
    </w:p>
  </w:footnote>
  <w:footnote w:id="4">
    <w:p>
      <w:pPr>
        <w:pStyle w:val="24"/>
        <w:jc w:val="both"/>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在第一期指数（</w:t>
      </w:r>
      <w:r>
        <w:rPr>
          <w:rFonts w:ascii="Times New Roman" w:hAnsi="Times New Roman" w:eastAsia="仿宋"/>
        </w:rPr>
        <w:t>2011-2015</w:t>
      </w:r>
      <w:r>
        <w:rPr>
          <w:rFonts w:hint="eastAsia" w:ascii="Times New Roman" w:hAnsi="Times New Roman" w:eastAsia="仿宋"/>
        </w:rPr>
        <w:t>年）中共包含</w:t>
      </w:r>
      <w:r>
        <w:rPr>
          <w:rFonts w:ascii="Times New Roman" w:hAnsi="Times New Roman" w:eastAsia="仿宋"/>
        </w:rPr>
        <w:t>26</w:t>
      </w:r>
      <w:r>
        <w:rPr>
          <w:rFonts w:hint="eastAsia" w:ascii="Times New Roman" w:hAnsi="Times New Roman" w:eastAsia="仿宋"/>
        </w:rPr>
        <w:t>个指标。</w:t>
      </w:r>
    </w:p>
  </w:footnote>
  <w:footnote w:id="5">
    <w:p>
      <w:pPr>
        <w:pStyle w:val="24"/>
        <w:jc w:val="both"/>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这里需要特别说明的是，数字化程度当中“实惠化”、“移动化”两项的权重经过了人工干预，重新分配以保持之前</w:t>
      </w:r>
      <w:r>
        <w:rPr>
          <w:rFonts w:ascii="Times New Roman" w:hAnsi="Times New Roman" w:eastAsia="仿宋"/>
        </w:rPr>
        <w:t>2011-2015</w:t>
      </w:r>
      <w:r>
        <w:rPr>
          <w:rFonts w:hint="eastAsia" w:ascii="Times New Roman" w:hAnsi="Times New Roman" w:eastAsia="仿宋"/>
        </w:rPr>
        <w:t>期指数</w:t>
      </w:r>
      <w:r>
        <w:rPr>
          <w:rFonts w:ascii="Times New Roman" w:hAnsi="Times New Roman" w:eastAsia="仿宋"/>
        </w:rPr>
        <w:t>1</w:t>
      </w:r>
      <w:r>
        <w:rPr>
          <w:rFonts w:hint="eastAsia" w:ascii="Times New Roman" w:hAnsi="Times New Roman" w:eastAsia="仿宋"/>
        </w:rPr>
        <w:t>：</w:t>
      </w:r>
      <w:r>
        <w:rPr>
          <w:rFonts w:ascii="Times New Roman" w:hAnsi="Times New Roman" w:eastAsia="仿宋"/>
        </w:rPr>
        <w:t>2</w:t>
      </w:r>
      <w:r>
        <w:rPr>
          <w:rFonts w:hint="eastAsia" w:ascii="Times New Roman" w:hAnsi="Times New Roman" w:eastAsia="仿宋"/>
        </w:rPr>
        <w:t>的权重比例，维持指数的延续性。</w:t>
      </w:r>
    </w:p>
  </w:footnote>
  <w:footnote w:id="6">
    <w:p>
      <w:pPr>
        <w:pStyle w:val="24"/>
        <w:jc w:val="both"/>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这套指数全称为“北京大学数字普惠金融指数”（</w:t>
      </w:r>
      <w:r>
        <w:rPr>
          <w:rFonts w:ascii="Times New Roman" w:hAnsi="Times New Roman" w:eastAsia="仿宋"/>
        </w:rPr>
        <w:t>The Peking University Digital Financial Inclusion Index of China</w:t>
      </w:r>
      <w:r>
        <w:rPr>
          <w:rFonts w:hint="eastAsia" w:ascii="Times New Roman" w:hAnsi="Times New Roman" w:eastAsia="仿宋"/>
        </w:rPr>
        <w:t>,</w:t>
      </w:r>
      <w:r>
        <w:rPr>
          <w:rFonts w:ascii="Times New Roman" w:hAnsi="Times New Roman" w:eastAsia="仿宋"/>
        </w:rPr>
        <w:t xml:space="preserve"> PKU-DFIIC</w:t>
      </w:r>
      <w:r>
        <w:rPr>
          <w:rFonts w:hint="eastAsia" w:ascii="Times New Roman" w:hAnsi="Times New Roman" w:eastAsia="仿宋"/>
        </w:rPr>
        <w:t>），更详细的指数编制说明和数据概览可参阅北京大学数字金融研究中心官方网站（</w:t>
      </w:r>
      <w:r>
        <w:rPr>
          <w:rFonts w:ascii="Times New Roman" w:hAnsi="Times New Roman" w:eastAsia="仿宋"/>
        </w:rPr>
        <w:t>http://idf.pku.edu.cn</w:t>
      </w:r>
      <w:r>
        <w:rPr>
          <w:rFonts w:hint="eastAsia" w:ascii="Times New Roman" w:hAnsi="Times New Roman" w:eastAsia="仿宋"/>
        </w:rPr>
        <w:t>）上的原始报告。</w:t>
      </w:r>
    </w:p>
  </w:footnote>
  <w:footnote w:id="7">
    <w:p>
      <w:pPr>
        <w:pStyle w:val="24"/>
        <w:jc w:val="both"/>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市辖区数据在2</w:t>
      </w:r>
      <w:r>
        <w:rPr>
          <w:rFonts w:ascii="Times New Roman" w:hAnsi="Times New Roman" w:eastAsia="仿宋"/>
        </w:rPr>
        <w:t>014-2015</w:t>
      </w:r>
      <w:r>
        <w:rPr>
          <w:rFonts w:hint="eastAsia" w:ascii="Times New Roman" w:hAnsi="Times New Roman" w:eastAsia="仿宋"/>
        </w:rPr>
        <w:t>年不可得。</w:t>
      </w:r>
    </w:p>
  </w:footnote>
  <w:footnote w:id="8">
    <w:p>
      <w:pPr>
        <w:pStyle w:val="24"/>
        <w:jc w:val="both"/>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这里需要说明的是，这个36.4%的数字并不能理解为中国数字金融业务规模的年均增速，其中最主要的原因是在指数编制过程中，对原始业务指标进行无量纲化处理时，课题组对原始业务指标进行了取对数处理，因此原始业务规模增速应高于此数值。</w:t>
      </w:r>
    </w:p>
  </w:footnote>
  <w:footnote w:id="9">
    <w:p>
      <w:pPr>
        <w:pStyle w:val="24"/>
        <w:jc w:val="both"/>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数字金融使用深度增速较低的一个原因是因为其口径在不断调整，逐步纳入新业务；当然即便剔除这一因素，单看支付业务，使用深度指数的增速依然是相对较慢的。</w:t>
      </w:r>
    </w:p>
  </w:footnote>
  <w:footnote w:id="10">
    <w:p>
      <w:pPr>
        <w:pStyle w:val="24"/>
        <w:jc w:val="both"/>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详细的结果可向作者索取。</w:t>
      </w:r>
    </w:p>
  </w:footnote>
  <w:footnote w:id="11">
    <w:p>
      <w:pPr>
        <w:pStyle w:val="24"/>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除地理距离矩阵外，在相关文献中，还有利用两个地区经济发展水平差距计算得到的“经济距离矩阵”。在分析互联网金融空间效应时，郭峰等（</w:t>
      </w:r>
      <w:r>
        <w:rPr>
          <w:rFonts w:ascii="Times New Roman" w:hAnsi="Times New Roman" w:eastAsia="仿宋"/>
        </w:rPr>
        <w:t>2016</w:t>
      </w:r>
      <w:r>
        <w:rPr>
          <w:rFonts w:hint="eastAsia" w:ascii="Times New Roman" w:hAnsi="Times New Roman" w:eastAsia="仿宋"/>
        </w:rPr>
        <w:t>）详细讨论了地理距离矩阵和经济距离矩阵对结论的影响。</w:t>
      </w:r>
    </w:p>
  </w:footnote>
  <w:footnote w:id="12">
    <w:p>
      <w:pPr>
        <w:pStyle w:val="24"/>
      </w:pPr>
      <w:r>
        <w:rPr>
          <w:rStyle w:val="43"/>
        </w:rPr>
        <w:footnoteRef/>
      </w:r>
      <w:r>
        <w:t xml:space="preserve"> </w:t>
      </w:r>
      <w:r>
        <w:rPr>
          <w:rFonts w:hint="eastAsia" w:ascii="Times New Roman" w:hAnsi="Times New Roman" w:eastAsia="仿宋"/>
        </w:rPr>
        <w:t>本指数包含的所有数据均可向作者邮件索取：</w:t>
      </w:r>
      <w:r>
        <w:fldChar w:fldCharType="begin"/>
      </w:r>
      <w:r>
        <w:instrText xml:space="preserve"> HYPERLINK "mailto:guofengsfi@163.com" </w:instrText>
      </w:r>
      <w:r>
        <w:fldChar w:fldCharType="separate"/>
      </w:r>
      <w:r>
        <w:rPr>
          <w:rFonts w:hint="eastAsia" w:ascii="Times New Roman" w:hAnsi="Times New Roman" w:eastAsia="仿宋"/>
        </w:rPr>
        <w:t>guo</w:t>
      </w:r>
      <w:r>
        <w:rPr>
          <w:rFonts w:ascii="Times New Roman" w:hAnsi="Times New Roman" w:eastAsia="仿宋"/>
        </w:rPr>
        <w:t>fengsfi@163.com</w:t>
      </w:r>
      <w:r>
        <w:rPr>
          <w:rFonts w:ascii="Times New Roman" w:hAnsi="Times New Roman" w:eastAsia="仿宋"/>
        </w:rPr>
        <w:fldChar w:fldCharType="end"/>
      </w:r>
      <w:r>
        <w:rPr>
          <w:rFonts w:hint="eastAsia" w:ascii="Times New Roman" w:hAnsi="Times New Roman" w:eastAsia="仿宋"/>
        </w:rPr>
        <w:t>（郭峰）。</w:t>
      </w:r>
    </w:p>
  </w:footnote>
  <w:footnote w:id="13">
    <w:p>
      <w:pPr>
        <w:pStyle w:val="24"/>
        <w:jc w:val="both"/>
        <w:rPr>
          <w:rFonts w:ascii="Times New Roman" w:hAnsi="Times New Roman" w:eastAsia="仿宋"/>
        </w:rPr>
      </w:pPr>
      <w:r>
        <w:rPr>
          <w:rStyle w:val="43"/>
          <w:rFonts w:ascii="Times New Roman" w:hAnsi="Times New Roman" w:eastAsia="仿宋"/>
        </w:rPr>
        <w:footnoteRef/>
      </w:r>
      <w:r>
        <w:rPr>
          <w:rFonts w:ascii="Times New Roman" w:hAnsi="Times New Roman" w:eastAsia="仿宋"/>
        </w:rPr>
        <w:t xml:space="preserve"> </w:t>
      </w:r>
      <w:r>
        <w:rPr>
          <w:rFonts w:hint="eastAsia" w:ascii="Times New Roman" w:hAnsi="Times New Roman" w:eastAsia="仿宋"/>
        </w:rPr>
        <w:t>由于数据保密的原因，很难将不同机构的原始底层数据合并到一起编制指数，因此验证这套指数是否可靠的一个理想情形是另外一家（或多家）数字金融机构基于其底层数据和类似的指数编制方法，编制一个平行的新指数，通过两个指数的交叉验证，来提升指数的可信度。但遗憾的是，现在市面上还没有看到有其他机构编制过类似的数字（普惠）金融指数。目前能找到的类似指数是不同机构编制的所谓“数字经济指数”。经分析，我们的数字普惠金融指数与这些数字经济指数在地区差异上有非常显著的正相关关系。</w:t>
      </w:r>
    </w:p>
  </w:footnote>
  <w:footnote w:id="14">
    <w:p>
      <w:pPr>
        <w:pStyle w:val="24"/>
        <w:jc w:val="both"/>
        <w:rPr>
          <w:rFonts w:ascii="Times New Roman" w:hAnsi="Times New Roman" w:eastAsia="仿宋"/>
        </w:rPr>
      </w:pPr>
      <w:r>
        <w:rPr>
          <w:rStyle w:val="43"/>
          <w:rFonts w:ascii="Times New Roman" w:hAnsi="Times New Roman" w:eastAsia="仿宋"/>
        </w:rPr>
        <w:t>*</w:t>
      </w:r>
      <w:r>
        <w:rPr>
          <w:rFonts w:ascii="Times New Roman" w:hAnsi="Times New Roman" w:eastAsia="仿宋"/>
        </w:rPr>
        <w:t xml:space="preserve"> </w:t>
      </w:r>
      <w:r>
        <w:rPr>
          <w:rFonts w:hint="eastAsia" w:ascii="Times New Roman" w:hAnsi="Times New Roman" w:eastAsia="仿宋"/>
        </w:rPr>
        <w:t>Corresponding Author: Jingyi WANG, School of Finance, Central University of Finance and Economics, Room 615, Like 5th Building, Yiheyuan Road No.5, Beijing, 100871, China. Email：wangjingyi92@163.com; Tel: 15201317797</w:t>
      </w:r>
      <w:r>
        <w:rPr>
          <w:rFonts w:ascii="Times New Roman" w:hAnsi="Times New Roman" w:eastAsia="仿宋"/>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FD2B69"/>
    <w:multiLevelType w:val="multilevel"/>
    <w:tmpl w:val="5FFD2B6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9"/>
  <w:doNotDisplayPageBoundaries w:val="1"/>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footnotePr>
    <w:numFmt w:val="decimalEnclosedCircleChinese"/>
    <w:numRestart w:val="eachPage"/>
    <w:footnote w:id="30"/>
    <w:footnote w:id="31"/>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08E"/>
    <w:rsid w:val="000005A6"/>
    <w:rsid w:val="00000980"/>
    <w:rsid w:val="00003F83"/>
    <w:rsid w:val="00004034"/>
    <w:rsid w:val="00007D1D"/>
    <w:rsid w:val="000121AA"/>
    <w:rsid w:val="00012D61"/>
    <w:rsid w:val="00014554"/>
    <w:rsid w:val="00014DEA"/>
    <w:rsid w:val="000155F0"/>
    <w:rsid w:val="0001638E"/>
    <w:rsid w:val="000164B8"/>
    <w:rsid w:val="00016994"/>
    <w:rsid w:val="00016E1D"/>
    <w:rsid w:val="00017F52"/>
    <w:rsid w:val="0002041A"/>
    <w:rsid w:val="0002084C"/>
    <w:rsid w:val="00020FE3"/>
    <w:rsid w:val="0002105E"/>
    <w:rsid w:val="000219B2"/>
    <w:rsid w:val="00021AA8"/>
    <w:rsid w:val="0002243A"/>
    <w:rsid w:val="0002308E"/>
    <w:rsid w:val="0002320C"/>
    <w:rsid w:val="0002379E"/>
    <w:rsid w:val="00024D02"/>
    <w:rsid w:val="000252EC"/>
    <w:rsid w:val="000253F8"/>
    <w:rsid w:val="00026404"/>
    <w:rsid w:val="0002772F"/>
    <w:rsid w:val="00027BE7"/>
    <w:rsid w:val="000300E0"/>
    <w:rsid w:val="00032318"/>
    <w:rsid w:val="000348D6"/>
    <w:rsid w:val="00036763"/>
    <w:rsid w:val="00037A64"/>
    <w:rsid w:val="00037AD8"/>
    <w:rsid w:val="000417B0"/>
    <w:rsid w:val="00042118"/>
    <w:rsid w:val="000427BE"/>
    <w:rsid w:val="00042A6B"/>
    <w:rsid w:val="00042DDC"/>
    <w:rsid w:val="00043083"/>
    <w:rsid w:val="00043178"/>
    <w:rsid w:val="00044271"/>
    <w:rsid w:val="000445BA"/>
    <w:rsid w:val="00045073"/>
    <w:rsid w:val="000453D0"/>
    <w:rsid w:val="0004690B"/>
    <w:rsid w:val="000509C6"/>
    <w:rsid w:val="00050D54"/>
    <w:rsid w:val="000510A3"/>
    <w:rsid w:val="000525EE"/>
    <w:rsid w:val="00052D79"/>
    <w:rsid w:val="00053104"/>
    <w:rsid w:val="00053A82"/>
    <w:rsid w:val="00054986"/>
    <w:rsid w:val="00054D6E"/>
    <w:rsid w:val="00054EC3"/>
    <w:rsid w:val="0005567F"/>
    <w:rsid w:val="0005688E"/>
    <w:rsid w:val="00057E97"/>
    <w:rsid w:val="00061291"/>
    <w:rsid w:val="00061B66"/>
    <w:rsid w:val="00062D2F"/>
    <w:rsid w:val="000659E9"/>
    <w:rsid w:val="000705B0"/>
    <w:rsid w:val="00072615"/>
    <w:rsid w:val="0007396C"/>
    <w:rsid w:val="000748CC"/>
    <w:rsid w:val="00074FCA"/>
    <w:rsid w:val="000760A0"/>
    <w:rsid w:val="00076F83"/>
    <w:rsid w:val="000778CD"/>
    <w:rsid w:val="00077C84"/>
    <w:rsid w:val="000814C6"/>
    <w:rsid w:val="000832DB"/>
    <w:rsid w:val="0008358D"/>
    <w:rsid w:val="000839F2"/>
    <w:rsid w:val="00083ED5"/>
    <w:rsid w:val="00083F10"/>
    <w:rsid w:val="00084503"/>
    <w:rsid w:val="00084BD8"/>
    <w:rsid w:val="0008505E"/>
    <w:rsid w:val="00086728"/>
    <w:rsid w:val="00086A48"/>
    <w:rsid w:val="0008723C"/>
    <w:rsid w:val="000876F2"/>
    <w:rsid w:val="00087B8B"/>
    <w:rsid w:val="00087CE9"/>
    <w:rsid w:val="000900E3"/>
    <w:rsid w:val="00090B4F"/>
    <w:rsid w:val="00092333"/>
    <w:rsid w:val="000924BE"/>
    <w:rsid w:val="0009355D"/>
    <w:rsid w:val="00095100"/>
    <w:rsid w:val="000952E3"/>
    <w:rsid w:val="000A0F3C"/>
    <w:rsid w:val="000A286A"/>
    <w:rsid w:val="000A6F7E"/>
    <w:rsid w:val="000A7A49"/>
    <w:rsid w:val="000A7B18"/>
    <w:rsid w:val="000A7BA9"/>
    <w:rsid w:val="000A7CC7"/>
    <w:rsid w:val="000A7EB2"/>
    <w:rsid w:val="000B12E0"/>
    <w:rsid w:val="000B1C39"/>
    <w:rsid w:val="000B1E5C"/>
    <w:rsid w:val="000B2B0C"/>
    <w:rsid w:val="000B2B19"/>
    <w:rsid w:val="000B38A9"/>
    <w:rsid w:val="000B4380"/>
    <w:rsid w:val="000B446D"/>
    <w:rsid w:val="000B58A9"/>
    <w:rsid w:val="000B66F4"/>
    <w:rsid w:val="000B76CB"/>
    <w:rsid w:val="000B7EBF"/>
    <w:rsid w:val="000C007F"/>
    <w:rsid w:val="000C11FB"/>
    <w:rsid w:val="000C2F8E"/>
    <w:rsid w:val="000C4038"/>
    <w:rsid w:val="000C4954"/>
    <w:rsid w:val="000C4D95"/>
    <w:rsid w:val="000C53D7"/>
    <w:rsid w:val="000C7BED"/>
    <w:rsid w:val="000D0EEA"/>
    <w:rsid w:val="000D0FA7"/>
    <w:rsid w:val="000D2333"/>
    <w:rsid w:val="000D4B79"/>
    <w:rsid w:val="000D659D"/>
    <w:rsid w:val="000D6CDA"/>
    <w:rsid w:val="000D6F1E"/>
    <w:rsid w:val="000D7D1B"/>
    <w:rsid w:val="000E0798"/>
    <w:rsid w:val="000E10EB"/>
    <w:rsid w:val="000E3B8E"/>
    <w:rsid w:val="000E3EC9"/>
    <w:rsid w:val="000E492D"/>
    <w:rsid w:val="000E5935"/>
    <w:rsid w:val="000E5C4A"/>
    <w:rsid w:val="000E629A"/>
    <w:rsid w:val="000E6E31"/>
    <w:rsid w:val="000E788C"/>
    <w:rsid w:val="000E7CAE"/>
    <w:rsid w:val="000F27B0"/>
    <w:rsid w:val="000F502F"/>
    <w:rsid w:val="000F5182"/>
    <w:rsid w:val="000F53B3"/>
    <w:rsid w:val="000F57CF"/>
    <w:rsid w:val="000F5B96"/>
    <w:rsid w:val="000F5E98"/>
    <w:rsid w:val="000F6259"/>
    <w:rsid w:val="000F7270"/>
    <w:rsid w:val="000F75FF"/>
    <w:rsid w:val="0010026B"/>
    <w:rsid w:val="00100EC9"/>
    <w:rsid w:val="00101172"/>
    <w:rsid w:val="0010227E"/>
    <w:rsid w:val="00102F50"/>
    <w:rsid w:val="00103037"/>
    <w:rsid w:val="001056B9"/>
    <w:rsid w:val="00106281"/>
    <w:rsid w:val="00106462"/>
    <w:rsid w:val="00107EF7"/>
    <w:rsid w:val="00111417"/>
    <w:rsid w:val="001128FC"/>
    <w:rsid w:val="00112B7C"/>
    <w:rsid w:val="001130CD"/>
    <w:rsid w:val="00114DF3"/>
    <w:rsid w:val="0011549E"/>
    <w:rsid w:val="001155BD"/>
    <w:rsid w:val="00115A18"/>
    <w:rsid w:val="00115DC8"/>
    <w:rsid w:val="00116B62"/>
    <w:rsid w:val="00117B7B"/>
    <w:rsid w:val="00123FD9"/>
    <w:rsid w:val="001243BE"/>
    <w:rsid w:val="001247B9"/>
    <w:rsid w:val="001251F3"/>
    <w:rsid w:val="001256D0"/>
    <w:rsid w:val="001257A6"/>
    <w:rsid w:val="001270D7"/>
    <w:rsid w:val="00127230"/>
    <w:rsid w:val="0013031B"/>
    <w:rsid w:val="0013100B"/>
    <w:rsid w:val="00131CC3"/>
    <w:rsid w:val="00132764"/>
    <w:rsid w:val="00132F16"/>
    <w:rsid w:val="00133080"/>
    <w:rsid w:val="0013355A"/>
    <w:rsid w:val="001339EA"/>
    <w:rsid w:val="001350C4"/>
    <w:rsid w:val="00135A27"/>
    <w:rsid w:val="00135B60"/>
    <w:rsid w:val="00135F32"/>
    <w:rsid w:val="00140BFD"/>
    <w:rsid w:val="00140C70"/>
    <w:rsid w:val="001419CA"/>
    <w:rsid w:val="001425BC"/>
    <w:rsid w:val="00143FAF"/>
    <w:rsid w:val="00144288"/>
    <w:rsid w:val="001449B3"/>
    <w:rsid w:val="00145FC5"/>
    <w:rsid w:val="001469FE"/>
    <w:rsid w:val="00146CAA"/>
    <w:rsid w:val="00150389"/>
    <w:rsid w:val="001508F9"/>
    <w:rsid w:val="001512A7"/>
    <w:rsid w:val="00151C65"/>
    <w:rsid w:val="00151EE9"/>
    <w:rsid w:val="00152315"/>
    <w:rsid w:val="00152D33"/>
    <w:rsid w:val="001546B2"/>
    <w:rsid w:val="00155BCF"/>
    <w:rsid w:val="00155DE9"/>
    <w:rsid w:val="00156950"/>
    <w:rsid w:val="00157DB3"/>
    <w:rsid w:val="00157F1E"/>
    <w:rsid w:val="00161C3D"/>
    <w:rsid w:val="00161C76"/>
    <w:rsid w:val="00162B92"/>
    <w:rsid w:val="00162F0D"/>
    <w:rsid w:val="00163676"/>
    <w:rsid w:val="00163C0D"/>
    <w:rsid w:val="00164292"/>
    <w:rsid w:val="00164DE9"/>
    <w:rsid w:val="00165115"/>
    <w:rsid w:val="00165CC5"/>
    <w:rsid w:val="00165E93"/>
    <w:rsid w:val="00166F39"/>
    <w:rsid w:val="00167551"/>
    <w:rsid w:val="00167D5F"/>
    <w:rsid w:val="001718D6"/>
    <w:rsid w:val="00171E7F"/>
    <w:rsid w:val="001720A9"/>
    <w:rsid w:val="001720E9"/>
    <w:rsid w:val="001724D6"/>
    <w:rsid w:val="00172F68"/>
    <w:rsid w:val="0017334C"/>
    <w:rsid w:val="00173DA3"/>
    <w:rsid w:val="00173DF9"/>
    <w:rsid w:val="001747B9"/>
    <w:rsid w:val="0017501E"/>
    <w:rsid w:val="00176D52"/>
    <w:rsid w:val="00181A09"/>
    <w:rsid w:val="00181FAE"/>
    <w:rsid w:val="0018241B"/>
    <w:rsid w:val="00184D22"/>
    <w:rsid w:val="0018533F"/>
    <w:rsid w:val="00186D5A"/>
    <w:rsid w:val="00186E69"/>
    <w:rsid w:val="00190808"/>
    <w:rsid w:val="001908F7"/>
    <w:rsid w:val="001912A5"/>
    <w:rsid w:val="00191793"/>
    <w:rsid w:val="001927F6"/>
    <w:rsid w:val="0019432E"/>
    <w:rsid w:val="00195985"/>
    <w:rsid w:val="00195B5B"/>
    <w:rsid w:val="00196361"/>
    <w:rsid w:val="00196ABF"/>
    <w:rsid w:val="00197340"/>
    <w:rsid w:val="00197775"/>
    <w:rsid w:val="001A0DCF"/>
    <w:rsid w:val="001A1935"/>
    <w:rsid w:val="001A1BDC"/>
    <w:rsid w:val="001A26BB"/>
    <w:rsid w:val="001A2D2D"/>
    <w:rsid w:val="001A3C58"/>
    <w:rsid w:val="001A4571"/>
    <w:rsid w:val="001A5208"/>
    <w:rsid w:val="001A52C7"/>
    <w:rsid w:val="001A59C2"/>
    <w:rsid w:val="001A6C0B"/>
    <w:rsid w:val="001A7D53"/>
    <w:rsid w:val="001B0D5D"/>
    <w:rsid w:val="001B3167"/>
    <w:rsid w:val="001B3C4A"/>
    <w:rsid w:val="001B52C1"/>
    <w:rsid w:val="001B630F"/>
    <w:rsid w:val="001B6379"/>
    <w:rsid w:val="001B6B23"/>
    <w:rsid w:val="001B7452"/>
    <w:rsid w:val="001B78B1"/>
    <w:rsid w:val="001C22C5"/>
    <w:rsid w:val="001C3D26"/>
    <w:rsid w:val="001C7360"/>
    <w:rsid w:val="001C7851"/>
    <w:rsid w:val="001D08DF"/>
    <w:rsid w:val="001D09D9"/>
    <w:rsid w:val="001D1A83"/>
    <w:rsid w:val="001D1C79"/>
    <w:rsid w:val="001D3876"/>
    <w:rsid w:val="001D44C1"/>
    <w:rsid w:val="001D459E"/>
    <w:rsid w:val="001D4806"/>
    <w:rsid w:val="001D4EDD"/>
    <w:rsid w:val="001D565C"/>
    <w:rsid w:val="001D5AD7"/>
    <w:rsid w:val="001D6AE7"/>
    <w:rsid w:val="001E014C"/>
    <w:rsid w:val="001E05D1"/>
    <w:rsid w:val="001E3A6F"/>
    <w:rsid w:val="001E3FF4"/>
    <w:rsid w:val="001E7758"/>
    <w:rsid w:val="001E7A16"/>
    <w:rsid w:val="001F00C8"/>
    <w:rsid w:val="001F01F1"/>
    <w:rsid w:val="001F2057"/>
    <w:rsid w:val="001F24DA"/>
    <w:rsid w:val="001F262A"/>
    <w:rsid w:val="001F4388"/>
    <w:rsid w:val="001F470F"/>
    <w:rsid w:val="002003ED"/>
    <w:rsid w:val="00202082"/>
    <w:rsid w:val="00202C1E"/>
    <w:rsid w:val="00202C75"/>
    <w:rsid w:val="00202D68"/>
    <w:rsid w:val="002030A5"/>
    <w:rsid w:val="00203CF0"/>
    <w:rsid w:val="0020432F"/>
    <w:rsid w:val="002046DF"/>
    <w:rsid w:val="0020573A"/>
    <w:rsid w:val="00205DD7"/>
    <w:rsid w:val="00205DF1"/>
    <w:rsid w:val="00206F59"/>
    <w:rsid w:val="002105CF"/>
    <w:rsid w:val="0021169D"/>
    <w:rsid w:val="00211D6E"/>
    <w:rsid w:val="0021235B"/>
    <w:rsid w:val="00212EE7"/>
    <w:rsid w:val="00214559"/>
    <w:rsid w:val="00215E48"/>
    <w:rsid w:val="00217324"/>
    <w:rsid w:val="00220450"/>
    <w:rsid w:val="00220685"/>
    <w:rsid w:val="0022219A"/>
    <w:rsid w:val="002227BF"/>
    <w:rsid w:val="002229ED"/>
    <w:rsid w:val="00223418"/>
    <w:rsid w:val="00230293"/>
    <w:rsid w:val="002346DA"/>
    <w:rsid w:val="00234EB9"/>
    <w:rsid w:val="00235003"/>
    <w:rsid w:val="002367BB"/>
    <w:rsid w:val="00236E58"/>
    <w:rsid w:val="00237337"/>
    <w:rsid w:val="0023798A"/>
    <w:rsid w:val="00241513"/>
    <w:rsid w:val="00243886"/>
    <w:rsid w:val="0024521F"/>
    <w:rsid w:val="002454DA"/>
    <w:rsid w:val="00246363"/>
    <w:rsid w:val="00247B34"/>
    <w:rsid w:val="00250522"/>
    <w:rsid w:val="00250975"/>
    <w:rsid w:val="00251D8A"/>
    <w:rsid w:val="00252491"/>
    <w:rsid w:val="002524AD"/>
    <w:rsid w:val="00252E18"/>
    <w:rsid w:val="00253020"/>
    <w:rsid w:val="00253EE7"/>
    <w:rsid w:val="00254E7C"/>
    <w:rsid w:val="002553A3"/>
    <w:rsid w:val="00257914"/>
    <w:rsid w:val="00260A41"/>
    <w:rsid w:val="0026119C"/>
    <w:rsid w:val="002616EA"/>
    <w:rsid w:val="002636D7"/>
    <w:rsid w:val="00263DA4"/>
    <w:rsid w:val="00264275"/>
    <w:rsid w:val="00264583"/>
    <w:rsid w:val="00266095"/>
    <w:rsid w:val="002662B0"/>
    <w:rsid w:val="0026713E"/>
    <w:rsid w:val="00270564"/>
    <w:rsid w:val="002728EB"/>
    <w:rsid w:val="00273219"/>
    <w:rsid w:val="00274108"/>
    <w:rsid w:val="002741F3"/>
    <w:rsid w:val="00274B84"/>
    <w:rsid w:val="00274CE4"/>
    <w:rsid w:val="0027547C"/>
    <w:rsid w:val="00275D7B"/>
    <w:rsid w:val="00276D9C"/>
    <w:rsid w:val="00277CE6"/>
    <w:rsid w:val="00277E32"/>
    <w:rsid w:val="00277FFA"/>
    <w:rsid w:val="00280965"/>
    <w:rsid w:val="00280F71"/>
    <w:rsid w:val="00281212"/>
    <w:rsid w:val="00281624"/>
    <w:rsid w:val="00282296"/>
    <w:rsid w:val="00282A63"/>
    <w:rsid w:val="0028338A"/>
    <w:rsid w:val="002837D9"/>
    <w:rsid w:val="00283F9C"/>
    <w:rsid w:val="002865E0"/>
    <w:rsid w:val="00286CCA"/>
    <w:rsid w:val="002872B1"/>
    <w:rsid w:val="002909C7"/>
    <w:rsid w:val="002913C4"/>
    <w:rsid w:val="00291BBB"/>
    <w:rsid w:val="00293C41"/>
    <w:rsid w:val="00293D5E"/>
    <w:rsid w:val="002947F1"/>
    <w:rsid w:val="00295016"/>
    <w:rsid w:val="00295C51"/>
    <w:rsid w:val="0029773F"/>
    <w:rsid w:val="002A09A7"/>
    <w:rsid w:val="002A0DC6"/>
    <w:rsid w:val="002A0F5B"/>
    <w:rsid w:val="002A3AAD"/>
    <w:rsid w:val="002A3F64"/>
    <w:rsid w:val="002A450F"/>
    <w:rsid w:val="002A515F"/>
    <w:rsid w:val="002A5679"/>
    <w:rsid w:val="002A6EFF"/>
    <w:rsid w:val="002A7BE4"/>
    <w:rsid w:val="002B101B"/>
    <w:rsid w:val="002B117A"/>
    <w:rsid w:val="002B1A66"/>
    <w:rsid w:val="002B2E1F"/>
    <w:rsid w:val="002B31A0"/>
    <w:rsid w:val="002B3425"/>
    <w:rsid w:val="002B53AD"/>
    <w:rsid w:val="002B732D"/>
    <w:rsid w:val="002C126C"/>
    <w:rsid w:val="002C1C7D"/>
    <w:rsid w:val="002C213E"/>
    <w:rsid w:val="002C2430"/>
    <w:rsid w:val="002C530F"/>
    <w:rsid w:val="002C55F5"/>
    <w:rsid w:val="002C5A9B"/>
    <w:rsid w:val="002C6CA7"/>
    <w:rsid w:val="002C6DB5"/>
    <w:rsid w:val="002C76CB"/>
    <w:rsid w:val="002D36BF"/>
    <w:rsid w:val="002D3F3F"/>
    <w:rsid w:val="002D4B88"/>
    <w:rsid w:val="002D4BFD"/>
    <w:rsid w:val="002D4D07"/>
    <w:rsid w:val="002D576A"/>
    <w:rsid w:val="002D5F2D"/>
    <w:rsid w:val="002D7069"/>
    <w:rsid w:val="002D75B7"/>
    <w:rsid w:val="002E0669"/>
    <w:rsid w:val="002E07EC"/>
    <w:rsid w:val="002E1419"/>
    <w:rsid w:val="002E147B"/>
    <w:rsid w:val="002E42F2"/>
    <w:rsid w:val="002E54EF"/>
    <w:rsid w:val="002E5C1C"/>
    <w:rsid w:val="002E694E"/>
    <w:rsid w:val="002E6E26"/>
    <w:rsid w:val="002E6F42"/>
    <w:rsid w:val="002F0ADA"/>
    <w:rsid w:val="002F23ED"/>
    <w:rsid w:val="002F2F52"/>
    <w:rsid w:val="002F3628"/>
    <w:rsid w:val="002F4704"/>
    <w:rsid w:val="002F57F3"/>
    <w:rsid w:val="002F6741"/>
    <w:rsid w:val="002F68BD"/>
    <w:rsid w:val="002F749C"/>
    <w:rsid w:val="00301C7E"/>
    <w:rsid w:val="00301E18"/>
    <w:rsid w:val="00302D6A"/>
    <w:rsid w:val="00302D7E"/>
    <w:rsid w:val="00302E0B"/>
    <w:rsid w:val="0030337F"/>
    <w:rsid w:val="00306448"/>
    <w:rsid w:val="00306700"/>
    <w:rsid w:val="00307F9E"/>
    <w:rsid w:val="003101B2"/>
    <w:rsid w:val="003116D2"/>
    <w:rsid w:val="00312383"/>
    <w:rsid w:val="00312850"/>
    <w:rsid w:val="00313201"/>
    <w:rsid w:val="003136EF"/>
    <w:rsid w:val="00313E09"/>
    <w:rsid w:val="003141EA"/>
    <w:rsid w:val="003148E9"/>
    <w:rsid w:val="00314C2A"/>
    <w:rsid w:val="003159F9"/>
    <w:rsid w:val="00315EDF"/>
    <w:rsid w:val="00317301"/>
    <w:rsid w:val="00321414"/>
    <w:rsid w:val="0032389B"/>
    <w:rsid w:val="003248E4"/>
    <w:rsid w:val="00325A74"/>
    <w:rsid w:val="0032676D"/>
    <w:rsid w:val="0032730D"/>
    <w:rsid w:val="00327BAA"/>
    <w:rsid w:val="00331F06"/>
    <w:rsid w:val="00333301"/>
    <w:rsid w:val="00333508"/>
    <w:rsid w:val="0033374F"/>
    <w:rsid w:val="00333C86"/>
    <w:rsid w:val="00334D39"/>
    <w:rsid w:val="003359B3"/>
    <w:rsid w:val="00336C7E"/>
    <w:rsid w:val="003377DD"/>
    <w:rsid w:val="00341529"/>
    <w:rsid w:val="0034205F"/>
    <w:rsid w:val="0034243C"/>
    <w:rsid w:val="00344747"/>
    <w:rsid w:val="0034524D"/>
    <w:rsid w:val="00346448"/>
    <w:rsid w:val="00346649"/>
    <w:rsid w:val="00346AC7"/>
    <w:rsid w:val="00346D31"/>
    <w:rsid w:val="00346E22"/>
    <w:rsid w:val="003525C3"/>
    <w:rsid w:val="0035295F"/>
    <w:rsid w:val="00353C31"/>
    <w:rsid w:val="00354752"/>
    <w:rsid w:val="00354B9B"/>
    <w:rsid w:val="00354C63"/>
    <w:rsid w:val="003558EA"/>
    <w:rsid w:val="00356661"/>
    <w:rsid w:val="003567D0"/>
    <w:rsid w:val="00360261"/>
    <w:rsid w:val="00360475"/>
    <w:rsid w:val="00361665"/>
    <w:rsid w:val="00361D63"/>
    <w:rsid w:val="0036217C"/>
    <w:rsid w:val="00363489"/>
    <w:rsid w:val="0036411B"/>
    <w:rsid w:val="003659B2"/>
    <w:rsid w:val="003671E4"/>
    <w:rsid w:val="0036750D"/>
    <w:rsid w:val="00370267"/>
    <w:rsid w:val="00370EBF"/>
    <w:rsid w:val="003730BB"/>
    <w:rsid w:val="00374AD3"/>
    <w:rsid w:val="00374BF9"/>
    <w:rsid w:val="003803F4"/>
    <w:rsid w:val="00380443"/>
    <w:rsid w:val="0038070F"/>
    <w:rsid w:val="0038102A"/>
    <w:rsid w:val="003821CC"/>
    <w:rsid w:val="00383092"/>
    <w:rsid w:val="003834F4"/>
    <w:rsid w:val="00383D29"/>
    <w:rsid w:val="0038455D"/>
    <w:rsid w:val="00385700"/>
    <w:rsid w:val="0038573F"/>
    <w:rsid w:val="0038717D"/>
    <w:rsid w:val="00387B57"/>
    <w:rsid w:val="003909ED"/>
    <w:rsid w:val="00390CBD"/>
    <w:rsid w:val="0039134D"/>
    <w:rsid w:val="00392BD5"/>
    <w:rsid w:val="00392EE0"/>
    <w:rsid w:val="00394006"/>
    <w:rsid w:val="00395906"/>
    <w:rsid w:val="003966F2"/>
    <w:rsid w:val="003A0268"/>
    <w:rsid w:val="003A1559"/>
    <w:rsid w:val="003A1AB7"/>
    <w:rsid w:val="003A1B33"/>
    <w:rsid w:val="003A2AE1"/>
    <w:rsid w:val="003A451A"/>
    <w:rsid w:val="003A59B4"/>
    <w:rsid w:val="003A59E0"/>
    <w:rsid w:val="003A6752"/>
    <w:rsid w:val="003A686B"/>
    <w:rsid w:val="003A6B9A"/>
    <w:rsid w:val="003B12B3"/>
    <w:rsid w:val="003B1DD4"/>
    <w:rsid w:val="003B1F83"/>
    <w:rsid w:val="003B2B4D"/>
    <w:rsid w:val="003B2E94"/>
    <w:rsid w:val="003B3D37"/>
    <w:rsid w:val="003B44CF"/>
    <w:rsid w:val="003B47D1"/>
    <w:rsid w:val="003C069B"/>
    <w:rsid w:val="003C0E74"/>
    <w:rsid w:val="003C1CFB"/>
    <w:rsid w:val="003C2A3F"/>
    <w:rsid w:val="003C3F04"/>
    <w:rsid w:val="003C4F47"/>
    <w:rsid w:val="003C531A"/>
    <w:rsid w:val="003C5D02"/>
    <w:rsid w:val="003C7AD1"/>
    <w:rsid w:val="003D29A6"/>
    <w:rsid w:val="003D3677"/>
    <w:rsid w:val="003D46E7"/>
    <w:rsid w:val="003D5936"/>
    <w:rsid w:val="003D7062"/>
    <w:rsid w:val="003D7CC8"/>
    <w:rsid w:val="003E0F03"/>
    <w:rsid w:val="003E2089"/>
    <w:rsid w:val="003E2CEC"/>
    <w:rsid w:val="003E3E56"/>
    <w:rsid w:val="003E4F6F"/>
    <w:rsid w:val="003E59D6"/>
    <w:rsid w:val="003E5B5F"/>
    <w:rsid w:val="003E5C1F"/>
    <w:rsid w:val="003E5FD0"/>
    <w:rsid w:val="003E6359"/>
    <w:rsid w:val="003E74CF"/>
    <w:rsid w:val="003E7505"/>
    <w:rsid w:val="003E7D22"/>
    <w:rsid w:val="003F0AC6"/>
    <w:rsid w:val="003F1D76"/>
    <w:rsid w:val="003F43F5"/>
    <w:rsid w:val="003F46A3"/>
    <w:rsid w:val="003F4A13"/>
    <w:rsid w:val="003F7F9C"/>
    <w:rsid w:val="004027EB"/>
    <w:rsid w:val="00402B3C"/>
    <w:rsid w:val="00402CE7"/>
    <w:rsid w:val="00403BCD"/>
    <w:rsid w:val="00404B7B"/>
    <w:rsid w:val="004056A5"/>
    <w:rsid w:val="0040628E"/>
    <w:rsid w:val="004102BF"/>
    <w:rsid w:val="0041423E"/>
    <w:rsid w:val="00414C5B"/>
    <w:rsid w:val="004169F0"/>
    <w:rsid w:val="004202A1"/>
    <w:rsid w:val="004203FA"/>
    <w:rsid w:val="0042179C"/>
    <w:rsid w:val="00421A67"/>
    <w:rsid w:val="004227CC"/>
    <w:rsid w:val="00422A3B"/>
    <w:rsid w:val="00423103"/>
    <w:rsid w:val="00424696"/>
    <w:rsid w:val="0042483E"/>
    <w:rsid w:val="00424F7F"/>
    <w:rsid w:val="004258B2"/>
    <w:rsid w:val="00425C67"/>
    <w:rsid w:val="00425FFF"/>
    <w:rsid w:val="00426050"/>
    <w:rsid w:val="00427755"/>
    <w:rsid w:val="0043042B"/>
    <w:rsid w:val="004326F0"/>
    <w:rsid w:val="00433461"/>
    <w:rsid w:val="004337B5"/>
    <w:rsid w:val="00433D38"/>
    <w:rsid w:val="00434621"/>
    <w:rsid w:val="00437177"/>
    <w:rsid w:val="004371B8"/>
    <w:rsid w:val="00437718"/>
    <w:rsid w:val="00441B06"/>
    <w:rsid w:val="00442710"/>
    <w:rsid w:val="00444C3D"/>
    <w:rsid w:val="0044524C"/>
    <w:rsid w:val="0044641D"/>
    <w:rsid w:val="00447006"/>
    <w:rsid w:val="00450A41"/>
    <w:rsid w:val="00452035"/>
    <w:rsid w:val="004527E0"/>
    <w:rsid w:val="00453E77"/>
    <w:rsid w:val="004547B3"/>
    <w:rsid w:val="004549A8"/>
    <w:rsid w:val="004557B6"/>
    <w:rsid w:val="00456231"/>
    <w:rsid w:val="00457228"/>
    <w:rsid w:val="00457FB7"/>
    <w:rsid w:val="00461A29"/>
    <w:rsid w:val="0046206E"/>
    <w:rsid w:val="00463AA1"/>
    <w:rsid w:val="00463FD1"/>
    <w:rsid w:val="00465138"/>
    <w:rsid w:val="00465644"/>
    <w:rsid w:val="00465D0A"/>
    <w:rsid w:val="00466903"/>
    <w:rsid w:val="00466F5E"/>
    <w:rsid w:val="004678B2"/>
    <w:rsid w:val="00467DD6"/>
    <w:rsid w:val="00467EF8"/>
    <w:rsid w:val="0047017E"/>
    <w:rsid w:val="004706C6"/>
    <w:rsid w:val="004722E3"/>
    <w:rsid w:val="00472354"/>
    <w:rsid w:val="004729CB"/>
    <w:rsid w:val="00475508"/>
    <w:rsid w:val="00475523"/>
    <w:rsid w:val="00475EDE"/>
    <w:rsid w:val="00477471"/>
    <w:rsid w:val="00480246"/>
    <w:rsid w:val="00480BDD"/>
    <w:rsid w:val="00483093"/>
    <w:rsid w:val="004841A0"/>
    <w:rsid w:val="004844CB"/>
    <w:rsid w:val="00484EEF"/>
    <w:rsid w:val="004859B2"/>
    <w:rsid w:val="00485CBC"/>
    <w:rsid w:val="004874AF"/>
    <w:rsid w:val="004907A1"/>
    <w:rsid w:val="00491018"/>
    <w:rsid w:val="00492091"/>
    <w:rsid w:val="004939B1"/>
    <w:rsid w:val="0049454A"/>
    <w:rsid w:val="004946DA"/>
    <w:rsid w:val="00494731"/>
    <w:rsid w:val="00494E0E"/>
    <w:rsid w:val="0049680C"/>
    <w:rsid w:val="0049682A"/>
    <w:rsid w:val="004A1745"/>
    <w:rsid w:val="004A2839"/>
    <w:rsid w:val="004A2868"/>
    <w:rsid w:val="004A2F18"/>
    <w:rsid w:val="004A3075"/>
    <w:rsid w:val="004A3D0E"/>
    <w:rsid w:val="004A5A31"/>
    <w:rsid w:val="004B0293"/>
    <w:rsid w:val="004B05DB"/>
    <w:rsid w:val="004B165F"/>
    <w:rsid w:val="004B16A7"/>
    <w:rsid w:val="004B1C3A"/>
    <w:rsid w:val="004B2416"/>
    <w:rsid w:val="004B5F9C"/>
    <w:rsid w:val="004B72D4"/>
    <w:rsid w:val="004B7398"/>
    <w:rsid w:val="004B7611"/>
    <w:rsid w:val="004B76ED"/>
    <w:rsid w:val="004C0D91"/>
    <w:rsid w:val="004C10E8"/>
    <w:rsid w:val="004C2057"/>
    <w:rsid w:val="004C29E5"/>
    <w:rsid w:val="004C3630"/>
    <w:rsid w:val="004C3C16"/>
    <w:rsid w:val="004C70B7"/>
    <w:rsid w:val="004C7964"/>
    <w:rsid w:val="004D04DC"/>
    <w:rsid w:val="004D0F04"/>
    <w:rsid w:val="004D164A"/>
    <w:rsid w:val="004D177C"/>
    <w:rsid w:val="004D257C"/>
    <w:rsid w:val="004D3DB8"/>
    <w:rsid w:val="004D52DB"/>
    <w:rsid w:val="004D5844"/>
    <w:rsid w:val="004D62B1"/>
    <w:rsid w:val="004D7358"/>
    <w:rsid w:val="004E0588"/>
    <w:rsid w:val="004E349F"/>
    <w:rsid w:val="004E4626"/>
    <w:rsid w:val="004E613E"/>
    <w:rsid w:val="004F009C"/>
    <w:rsid w:val="004F0988"/>
    <w:rsid w:val="004F4617"/>
    <w:rsid w:val="004F60CC"/>
    <w:rsid w:val="004F648B"/>
    <w:rsid w:val="004F77F7"/>
    <w:rsid w:val="004F7B4B"/>
    <w:rsid w:val="00502309"/>
    <w:rsid w:val="00503117"/>
    <w:rsid w:val="00505670"/>
    <w:rsid w:val="005059BA"/>
    <w:rsid w:val="005069C4"/>
    <w:rsid w:val="00506E88"/>
    <w:rsid w:val="0050734D"/>
    <w:rsid w:val="0050794C"/>
    <w:rsid w:val="005114C3"/>
    <w:rsid w:val="005116E9"/>
    <w:rsid w:val="00511C61"/>
    <w:rsid w:val="005120E6"/>
    <w:rsid w:val="005121DD"/>
    <w:rsid w:val="00515223"/>
    <w:rsid w:val="0051742E"/>
    <w:rsid w:val="00520D74"/>
    <w:rsid w:val="005216BD"/>
    <w:rsid w:val="0052262F"/>
    <w:rsid w:val="00523880"/>
    <w:rsid w:val="00524495"/>
    <w:rsid w:val="005247E5"/>
    <w:rsid w:val="0052520B"/>
    <w:rsid w:val="00527FAA"/>
    <w:rsid w:val="0053014C"/>
    <w:rsid w:val="00531BA7"/>
    <w:rsid w:val="00532A8F"/>
    <w:rsid w:val="00534993"/>
    <w:rsid w:val="00534D25"/>
    <w:rsid w:val="0053577B"/>
    <w:rsid w:val="00535A7F"/>
    <w:rsid w:val="00535E5A"/>
    <w:rsid w:val="00536C9B"/>
    <w:rsid w:val="00537D03"/>
    <w:rsid w:val="005402A7"/>
    <w:rsid w:val="00541F90"/>
    <w:rsid w:val="00542257"/>
    <w:rsid w:val="00543C7E"/>
    <w:rsid w:val="00544CA1"/>
    <w:rsid w:val="0054668E"/>
    <w:rsid w:val="0055057B"/>
    <w:rsid w:val="00552641"/>
    <w:rsid w:val="00553B42"/>
    <w:rsid w:val="00553B55"/>
    <w:rsid w:val="00554C79"/>
    <w:rsid w:val="00555235"/>
    <w:rsid w:val="0055552F"/>
    <w:rsid w:val="00555593"/>
    <w:rsid w:val="00556893"/>
    <w:rsid w:val="00557F9A"/>
    <w:rsid w:val="005630C5"/>
    <w:rsid w:val="005636D9"/>
    <w:rsid w:val="00564214"/>
    <w:rsid w:val="005642C6"/>
    <w:rsid w:val="0056512F"/>
    <w:rsid w:val="0056615C"/>
    <w:rsid w:val="0056671B"/>
    <w:rsid w:val="00566B65"/>
    <w:rsid w:val="005709CF"/>
    <w:rsid w:val="0057138A"/>
    <w:rsid w:val="00571561"/>
    <w:rsid w:val="005722F3"/>
    <w:rsid w:val="005741AF"/>
    <w:rsid w:val="005743B1"/>
    <w:rsid w:val="005773A4"/>
    <w:rsid w:val="00577EFD"/>
    <w:rsid w:val="0058593F"/>
    <w:rsid w:val="00586B35"/>
    <w:rsid w:val="0058727D"/>
    <w:rsid w:val="00587882"/>
    <w:rsid w:val="00590E57"/>
    <w:rsid w:val="0059115C"/>
    <w:rsid w:val="00592797"/>
    <w:rsid w:val="00592D29"/>
    <w:rsid w:val="005935D7"/>
    <w:rsid w:val="00593D16"/>
    <w:rsid w:val="00594545"/>
    <w:rsid w:val="0059563E"/>
    <w:rsid w:val="005A10FD"/>
    <w:rsid w:val="005A1849"/>
    <w:rsid w:val="005A3770"/>
    <w:rsid w:val="005A4609"/>
    <w:rsid w:val="005A4A78"/>
    <w:rsid w:val="005A4C57"/>
    <w:rsid w:val="005A5246"/>
    <w:rsid w:val="005A546F"/>
    <w:rsid w:val="005B0F6C"/>
    <w:rsid w:val="005B1EF1"/>
    <w:rsid w:val="005B2664"/>
    <w:rsid w:val="005B2A52"/>
    <w:rsid w:val="005B350C"/>
    <w:rsid w:val="005B3A52"/>
    <w:rsid w:val="005B42FA"/>
    <w:rsid w:val="005C1606"/>
    <w:rsid w:val="005C17DC"/>
    <w:rsid w:val="005C1A81"/>
    <w:rsid w:val="005C2DC3"/>
    <w:rsid w:val="005C4264"/>
    <w:rsid w:val="005C4B50"/>
    <w:rsid w:val="005C5010"/>
    <w:rsid w:val="005C59EB"/>
    <w:rsid w:val="005C666E"/>
    <w:rsid w:val="005C6987"/>
    <w:rsid w:val="005C6FB1"/>
    <w:rsid w:val="005C745E"/>
    <w:rsid w:val="005C7967"/>
    <w:rsid w:val="005D05F9"/>
    <w:rsid w:val="005D276F"/>
    <w:rsid w:val="005D2B79"/>
    <w:rsid w:val="005D3D6A"/>
    <w:rsid w:val="005D5E1D"/>
    <w:rsid w:val="005D5EC8"/>
    <w:rsid w:val="005E20BA"/>
    <w:rsid w:val="005E2BE4"/>
    <w:rsid w:val="005E2F2C"/>
    <w:rsid w:val="005E3BFE"/>
    <w:rsid w:val="005E47DB"/>
    <w:rsid w:val="005E5026"/>
    <w:rsid w:val="005E5905"/>
    <w:rsid w:val="005E718E"/>
    <w:rsid w:val="005E7A39"/>
    <w:rsid w:val="005F00B2"/>
    <w:rsid w:val="005F079B"/>
    <w:rsid w:val="005F09B9"/>
    <w:rsid w:val="005F10CB"/>
    <w:rsid w:val="005F1416"/>
    <w:rsid w:val="005F269D"/>
    <w:rsid w:val="005F2F73"/>
    <w:rsid w:val="005F4B3B"/>
    <w:rsid w:val="005F5BD9"/>
    <w:rsid w:val="005F6E36"/>
    <w:rsid w:val="005F71C6"/>
    <w:rsid w:val="006019DA"/>
    <w:rsid w:val="00601B5C"/>
    <w:rsid w:val="00602547"/>
    <w:rsid w:val="00603DFC"/>
    <w:rsid w:val="00603EE7"/>
    <w:rsid w:val="00604EA2"/>
    <w:rsid w:val="0060531E"/>
    <w:rsid w:val="00606AF8"/>
    <w:rsid w:val="00606BEF"/>
    <w:rsid w:val="00606CB7"/>
    <w:rsid w:val="00606E79"/>
    <w:rsid w:val="0061024F"/>
    <w:rsid w:val="00610656"/>
    <w:rsid w:val="006122BD"/>
    <w:rsid w:val="00613492"/>
    <w:rsid w:val="00613B32"/>
    <w:rsid w:val="0061472D"/>
    <w:rsid w:val="00615016"/>
    <w:rsid w:val="00615382"/>
    <w:rsid w:val="00616F0A"/>
    <w:rsid w:val="00617E55"/>
    <w:rsid w:val="0062039F"/>
    <w:rsid w:val="006204CA"/>
    <w:rsid w:val="00620BEA"/>
    <w:rsid w:val="00621308"/>
    <w:rsid w:val="006217EA"/>
    <w:rsid w:val="00621C93"/>
    <w:rsid w:val="00623821"/>
    <w:rsid w:val="006238AD"/>
    <w:rsid w:val="00623D09"/>
    <w:rsid w:val="00624242"/>
    <w:rsid w:val="00625147"/>
    <w:rsid w:val="00625659"/>
    <w:rsid w:val="00625AF7"/>
    <w:rsid w:val="00625CB5"/>
    <w:rsid w:val="006265E4"/>
    <w:rsid w:val="006267BB"/>
    <w:rsid w:val="006271AA"/>
    <w:rsid w:val="00627216"/>
    <w:rsid w:val="00627802"/>
    <w:rsid w:val="006307BC"/>
    <w:rsid w:val="00630949"/>
    <w:rsid w:val="00631613"/>
    <w:rsid w:val="00633036"/>
    <w:rsid w:val="00636BD5"/>
    <w:rsid w:val="00636F41"/>
    <w:rsid w:val="006372C6"/>
    <w:rsid w:val="006404D5"/>
    <w:rsid w:val="00642CF3"/>
    <w:rsid w:val="00642ECC"/>
    <w:rsid w:val="00643220"/>
    <w:rsid w:val="00643463"/>
    <w:rsid w:val="006447D2"/>
    <w:rsid w:val="00644ED6"/>
    <w:rsid w:val="00646309"/>
    <w:rsid w:val="00650755"/>
    <w:rsid w:val="0065240E"/>
    <w:rsid w:val="00652E4A"/>
    <w:rsid w:val="00653D23"/>
    <w:rsid w:val="00654930"/>
    <w:rsid w:val="00655377"/>
    <w:rsid w:val="0065751C"/>
    <w:rsid w:val="00660356"/>
    <w:rsid w:val="00661FD0"/>
    <w:rsid w:val="006621FE"/>
    <w:rsid w:val="006640ED"/>
    <w:rsid w:val="00664722"/>
    <w:rsid w:val="00665B29"/>
    <w:rsid w:val="00665BEE"/>
    <w:rsid w:val="0066756A"/>
    <w:rsid w:val="00670FF2"/>
    <w:rsid w:val="00671466"/>
    <w:rsid w:val="006726AB"/>
    <w:rsid w:val="006728C6"/>
    <w:rsid w:val="0067351F"/>
    <w:rsid w:val="00675DF2"/>
    <w:rsid w:val="00677558"/>
    <w:rsid w:val="0067784D"/>
    <w:rsid w:val="00677B1E"/>
    <w:rsid w:val="00677FB4"/>
    <w:rsid w:val="006803A5"/>
    <w:rsid w:val="006823EB"/>
    <w:rsid w:val="0068383D"/>
    <w:rsid w:val="00683ED5"/>
    <w:rsid w:val="00684C5A"/>
    <w:rsid w:val="00685354"/>
    <w:rsid w:val="00685F87"/>
    <w:rsid w:val="00687513"/>
    <w:rsid w:val="00692EE9"/>
    <w:rsid w:val="006933DB"/>
    <w:rsid w:val="006948A9"/>
    <w:rsid w:val="00694BB8"/>
    <w:rsid w:val="006951C4"/>
    <w:rsid w:val="00695594"/>
    <w:rsid w:val="006978A7"/>
    <w:rsid w:val="006A3F76"/>
    <w:rsid w:val="006A46D8"/>
    <w:rsid w:val="006A4C94"/>
    <w:rsid w:val="006A5054"/>
    <w:rsid w:val="006A737C"/>
    <w:rsid w:val="006B0BC4"/>
    <w:rsid w:val="006B0D02"/>
    <w:rsid w:val="006B154B"/>
    <w:rsid w:val="006B2042"/>
    <w:rsid w:val="006B3941"/>
    <w:rsid w:val="006B3C17"/>
    <w:rsid w:val="006B3EF8"/>
    <w:rsid w:val="006B45F0"/>
    <w:rsid w:val="006B4BDF"/>
    <w:rsid w:val="006B5CC7"/>
    <w:rsid w:val="006B69D1"/>
    <w:rsid w:val="006B765D"/>
    <w:rsid w:val="006C1D3D"/>
    <w:rsid w:val="006C1D6E"/>
    <w:rsid w:val="006C2BD3"/>
    <w:rsid w:val="006C2CA5"/>
    <w:rsid w:val="006C2D9C"/>
    <w:rsid w:val="006C4A14"/>
    <w:rsid w:val="006C60AE"/>
    <w:rsid w:val="006C6AAA"/>
    <w:rsid w:val="006C6FEE"/>
    <w:rsid w:val="006C7AC7"/>
    <w:rsid w:val="006C7E87"/>
    <w:rsid w:val="006D2467"/>
    <w:rsid w:val="006D31D0"/>
    <w:rsid w:val="006D33CB"/>
    <w:rsid w:val="006D3DC8"/>
    <w:rsid w:val="006D4F12"/>
    <w:rsid w:val="006D5858"/>
    <w:rsid w:val="006E0F43"/>
    <w:rsid w:val="006E13E9"/>
    <w:rsid w:val="006E174F"/>
    <w:rsid w:val="006E1C6C"/>
    <w:rsid w:val="006E479D"/>
    <w:rsid w:val="006E4FB8"/>
    <w:rsid w:val="006E5EB0"/>
    <w:rsid w:val="006E6F8E"/>
    <w:rsid w:val="006E72E7"/>
    <w:rsid w:val="006F0CF0"/>
    <w:rsid w:val="006F169E"/>
    <w:rsid w:val="006F181E"/>
    <w:rsid w:val="006F1F74"/>
    <w:rsid w:val="006F320F"/>
    <w:rsid w:val="006F45FB"/>
    <w:rsid w:val="006F49FD"/>
    <w:rsid w:val="006F6A2C"/>
    <w:rsid w:val="0070053F"/>
    <w:rsid w:val="00701431"/>
    <w:rsid w:val="007026FA"/>
    <w:rsid w:val="00703685"/>
    <w:rsid w:val="00704769"/>
    <w:rsid w:val="007047DF"/>
    <w:rsid w:val="00705C59"/>
    <w:rsid w:val="00711676"/>
    <w:rsid w:val="00711EB8"/>
    <w:rsid w:val="007137E9"/>
    <w:rsid w:val="007143AE"/>
    <w:rsid w:val="00714660"/>
    <w:rsid w:val="00715096"/>
    <w:rsid w:val="007172E8"/>
    <w:rsid w:val="00720797"/>
    <w:rsid w:val="00721761"/>
    <w:rsid w:val="007223D7"/>
    <w:rsid w:val="007239DA"/>
    <w:rsid w:val="00725841"/>
    <w:rsid w:val="007260DE"/>
    <w:rsid w:val="00726FC7"/>
    <w:rsid w:val="0072720F"/>
    <w:rsid w:val="007273A0"/>
    <w:rsid w:val="00730950"/>
    <w:rsid w:val="007316FD"/>
    <w:rsid w:val="00731816"/>
    <w:rsid w:val="0073214D"/>
    <w:rsid w:val="00732254"/>
    <w:rsid w:val="00732EA1"/>
    <w:rsid w:val="0073556C"/>
    <w:rsid w:val="00737540"/>
    <w:rsid w:val="00737689"/>
    <w:rsid w:val="00737C16"/>
    <w:rsid w:val="00740B30"/>
    <w:rsid w:val="00740BCD"/>
    <w:rsid w:val="00741DF3"/>
    <w:rsid w:val="0074295A"/>
    <w:rsid w:val="00742A4F"/>
    <w:rsid w:val="00744AB7"/>
    <w:rsid w:val="00744DF1"/>
    <w:rsid w:val="00745F52"/>
    <w:rsid w:val="00746706"/>
    <w:rsid w:val="0074684F"/>
    <w:rsid w:val="00746B4D"/>
    <w:rsid w:val="00746BC5"/>
    <w:rsid w:val="00747FA2"/>
    <w:rsid w:val="007520CB"/>
    <w:rsid w:val="00752D70"/>
    <w:rsid w:val="00752EE9"/>
    <w:rsid w:val="0075386D"/>
    <w:rsid w:val="00755099"/>
    <w:rsid w:val="0075685A"/>
    <w:rsid w:val="00756B2B"/>
    <w:rsid w:val="00756C28"/>
    <w:rsid w:val="00756E98"/>
    <w:rsid w:val="007572BB"/>
    <w:rsid w:val="00757A15"/>
    <w:rsid w:val="0076038D"/>
    <w:rsid w:val="00760660"/>
    <w:rsid w:val="0076157F"/>
    <w:rsid w:val="00761E27"/>
    <w:rsid w:val="00762AAF"/>
    <w:rsid w:val="00763A79"/>
    <w:rsid w:val="007648C1"/>
    <w:rsid w:val="007661E7"/>
    <w:rsid w:val="007716AF"/>
    <w:rsid w:val="007716E3"/>
    <w:rsid w:val="00772DED"/>
    <w:rsid w:val="00772FB7"/>
    <w:rsid w:val="00773646"/>
    <w:rsid w:val="007779BC"/>
    <w:rsid w:val="00781A4D"/>
    <w:rsid w:val="00782037"/>
    <w:rsid w:val="00784DD6"/>
    <w:rsid w:val="007853F8"/>
    <w:rsid w:val="00785B93"/>
    <w:rsid w:val="00787592"/>
    <w:rsid w:val="00790520"/>
    <w:rsid w:val="0079090B"/>
    <w:rsid w:val="00790CC6"/>
    <w:rsid w:val="007910E7"/>
    <w:rsid w:val="00792E8C"/>
    <w:rsid w:val="0079439F"/>
    <w:rsid w:val="00794B4E"/>
    <w:rsid w:val="007957DF"/>
    <w:rsid w:val="0079581F"/>
    <w:rsid w:val="00795820"/>
    <w:rsid w:val="007A01A4"/>
    <w:rsid w:val="007A0D20"/>
    <w:rsid w:val="007A380C"/>
    <w:rsid w:val="007A491D"/>
    <w:rsid w:val="007A4F14"/>
    <w:rsid w:val="007A5426"/>
    <w:rsid w:val="007A587E"/>
    <w:rsid w:val="007A66EF"/>
    <w:rsid w:val="007A6747"/>
    <w:rsid w:val="007A7511"/>
    <w:rsid w:val="007A7F3A"/>
    <w:rsid w:val="007B11C6"/>
    <w:rsid w:val="007B27B6"/>
    <w:rsid w:val="007B581B"/>
    <w:rsid w:val="007C0320"/>
    <w:rsid w:val="007C258C"/>
    <w:rsid w:val="007C29E9"/>
    <w:rsid w:val="007C3655"/>
    <w:rsid w:val="007C396E"/>
    <w:rsid w:val="007C4290"/>
    <w:rsid w:val="007C43F1"/>
    <w:rsid w:val="007C4DAA"/>
    <w:rsid w:val="007C6276"/>
    <w:rsid w:val="007C692F"/>
    <w:rsid w:val="007C7A94"/>
    <w:rsid w:val="007D019E"/>
    <w:rsid w:val="007D0613"/>
    <w:rsid w:val="007D2F6F"/>
    <w:rsid w:val="007D395C"/>
    <w:rsid w:val="007D412D"/>
    <w:rsid w:val="007D5914"/>
    <w:rsid w:val="007D6865"/>
    <w:rsid w:val="007D6E8B"/>
    <w:rsid w:val="007D74B7"/>
    <w:rsid w:val="007E2590"/>
    <w:rsid w:val="007E2D89"/>
    <w:rsid w:val="007E3406"/>
    <w:rsid w:val="007E3766"/>
    <w:rsid w:val="007E44D2"/>
    <w:rsid w:val="007E4790"/>
    <w:rsid w:val="007E47B0"/>
    <w:rsid w:val="007E4A73"/>
    <w:rsid w:val="007E5299"/>
    <w:rsid w:val="007E54FE"/>
    <w:rsid w:val="007E55A8"/>
    <w:rsid w:val="007E5BAC"/>
    <w:rsid w:val="007E5EC6"/>
    <w:rsid w:val="007E61D4"/>
    <w:rsid w:val="007E68E5"/>
    <w:rsid w:val="007E7182"/>
    <w:rsid w:val="007E765A"/>
    <w:rsid w:val="007F200A"/>
    <w:rsid w:val="007F2FAC"/>
    <w:rsid w:val="007F3155"/>
    <w:rsid w:val="007F4A1E"/>
    <w:rsid w:val="007F55F9"/>
    <w:rsid w:val="007F5916"/>
    <w:rsid w:val="007F73F4"/>
    <w:rsid w:val="0080010A"/>
    <w:rsid w:val="0080192A"/>
    <w:rsid w:val="0080439A"/>
    <w:rsid w:val="00805F8E"/>
    <w:rsid w:val="00806824"/>
    <w:rsid w:val="00806942"/>
    <w:rsid w:val="008122F7"/>
    <w:rsid w:val="00812C32"/>
    <w:rsid w:val="00813D91"/>
    <w:rsid w:val="00816A5F"/>
    <w:rsid w:val="00816AA7"/>
    <w:rsid w:val="008216FD"/>
    <w:rsid w:val="008229BE"/>
    <w:rsid w:val="008231AA"/>
    <w:rsid w:val="0082326A"/>
    <w:rsid w:val="00823490"/>
    <w:rsid w:val="00823841"/>
    <w:rsid w:val="0082468D"/>
    <w:rsid w:val="00827BCB"/>
    <w:rsid w:val="00830810"/>
    <w:rsid w:val="00834688"/>
    <w:rsid w:val="0083469B"/>
    <w:rsid w:val="0083505E"/>
    <w:rsid w:val="00835339"/>
    <w:rsid w:val="008354EF"/>
    <w:rsid w:val="00835B98"/>
    <w:rsid w:val="0083604F"/>
    <w:rsid w:val="00836309"/>
    <w:rsid w:val="008373F5"/>
    <w:rsid w:val="00842E2F"/>
    <w:rsid w:val="00842F07"/>
    <w:rsid w:val="008437CD"/>
    <w:rsid w:val="00843D62"/>
    <w:rsid w:val="00847C6E"/>
    <w:rsid w:val="00847F09"/>
    <w:rsid w:val="0085064A"/>
    <w:rsid w:val="00850B4E"/>
    <w:rsid w:val="00850DF2"/>
    <w:rsid w:val="0085315C"/>
    <w:rsid w:val="0085330E"/>
    <w:rsid w:val="00854A2B"/>
    <w:rsid w:val="008555A2"/>
    <w:rsid w:val="00856B6C"/>
    <w:rsid w:val="0086341D"/>
    <w:rsid w:val="00863F4B"/>
    <w:rsid w:val="00865890"/>
    <w:rsid w:val="00865D82"/>
    <w:rsid w:val="00865DA4"/>
    <w:rsid w:val="00870698"/>
    <w:rsid w:val="00871127"/>
    <w:rsid w:val="008717C4"/>
    <w:rsid w:val="008726EE"/>
    <w:rsid w:val="00872A1A"/>
    <w:rsid w:val="0087350B"/>
    <w:rsid w:val="00874105"/>
    <w:rsid w:val="00874377"/>
    <w:rsid w:val="008765AB"/>
    <w:rsid w:val="00876AB8"/>
    <w:rsid w:val="00877007"/>
    <w:rsid w:val="008814A9"/>
    <w:rsid w:val="008815AB"/>
    <w:rsid w:val="00881F89"/>
    <w:rsid w:val="008820B9"/>
    <w:rsid w:val="0088304F"/>
    <w:rsid w:val="00884C9F"/>
    <w:rsid w:val="0088569F"/>
    <w:rsid w:val="00886E9A"/>
    <w:rsid w:val="008907F6"/>
    <w:rsid w:val="00890C37"/>
    <w:rsid w:val="00891959"/>
    <w:rsid w:val="00891E05"/>
    <w:rsid w:val="00892B37"/>
    <w:rsid w:val="00894247"/>
    <w:rsid w:val="00894664"/>
    <w:rsid w:val="00895346"/>
    <w:rsid w:val="0089547B"/>
    <w:rsid w:val="00895B2B"/>
    <w:rsid w:val="008A1E14"/>
    <w:rsid w:val="008A34F9"/>
    <w:rsid w:val="008A3B8F"/>
    <w:rsid w:val="008A3DAC"/>
    <w:rsid w:val="008A405B"/>
    <w:rsid w:val="008A5787"/>
    <w:rsid w:val="008A6691"/>
    <w:rsid w:val="008A6BEC"/>
    <w:rsid w:val="008A6C8C"/>
    <w:rsid w:val="008A6CEE"/>
    <w:rsid w:val="008A7315"/>
    <w:rsid w:val="008A7B4C"/>
    <w:rsid w:val="008B0722"/>
    <w:rsid w:val="008B1092"/>
    <w:rsid w:val="008B2305"/>
    <w:rsid w:val="008B344A"/>
    <w:rsid w:val="008B3826"/>
    <w:rsid w:val="008B4EDB"/>
    <w:rsid w:val="008B52C9"/>
    <w:rsid w:val="008B65ED"/>
    <w:rsid w:val="008C0419"/>
    <w:rsid w:val="008C0C84"/>
    <w:rsid w:val="008C0EDF"/>
    <w:rsid w:val="008C1094"/>
    <w:rsid w:val="008C27B0"/>
    <w:rsid w:val="008C2851"/>
    <w:rsid w:val="008C2EA3"/>
    <w:rsid w:val="008C45C1"/>
    <w:rsid w:val="008C5C5B"/>
    <w:rsid w:val="008C6FCB"/>
    <w:rsid w:val="008D041E"/>
    <w:rsid w:val="008D0F19"/>
    <w:rsid w:val="008D10D6"/>
    <w:rsid w:val="008D139A"/>
    <w:rsid w:val="008D25FB"/>
    <w:rsid w:val="008D265C"/>
    <w:rsid w:val="008D3947"/>
    <w:rsid w:val="008D399F"/>
    <w:rsid w:val="008D47FA"/>
    <w:rsid w:val="008D4856"/>
    <w:rsid w:val="008D534E"/>
    <w:rsid w:val="008D5972"/>
    <w:rsid w:val="008D5ABF"/>
    <w:rsid w:val="008D75B5"/>
    <w:rsid w:val="008D7EDE"/>
    <w:rsid w:val="008E04DC"/>
    <w:rsid w:val="008E05D0"/>
    <w:rsid w:val="008E2EC9"/>
    <w:rsid w:val="008E4046"/>
    <w:rsid w:val="008E41D6"/>
    <w:rsid w:val="008E45E2"/>
    <w:rsid w:val="008E4B55"/>
    <w:rsid w:val="008E5246"/>
    <w:rsid w:val="008E5A7B"/>
    <w:rsid w:val="008E614F"/>
    <w:rsid w:val="008F04EA"/>
    <w:rsid w:val="008F1630"/>
    <w:rsid w:val="008F4D43"/>
    <w:rsid w:val="008F51CE"/>
    <w:rsid w:val="008F6335"/>
    <w:rsid w:val="008F6ACF"/>
    <w:rsid w:val="008F79FE"/>
    <w:rsid w:val="0090010D"/>
    <w:rsid w:val="00900A90"/>
    <w:rsid w:val="0090173C"/>
    <w:rsid w:val="009022B6"/>
    <w:rsid w:val="00902ABD"/>
    <w:rsid w:val="00903236"/>
    <w:rsid w:val="009035BA"/>
    <w:rsid w:val="00904688"/>
    <w:rsid w:val="009049E9"/>
    <w:rsid w:val="00904B33"/>
    <w:rsid w:val="00906BCA"/>
    <w:rsid w:val="009107DE"/>
    <w:rsid w:val="0091083E"/>
    <w:rsid w:val="00910C08"/>
    <w:rsid w:val="00910CCC"/>
    <w:rsid w:val="00911CE1"/>
    <w:rsid w:val="00912976"/>
    <w:rsid w:val="00912BCC"/>
    <w:rsid w:val="00913516"/>
    <w:rsid w:val="00914C7C"/>
    <w:rsid w:val="00915484"/>
    <w:rsid w:val="009165D7"/>
    <w:rsid w:val="00917D97"/>
    <w:rsid w:val="00923476"/>
    <w:rsid w:val="00924E5E"/>
    <w:rsid w:val="00924E80"/>
    <w:rsid w:val="0092522C"/>
    <w:rsid w:val="009255A5"/>
    <w:rsid w:val="00926168"/>
    <w:rsid w:val="00926C18"/>
    <w:rsid w:val="00927AB4"/>
    <w:rsid w:val="00930AE3"/>
    <w:rsid w:val="00930C7E"/>
    <w:rsid w:val="0093281D"/>
    <w:rsid w:val="00933103"/>
    <w:rsid w:val="00933935"/>
    <w:rsid w:val="00933DB8"/>
    <w:rsid w:val="00934E2C"/>
    <w:rsid w:val="00935091"/>
    <w:rsid w:val="00935AF7"/>
    <w:rsid w:val="00935CBB"/>
    <w:rsid w:val="00935F4D"/>
    <w:rsid w:val="00940167"/>
    <w:rsid w:val="00940DBF"/>
    <w:rsid w:val="009413BF"/>
    <w:rsid w:val="009466BA"/>
    <w:rsid w:val="009466D8"/>
    <w:rsid w:val="009541E7"/>
    <w:rsid w:val="0095504A"/>
    <w:rsid w:val="00955B3B"/>
    <w:rsid w:val="00956084"/>
    <w:rsid w:val="009570D4"/>
    <w:rsid w:val="0095739B"/>
    <w:rsid w:val="00960FF0"/>
    <w:rsid w:val="009619AF"/>
    <w:rsid w:val="00962A4A"/>
    <w:rsid w:val="009644BE"/>
    <w:rsid w:val="009646BF"/>
    <w:rsid w:val="00965AF0"/>
    <w:rsid w:val="00966C43"/>
    <w:rsid w:val="00967899"/>
    <w:rsid w:val="00970C64"/>
    <w:rsid w:val="00970E86"/>
    <w:rsid w:val="00971296"/>
    <w:rsid w:val="009717EC"/>
    <w:rsid w:val="009719D5"/>
    <w:rsid w:val="009727BE"/>
    <w:rsid w:val="00973156"/>
    <w:rsid w:val="009742F3"/>
    <w:rsid w:val="00975063"/>
    <w:rsid w:val="009814C6"/>
    <w:rsid w:val="00981E0D"/>
    <w:rsid w:val="00983457"/>
    <w:rsid w:val="00983551"/>
    <w:rsid w:val="00983822"/>
    <w:rsid w:val="00983BFF"/>
    <w:rsid w:val="00984581"/>
    <w:rsid w:val="00986B59"/>
    <w:rsid w:val="00987313"/>
    <w:rsid w:val="00987F26"/>
    <w:rsid w:val="00991A26"/>
    <w:rsid w:val="00991A2E"/>
    <w:rsid w:val="00991E43"/>
    <w:rsid w:val="00992EA7"/>
    <w:rsid w:val="00993982"/>
    <w:rsid w:val="00993B7B"/>
    <w:rsid w:val="00993F75"/>
    <w:rsid w:val="00994893"/>
    <w:rsid w:val="00994995"/>
    <w:rsid w:val="00995A8D"/>
    <w:rsid w:val="00996A9D"/>
    <w:rsid w:val="00997152"/>
    <w:rsid w:val="009A1057"/>
    <w:rsid w:val="009A194E"/>
    <w:rsid w:val="009A2223"/>
    <w:rsid w:val="009A376A"/>
    <w:rsid w:val="009A3BD1"/>
    <w:rsid w:val="009A41AF"/>
    <w:rsid w:val="009A4947"/>
    <w:rsid w:val="009A59FE"/>
    <w:rsid w:val="009A69E6"/>
    <w:rsid w:val="009A7425"/>
    <w:rsid w:val="009A7E6C"/>
    <w:rsid w:val="009B1096"/>
    <w:rsid w:val="009B27E9"/>
    <w:rsid w:val="009B33E6"/>
    <w:rsid w:val="009B4A36"/>
    <w:rsid w:val="009B5258"/>
    <w:rsid w:val="009B6B89"/>
    <w:rsid w:val="009B7B69"/>
    <w:rsid w:val="009B7F1F"/>
    <w:rsid w:val="009C03E6"/>
    <w:rsid w:val="009C074C"/>
    <w:rsid w:val="009C0CF8"/>
    <w:rsid w:val="009C0D0E"/>
    <w:rsid w:val="009C147A"/>
    <w:rsid w:val="009C157C"/>
    <w:rsid w:val="009C1C4B"/>
    <w:rsid w:val="009C4696"/>
    <w:rsid w:val="009C50D5"/>
    <w:rsid w:val="009C56AE"/>
    <w:rsid w:val="009C5797"/>
    <w:rsid w:val="009C726F"/>
    <w:rsid w:val="009D0AA1"/>
    <w:rsid w:val="009D0D83"/>
    <w:rsid w:val="009D0F2F"/>
    <w:rsid w:val="009D173B"/>
    <w:rsid w:val="009D216C"/>
    <w:rsid w:val="009D5CB1"/>
    <w:rsid w:val="009D60E2"/>
    <w:rsid w:val="009D6588"/>
    <w:rsid w:val="009E26F8"/>
    <w:rsid w:val="009E27EF"/>
    <w:rsid w:val="009E2865"/>
    <w:rsid w:val="009E3BC4"/>
    <w:rsid w:val="009E3C00"/>
    <w:rsid w:val="009E4522"/>
    <w:rsid w:val="009E4BFF"/>
    <w:rsid w:val="009E6048"/>
    <w:rsid w:val="009E6B2B"/>
    <w:rsid w:val="009F1998"/>
    <w:rsid w:val="009F252A"/>
    <w:rsid w:val="009F28CE"/>
    <w:rsid w:val="009F3685"/>
    <w:rsid w:val="009F4A42"/>
    <w:rsid w:val="009F576B"/>
    <w:rsid w:val="009F6141"/>
    <w:rsid w:val="009F6B24"/>
    <w:rsid w:val="009F7CA1"/>
    <w:rsid w:val="009F7F97"/>
    <w:rsid w:val="00A002D0"/>
    <w:rsid w:val="00A009B6"/>
    <w:rsid w:val="00A0235E"/>
    <w:rsid w:val="00A02661"/>
    <w:rsid w:val="00A02697"/>
    <w:rsid w:val="00A02835"/>
    <w:rsid w:val="00A03853"/>
    <w:rsid w:val="00A03EF4"/>
    <w:rsid w:val="00A05BDD"/>
    <w:rsid w:val="00A062FB"/>
    <w:rsid w:val="00A06571"/>
    <w:rsid w:val="00A06BF9"/>
    <w:rsid w:val="00A07D38"/>
    <w:rsid w:val="00A1027D"/>
    <w:rsid w:val="00A103E6"/>
    <w:rsid w:val="00A112E2"/>
    <w:rsid w:val="00A1159A"/>
    <w:rsid w:val="00A117E5"/>
    <w:rsid w:val="00A11A7F"/>
    <w:rsid w:val="00A11BF0"/>
    <w:rsid w:val="00A11FA6"/>
    <w:rsid w:val="00A1259E"/>
    <w:rsid w:val="00A13E86"/>
    <w:rsid w:val="00A140B2"/>
    <w:rsid w:val="00A1477F"/>
    <w:rsid w:val="00A15179"/>
    <w:rsid w:val="00A172DF"/>
    <w:rsid w:val="00A215A6"/>
    <w:rsid w:val="00A218E2"/>
    <w:rsid w:val="00A23007"/>
    <w:rsid w:val="00A257AE"/>
    <w:rsid w:val="00A259B7"/>
    <w:rsid w:val="00A259E0"/>
    <w:rsid w:val="00A25BF1"/>
    <w:rsid w:val="00A26078"/>
    <w:rsid w:val="00A268EF"/>
    <w:rsid w:val="00A26F0D"/>
    <w:rsid w:val="00A2704D"/>
    <w:rsid w:val="00A274BE"/>
    <w:rsid w:val="00A3203A"/>
    <w:rsid w:val="00A3228A"/>
    <w:rsid w:val="00A358F4"/>
    <w:rsid w:val="00A36187"/>
    <w:rsid w:val="00A3629D"/>
    <w:rsid w:val="00A3645C"/>
    <w:rsid w:val="00A3698F"/>
    <w:rsid w:val="00A3708A"/>
    <w:rsid w:val="00A37168"/>
    <w:rsid w:val="00A37D53"/>
    <w:rsid w:val="00A40EFF"/>
    <w:rsid w:val="00A41786"/>
    <w:rsid w:val="00A4255F"/>
    <w:rsid w:val="00A43D47"/>
    <w:rsid w:val="00A44BF9"/>
    <w:rsid w:val="00A459A5"/>
    <w:rsid w:val="00A45C28"/>
    <w:rsid w:val="00A46010"/>
    <w:rsid w:val="00A46163"/>
    <w:rsid w:val="00A46978"/>
    <w:rsid w:val="00A46D20"/>
    <w:rsid w:val="00A47429"/>
    <w:rsid w:val="00A47FA3"/>
    <w:rsid w:val="00A50963"/>
    <w:rsid w:val="00A50A81"/>
    <w:rsid w:val="00A50DF4"/>
    <w:rsid w:val="00A51131"/>
    <w:rsid w:val="00A51C4C"/>
    <w:rsid w:val="00A53401"/>
    <w:rsid w:val="00A53491"/>
    <w:rsid w:val="00A53584"/>
    <w:rsid w:val="00A56B02"/>
    <w:rsid w:val="00A614D0"/>
    <w:rsid w:val="00A62D8B"/>
    <w:rsid w:val="00A63703"/>
    <w:rsid w:val="00A64F15"/>
    <w:rsid w:val="00A65EF3"/>
    <w:rsid w:val="00A668BC"/>
    <w:rsid w:val="00A66F1F"/>
    <w:rsid w:val="00A670DF"/>
    <w:rsid w:val="00A671FE"/>
    <w:rsid w:val="00A67762"/>
    <w:rsid w:val="00A6796C"/>
    <w:rsid w:val="00A67E6D"/>
    <w:rsid w:val="00A706DC"/>
    <w:rsid w:val="00A71523"/>
    <w:rsid w:val="00A7276A"/>
    <w:rsid w:val="00A72F22"/>
    <w:rsid w:val="00A7400A"/>
    <w:rsid w:val="00A75AF4"/>
    <w:rsid w:val="00A76937"/>
    <w:rsid w:val="00A76AA2"/>
    <w:rsid w:val="00A76B7E"/>
    <w:rsid w:val="00A770BB"/>
    <w:rsid w:val="00A773D7"/>
    <w:rsid w:val="00A77806"/>
    <w:rsid w:val="00A80005"/>
    <w:rsid w:val="00A8017E"/>
    <w:rsid w:val="00A8050D"/>
    <w:rsid w:val="00A80681"/>
    <w:rsid w:val="00A809D8"/>
    <w:rsid w:val="00A843D3"/>
    <w:rsid w:val="00A84A1C"/>
    <w:rsid w:val="00A85886"/>
    <w:rsid w:val="00A859B8"/>
    <w:rsid w:val="00A85D96"/>
    <w:rsid w:val="00A8786C"/>
    <w:rsid w:val="00A90154"/>
    <w:rsid w:val="00A917EA"/>
    <w:rsid w:val="00A92C0A"/>
    <w:rsid w:val="00A93B2D"/>
    <w:rsid w:val="00A94177"/>
    <w:rsid w:val="00A944FB"/>
    <w:rsid w:val="00A94C60"/>
    <w:rsid w:val="00A94E9D"/>
    <w:rsid w:val="00A96232"/>
    <w:rsid w:val="00A96278"/>
    <w:rsid w:val="00A96401"/>
    <w:rsid w:val="00AA0801"/>
    <w:rsid w:val="00AA65BC"/>
    <w:rsid w:val="00AA7466"/>
    <w:rsid w:val="00AA7C0A"/>
    <w:rsid w:val="00AB0FEF"/>
    <w:rsid w:val="00AB1B90"/>
    <w:rsid w:val="00AB1CF2"/>
    <w:rsid w:val="00AB60DA"/>
    <w:rsid w:val="00AB65E1"/>
    <w:rsid w:val="00AB6959"/>
    <w:rsid w:val="00AB69A8"/>
    <w:rsid w:val="00AB6A4B"/>
    <w:rsid w:val="00AB7A3C"/>
    <w:rsid w:val="00AC0352"/>
    <w:rsid w:val="00AC0E06"/>
    <w:rsid w:val="00AC1BA2"/>
    <w:rsid w:val="00AC36C6"/>
    <w:rsid w:val="00AC4DCB"/>
    <w:rsid w:val="00AC5D5A"/>
    <w:rsid w:val="00AC6334"/>
    <w:rsid w:val="00AC6751"/>
    <w:rsid w:val="00AC7199"/>
    <w:rsid w:val="00AC7579"/>
    <w:rsid w:val="00AD1765"/>
    <w:rsid w:val="00AD2091"/>
    <w:rsid w:val="00AD256F"/>
    <w:rsid w:val="00AD3460"/>
    <w:rsid w:val="00AD39E1"/>
    <w:rsid w:val="00AD3A82"/>
    <w:rsid w:val="00AD4211"/>
    <w:rsid w:val="00AD5ABC"/>
    <w:rsid w:val="00AD5FC2"/>
    <w:rsid w:val="00AE0E64"/>
    <w:rsid w:val="00AE1893"/>
    <w:rsid w:val="00AE1BCB"/>
    <w:rsid w:val="00AE3251"/>
    <w:rsid w:val="00AE4300"/>
    <w:rsid w:val="00AE592F"/>
    <w:rsid w:val="00AE7AC7"/>
    <w:rsid w:val="00AF01E9"/>
    <w:rsid w:val="00AF0A68"/>
    <w:rsid w:val="00AF27B4"/>
    <w:rsid w:val="00AF40D1"/>
    <w:rsid w:val="00AF5A9B"/>
    <w:rsid w:val="00AF5F5B"/>
    <w:rsid w:val="00AF6FF2"/>
    <w:rsid w:val="00B00E96"/>
    <w:rsid w:val="00B036C9"/>
    <w:rsid w:val="00B05516"/>
    <w:rsid w:val="00B05C4D"/>
    <w:rsid w:val="00B06275"/>
    <w:rsid w:val="00B116E8"/>
    <w:rsid w:val="00B13B79"/>
    <w:rsid w:val="00B13F12"/>
    <w:rsid w:val="00B140F1"/>
    <w:rsid w:val="00B1429E"/>
    <w:rsid w:val="00B144FE"/>
    <w:rsid w:val="00B178E4"/>
    <w:rsid w:val="00B2046B"/>
    <w:rsid w:val="00B21416"/>
    <w:rsid w:val="00B21921"/>
    <w:rsid w:val="00B21981"/>
    <w:rsid w:val="00B2221B"/>
    <w:rsid w:val="00B269B8"/>
    <w:rsid w:val="00B26E96"/>
    <w:rsid w:val="00B270A1"/>
    <w:rsid w:val="00B27686"/>
    <w:rsid w:val="00B30501"/>
    <w:rsid w:val="00B31560"/>
    <w:rsid w:val="00B31D09"/>
    <w:rsid w:val="00B34AB6"/>
    <w:rsid w:val="00B351EF"/>
    <w:rsid w:val="00B3557D"/>
    <w:rsid w:val="00B356D1"/>
    <w:rsid w:val="00B36057"/>
    <w:rsid w:val="00B364E2"/>
    <w:rsid w:val="00B36A74"/>
    <w:rsid w:val="00B41BBA"/>
    <w:rsid w:val="00B41D3E"/>
    <w:rsid w:val="00B43924"/>
    <w:rsid w:val="00B44884"/>
    <w:rsid w:val="00B4518A"/>
    <w:rsid w:val="00B4537C"/>
    <w:rsid w:val="00B4578C"/>
    <w:rsid w:val="00B46177"/>
    <w:rsid w:val="00B47B7A"/>
    <w:rsid w:val="00B47E11"/>
    <w:rsid w:val="00B502C0"/>
    <w:rsid w:val="00B507ED"/>
    <w:rsid w:val="00B518C0"/>
    <w:rsid w:val="00B519D3"/>
    <w:rsid w:val="00B55701"/>
    <w:rsid w:val="00B56079"/>
    <w:rsid w:val="00B56885"/>
    <w:rsid w:val="00B573CF"/>
    <w:rsid w:val="00B5791D"/>
    <w:rsid w:val="00B60044"/>
    <w:rsid w:val="00B605D1"/>
    <w:rsid w:val="00B61E65"/>
    <w:rsid w:val="00B62BDB"/>
    <w:rsid w:val="00B63AC6"/>
    <w:rsid w:val="00B65136"/>
    <w:rsid w:val="00B66C85"/>
    <w:rsid w:val="00B671F3"/>
    <w:rsid w:val="00B6750A"/>
    <w:rsid w:val="00B6795C"/>
    <w:rsid w:val="00B70734"/>
    <w:rsid w:val="00B71DD0"/>
    <w:rsid w:val="00B72A2A"/>
    <w:rsid w:val="00B7341A"/>
    <w:rsid w:val="00B74468"/>
    <w:rsid w:val="00B74A57"/>
    <w:rsid w:val="00B76B93"/>
    <w:rsid w:val="00B77268"/>
    <w:rsid w:val="00B772F1"/>
    <w:rsid w:val="00B77AEC"/>
    <w:rsid w:val="00B80AD5"/>
    <w:rsid w:val="00B81D69"/>
    <w:rsid w:val="00B820F3"/>
    <w:rsid w:val="00B8238B"/>
    <w:rsid w:val="00B8266B"/>
    <w:rsid w:val="00B845AC"/>
    <w:rsid w:val="00B84E8E"/>
    <w:rsid w:val="00B852E7"/>
    <w:rsid w:val="00B85E63"/>
    <w:rsid w:val="00B86338"/>
    <w:rsid w:val="00B90494"/>
    <w:rsid w:val="00B90550"/>
    <w:rsid w:val="00B92847"/>
    <w:rsid w:val="00B93160"/>
    <w:rsid w:val="00B94053"/>
    <w:rsid w:val="00B9451F"/>
    <w:rsid w:val="00B9453C"/>
    <w:rsid w:val="00B95303"/>
    <w:rsid w:val="00B956FB"/>
    <w:rsid w:val="00B95C02"/>
    <w:rsid w:val="00B960C0"/>
    <w:rsid w:val="00B96203"/>
    <w:rsid w:val="00BA026D"/>
    <w:rsid w:val="00BA02F4"/>
    <w:rsid w:val="00BA165A"/>
    <w:rsid w:val="00BA1DD4"/>
    <w:rsid w:val="00BA1F4A"/>
    <w:rsid w:val="00BA3248"/>
    <w:rsid w:val="00BA45B4"/>
    <w:rsid w:val="00BA5038"/>
    <w:rsid w:val="00BA58A6"/>
    <w:rsid w:val="00BA5EC5"/>
    <w:rsid w:val="00BA629E"/>
    <w:rsid w:val="00BB183C"/>
    <w:rsid w:val="00BB189A"/>
    <w:rsid w:val="00BB2CBB"/>
    <w:rsid w:val="00BB3AA6"/>
    <w:rsid w:val="00BB4ABE"/>
    <w:rsid w:val="00BB577C"/>
    <w:rsid w:val="00BB61DD"/>
    <w:rsid w:val="00BB651B"/>
    <w:rsid w:val="00BB6881"/>
    <w:rsid w:val="00BB6B97"/>
    <w:rsid w:val="00BC281C"/>
    <w:rsid w:val="00BC31B4"/>
    <w:rsid w:val="00BC3B2F"/>
    <w:rsid w:val="00BC3CDA"/>
    <w:rsid w:val="00BC4F61"/>
    <w:rsid w:val="00BC53FD"/>
    <w:rsid w:val="00BC5693"/>
    <w:rsid w:val="00BD064E"/>
    <w:rsid w:val="00BD08E0"/>
    <w:rsid w:val="00BD0C65"/>
    <w:rsid w:val="00BD557D"/>
    <w:rsid w:val="00BD559C"/>
    <w:rsid w:val="00BD635E"/>
    <w:rsid w:val="00BD6581"/>
    <w:rsid w:val="00BD7390"/>
    <w:rsid w:val="00BE01CE"/>
    <w:rsid w:val="00BE028A"/>
    <w:rsid w:val="00BE02B7"/>
    <w:rsid w:val="00BE1170"/>
    <w:rsid w:val="00BE1286"/>
    <w:rsid w:val="00BE1F32"/>
    <w:rsid w:val="00BE2940"/>
    <w:rsid w:val="00BE2BFD"/>
    <w:rsid w:val="00BE50F5"/>
    <w:rsid w:val="00BE5A81"/>
    <w:rsid w:val="00BE714E"/>
    <w:rsid w:val="00BE7F0C"/>
    <w:rsid w:val="00BF0525"/>
    <w:rsid w:val="00BF05EF"/>
    <w:rsid w:val="00BF0A44"/>
    <w:rsid w:val="00BF0AB3"/>
    <w:rsid w:val="00BF107C"/>
    <w:rsid w:val="00BF1BAD"/>
    <w:rsid w:val="00BF214B"/>
    <w:rsid w:val="00BF296D"/>
    <w:rsid w:val="00BF36E4"/>
    <w:rsid w:val="00BF38C8"/>
    <w:rsid w:val="00BF4370"/>
    <w:rsid w:val="00BF5A1B"/>
    <w:rsid w:val="00BF611D"/>
    <w:rsid w:val="00BF67B1"/>
    <w:rsid w:val="00BF7277"/>
    <w:rsid w:val="00BF7855"/>
    <w:rsid w:val="00C01B85"/>
    <w:rsid w:val="00C02038"/>
    <w:rsid w:val="00C03484"/>
    <w:rsid w:val="00C03694"/>
    <w:rsid w:val="00C03B10"/>
    <w:rsid w:val="00C03D83"/>
    <w:rsid w:val="00C04FFF"/>
    <w:rsid w:val="00C05949"/>
    <w:rsid w:val="00C059C8"/>
    <w:rsid w:val="00C06AEC"/>
    <w:rsid w:val="00C06B32"/>
    <w:rsid w:val="00C06F6D"/>
    <w:rsid w:val="00C07FDD"/>
    <w:rsid w:val="00C106BD"/>
    <w:rsid w:val="00C120DB"/>
    <w:rsid w:val="00C122B6"/>
    <w:rsid w:val="00C12A4E"/>
    <w:rsid w:val="00C14593"/>
    <w:rsid w:val="00C1639B"/>
    <w:rsid w:val="00C16A0D"/>
    <w:rsid w:val="00C16B88"/>
    <w:rsid w:val="00C16EBC"/>
    <w:rsid w:val="00C17D4F"/>
    <w:rsid w:val="00C20000"/>
    <w:rsid w:val="00C200BA"/>
    <w:rsid w:val="00C21224"/>
    <w:rsid w:val="00C2262C"/>
    <w:rsid w:val="00C22A9F"/>
    <w:rsid w:val="00C23149"/>
    <w:rsid w:val="00C23794"/>
    <w:rsid w:val="00C23F38"/>
    <w:rsid w:val="00C250B2"/>
    <w:rsid w:val="00C252BD"/>
    <w:rsid w:val="00C25A5D"/>
    <w:rsid w:val="00C261B3"/>
    <w:rsid w:val="00C264E4"/>
    <w:rsid w:val="00C272AB"/>
    <w:rsid w:val="00C30EE3"/>
    <w:rsid w:val="00C3127B"/>
    <w:rsid w:val="00C31286"/>
    <w:rsid w:val="00C316D5"/>
    <w:rsid w:val="00C31AF4"/>
    <w:rsid w:val="00C33CA7"/>
    <w:rsid w:val="00C34FA7"/>
    <w:rsid w:val="00C35833"/>
    <w:rsid w:val="00C414AA"/>
    <w:rsid w:val="00C41838"/>
    <w:rsid w:val="00C43A26"/>
    <w:rsid w:val="00C43A94"/>
    <w:rsid w:val="00C45757"/>
    <w:rsid w:val="00C45DA8"/>
    <w:rsid w:val="00C46CC0"/>
    <w:rsid w:val="00C51B4C"/>
    <w:rsid w:val="00C528F5"/>
    <w:rsid w:val="00C5300B"/>
    <w:rsid w:val="00C560CA"/>
    <w:rsid w:val="00C5742C"/>
    <w:rsid w:val="00C578C1"/>
    <w:rsid w:val="00C57CC3"/>
    <w:rsid w:val="00C6122B"/>
    <w:rsid w:val="00C61548"/>
    <w:rsid w:val="00C617C6"/>
    <w:rsid w:val="00C6271A"/>
    <w:rsid w:val="00C62DE3"/>
    <w:rsid w:val="00C64004"/>
    <w:rsid w:val="00C64BDB"/>
    <w:rsid w:val="00C65875"/>
    <w:rsid w:val="00C660FF"/>
    <w:rsid w:val="00C66F6A"/>
    <w:rsid w:val="00C67E80"/>
    <w:rsid w:val="00C7250B"/>
    <w:rsid w:val="00C72EAF"/>
    <w:rsid w:val="00C72FC4"/>
    <w:rsid w:val="00C7347D"/>
    <w:rsid w:val="00C73BBC"/>
    <w:rsid w:val="00C73DD1"/>
    <w:rsid w:val="00C75191"/>
    <w:rsid w:val="00C7612A"/>
    <w:rsid w:val="00C77234"/>
    <w:rsid w:val="00C77DCA"/>
    <w:rsid w:val="00C805DB"/>
    <w:rsid w:val="00C806C7"/>
    <w:rsid w:val="00C80B10"/>
    <w:rsid w:val="00C81598"/>
    <w:rsid w:val="00C83568"/>
    <w:rsid w:val="00C83738"/>
    <w:rsid w:val="00C85FEA"/>
    <w:rsid w:val="00C868AE"/>
    <w:rsid w:val="00C873C3"/>
    <w:rsid w:val="00C87A85"/>
    <w:rsid w:val="00C91089"/>
    <w:rsid w:val="00C91346"/>
    <w:rsid w:val="00C926AE"/>
    <w:rsid w:val="00C932E7"/>
    <w:rsid w:val="00C94025"/>
    <w:rsid w:val="00C957EA"/>
    <w:rsid w:val="00C977AE"/>
    <w:rsid w:val="00C97848"/>
    <w:rsid w:val="00CA08C5"/>
    <w:rsid w:val="00CA09E8"/>
    <w:rsid w:val="00CA1AE9"/>
    <w:rsid w:val="00CA3DDF"/>
    <w:rsid w:val="00CA41E8"/>
    <w:rsid w:val="00CA479F"/>
    <w:rsid w:val="00CA4C30"/>
    <w:rsid w:val="00CA551F"/>
    <w:rsid w:val="00CA6600"/>
    <w:rsid w:val="00CA6AC2"/>
    <w:rsid w:val="00CA6CFA"/>
    <w:rsid w:val="00CB09CE"/>
    <w:rsid w:val="00CB1104"/>
    <w:rsid w:val="00CB1BB8"/>
    <w:rsid w:val="00CB1CB9"/>
    <w:rsid w:val="00CB1E92"/>
    <w:rsid w:val="00CB2CBF"/>
    <w:rsid w:val="00CB319A"/>
    <w:rsid w:val="00CB3F11"/>
    <w:rsid w:val="00CB4654"/>
    <w:rsid w:val="00CB4874"/>
    <w:rsid w:val="00CB488C"/>
    <w:rsid w:val="00CB611C"/>
    <w:rsid w:val="00CC171B"/>
    <w:rsid w:val="00CC2C78"/>
    <w:rsid w:val="00CC38E9"/>
    <w:rsid w:val="00CC3AC8"/>
    <w:rsid w:val="00CC3B0D"/>
    <w:rsid w:val="00CC4C70"/>
    <w:rsid w:val="00CC660C"/>
    <w:rsid w:val="00CD0F00"/>
    <w:rsid w:val="00CD217C"/>
    <w:rsid w:val="00CD2727"/>
    <w:rsid w:val="00CD2AB0"/>
    <w:rsid w:val="00CD2DAD"/>
    <w:rsid w:val="00CD349F"/>
    <w:rsid w:val="00CD4F4A"/>
    <w:rsid w:val="00CD5276"/>
    <w:rsid w:val="00CD5786"/>
    <w:rsid w:val="00CD789E"/>
    <w:rsid w:val="00CD7CE5"/>
    <w:rsid w:val="00CD7DAE"/>
    <w:rsid w:val="00CE0BDD"/>
    <w:rsid w:val="00CE2200"/>
    <w:rsid w:val="00CE3022"/>
    <w:rsid w:val="00CE3F13"/>
    <w:rsid w:val="00CE400D"/>
    <w:rsid w:val="00CE55BF"/>
    <w:rsid w:val="00CE7628"/>
    <w:rsid w:val="00CF08EF"/>
    <w:rsid w:val="00CF14B9"/>
    <w:rsid w:val="00CF15C6"/>
    <w:rsid w:val="00CF1FEA"/>
    <w:rsid w:val="00CF3B63"/>
    <w:rsid w:val="00CF476E"/>
    <w:rsid w:val="00CF481C"/>
    <w:rsid w:val="00CF4BEF"/>
    <w:rsid w:val="00CF6255"/>
    <w:rsid w:val="00CF6D89"/>
    <w:rsid w:val="00CF79F7"/>
    <w:rsid w:val="00D00654"/>
    <w:rsid w:val="00D00BE3"/>
    <w:rsid w:val="00D01B0F"/>
    <w:rsid w:val="00D030B8"/>
    <w:rsid w:val="00D0479E"/>
    <w:rsid w:val="00D05469"/>
    <w:rsid w:val="00D0572B"/>
    <w:rsid w:val="00D05B92"/>
    <w:rsid w:val="00D06242"/>
    <w:rsid w:val="00D07263"/>
    <w:rsid w:val="00D07D3F"/>
    <w:rsid w:val="00D105AE"/>
    <w:rsid w:val="00D1259D"/>
    <w:rsid w:val="00D12C9E"/>
    <w:rsid w:val="00D12D7A"/>
    <w:rsid w:val="00D12E19"/>
    <w:rsid w:val="00D13241"/>
    <w:rsid w:val="00D13399"/>
    <w:rsid w:val="00D13FED"/>
    <w:rsid w:val="00D16EE1"/>
    <w:rsid w:val="00D2013B"/>
    <w:rsid w:val="00D20152"/>
    <w:rsid w:val="00D2170B"/>
    <w:rsid w:val="00D22237"/>
    <w:rsid w:val="00D2287D"/>
    <w:rsid w:val="00D22B51"/>
    <w:rsid w:val="00D24B30"/>
    <w:rsid w:val="00D25C02"/>
    <w:rsid w:val="00D2720D"/>
    <w:rsid w:val="00D277B6"/>
    <w:rsid w:val="00D27AD6"/>
    <w:rsid w:val="00D27BCC"/>
    <w:rsid w:val="00D30F75"/>
    <w:rsid w:val="00D31643"/>
    <w:rsid w:val="00D317DA"/>
    <w:rsid w:val="00D33085"/>
    <w:rsid w:val="00D349B5"/>
    <w:rsid w:val="00D35119"/>
    <w:rsid w:val="00D35E1E"/>
    <w:rsid w:val="00D36340"/>
    <w:rsid w:val="00D36EDA"/>
    <w:rsid w:val="00D40082"/>
    <w:rsid w:val="00D42178"/>
    <w:rsid w:val="00D43BE7"/>
    <w:rsid w:val="00D443C7"/>
    <w:rsid w:val="00D44736"/>
    <w:rsid w:val="00D44D00"/>
    <w:rsid w:val="00D45166"/>
    <w:rsid w:val="00D455D8"/>
    <w:rsid w:val="00D461BA"/>
    <w:rsid w:val="00D46C16"/>
    <w:rsid w:val="00D4780D"/>
    <w:rsid w:val="00D51295"/>
    <w:rsid w:val="00D51662"/>
    <w:rsid w:val="00D519FA"/>
    <w:rsid w:val="00D53506"/>
    <w:rsid w:val="00D5453B"/>
    <w:rsid w:val="00D57AD2"/>
    <w:rsid w:val="00D57CE3"/>
    <w:rsid w:val="00D602AB"/>
    <w:rsid w:val="00D6075A"/>
    <w:rsid w:val="00D60A5D"/>
    <w:rsid w:val="00D626CF"/>
    <w:rsid w:val="00D642B8"/>
    <w:rsid w:val="00D65204"/>
    <w:rsid w:val="00D65A10"/>
    <w:rsid w:val="00D65D3B"/>
    <w:rsid w:val="00D65E43"/>
    <w:rsid w:val="00D66588"/>
    <w:rsid w:val="00D70513"/>
    <w:rsid w:val="00D708D7"/>
    <w:rsid w:val="00D70E5D"/>
    <w:rsid w:val="00D72ADF"/>
    <w:rsid w:val="00D735A2"/>
    <w:rsid w:val="00D74EAB"/>
    <w:rsid w:val="00D75395"/>
    <w:rsid w:val="00D773C0"/>
    <w:rsid w:val="00D7757D"/>
    <w:rsid w:val="00D778D0"/>
    <w:rsid w:val="00D80D10"/>
    <w:rsid w:val="00D80F73"/>
    <w:rsid w:val="00D823C9"/>
    <w:rsid w:val="00D823CA"/>
    <w:rsid w:val="00D826E7"/>
    <w:rsid w:val="00D82A82"/>
    <w:rsid w:val="00D83F8D"/>
    <w:rsid w:val="00D849F7"/>
    <w:rsid w:val="00D84F81"/>
    <w:rsid w:val="00D85094"/>
    <w:rsid w:val="00D853AA"/>
    <w:rsid w:val="00D86A70"/>
    <w:rsid w:val="00D87160"/>
    <w:rsid w:val="00D87A33"/>
    <w:rsid w:val="00D87B17"/>
    <w:rsid w:val="00D91233"/>
    <w:rsid w:val="00D916F9"/>
    <w:rsid w:val="00D91742"/>
    <w:rsid w:val="00D9509A"/>
    <w:rsid w:val="00D96C60"/>
    <w:rsid w:val="00D96F9C"/>
    <w:rsid w:val="00D97ED5"/>
    <w:rsid w:val="00DA01C1"/>
    <w:rsid w:val="00DA1011"/>
    <w:rsid w:val="00DA11C7"/>
    <w:rsid w:val="00DA1CD3"/>
    <w:rsid w:val="00DA1D45"/>
    <w:rsid w:val="00DA27EE"/>
    <w:rsid w:val="00DA3E4C"/>
    <w:rsid w:val="00DA41EF"/>
    <w:rsid w:val="00DA43FB"/>
    <w:rsid w:val="00DA4442"/>
    <w:rsid w:val="00DA4C46"/>
    <w:rsid w:val="00DA5514"/>
    <w:rsid w:val="00DA6B89"/>
    <w:rsid w:val="00DB00F2"/>
    <w:rsid w:val="00DB03ED"/>
    <w:rsid w:val="00DB0A10"/>
    <w:rsid w:val="00DB1D15"/>
    <w:rsid w:val="00DB3167"/>
    <w:rsid w:val="00DB342C"/>
    <w:rsid w:val="00DB397F"/>
    <w:rsid w:val="00DB4EDF"/>
    <w:rsid w:val="00DB4FF0"/>
    <w:rsid w:val="00DB5F70"/>
    <w:rsid w:val="00DB6008"/>
    <w:rsid w:val="00DB6400"/>
    <w:rsid w:val="00DB6FF7"/>
    <w:rsid w:val="00DC04FB"/>
    <w:rsid w:val="00DC0F35"/>
    <w:rsid w:val="00DC17A9"/>
    <w:rsid w:val="00DC1D9F"/>
    <w:rsid w:val="00DC1E88"/>
    <w:rsid w:val="00DC2D2F"/>
    <w:rsid w:val="00DC4160"/>
    <w:rsid w:val="00DC46EC"/>
    <w:rsid w:val="00DC66DF"/>
    <w:rsid w:val="00DD07D9"/>
    <w:rsid w:val="00DD18D7"/>
    <w:rsid w:val="00DD323C"/>
    <w:rsid w:val="00DD433D"/>
    <w:rsid w:val="00DD447F"/>
    <w:rsid w:val="00DD4E4B"/>
    <w:rsid w:val="00DD66A0"/>
    <w:rsid w:val="00DE04D8"/>
    <w:rsid w:val="00DE0949"/>
    <w:rsid w:val="00DE0A0B"/>
    <w:rsid w:val="00DE10A7"/>
    <w:rsid w:val="00DE121E"/>
    <w:rsid w:val="00DE273C"/>
    <w:rsid w:val="00DE36B7"/>
    <w:rsid w:val="00DE5B78"/>
    <w:rsid w:val="00DE7102"/>
    <w:rsid w:val="00DF0CD0"/>
    <w:rsid w:val="00DF1BD1"/>
    <w:rsid w:val="00DF1F11"/>
    <w:rsid w:val="00DF2143"/>
    <w:rsid w:val="00DF2FFD"/>
    <w:rsid w:val="00DF3C54"/>
    <w:rsid w:val="00E00C4B"/>
    <w:rsid w:val="00E00CC2"/>
    <w:rsid w:val="00E00FB6"/>
    <w:rsid w:val="00E01B8D"/>
    <w:rsid w:val="00E047ED"/>
    <w:rsid w:val="00E04F21"/>
    <w:rsid w:val="00E05121"/>
    <w:rsid w:val="00E05462"/>
    <w:rsid w:val="00E057B4"/>
    <w:rsid w:val="00E058AC"/>
    <w:rsid w:val="00E062FA"/>
    <w:rsid w:val="00E07C9A"/>
    <w:rsid w:val="00E1183D"/>
    <w:rsid w:val="00E1186C"/>
    <w:rsid w:val="00E11A5A"/>
    <w:rsid w:val="00E161F0"/>
    <w:rsid w:val="00E16749"/>
    <w:rsid w:val="00E16D2E"/>
    <w:rsid w:val="00E17958"/>
    <w:rsid w:val="00E2118E"/>
    <w:rsid w:val="00E21786"/>
    <w:rsid w:val="00E2243A"/>
    <w:rsid w:val="00E225E8"/>
    <w:rsid w:val="00E2292A"/>
    <w:rsid w:val="00E23924"/>
    <w:rsid w:val="00E24425"/>
    <w:rsid w:val="00E24A23"/>
    <w:rsid w:val="00E26C22"/>
    <w:rsid w:val="00E272CF"/>
    <w:rsid w:val="00E30D8C"/>
    <w:rsid w:val="00E30F6D"/>
    <w:rsid w:val="00E312CD"/>
    <w:rsid w:val="00E314DF"/>
    <w:rsid w:val="00E31520"/>
    <w:rsid w:val="00E3264B"/>
    <w:rsid w:val="00E32986"/>
    <w:rsid w:val="00E33558"/>
    <w:rsid w:val="00E339A4"/>
    <w:rsid w:val="00E349EE"/>
    <w:rsid w:val="00E358D4"/>
    <w:rsid w:val="00E35D35"/>
    <w:rsid w:val="00E3664E"/>
    <w:rsid w:val="00E37F58"/>
    <w:rsid w:val="00E4013A"/>
    <w:rsid w:val="00E40538"/>
    <w:rsid w:val="00E4084D"/>
    <w:rsid w:val="00E40BDB"/>
    <w:rsid w:val="00E414F5"/>
    <w:rsid w:val="00E42F91"/>
    <w:rsid w:val="00E44148"/>
    <w:rsid w:val="00E457D0"/>
    <w:rsid w:val="00E45E28"/>
    <w:rsid w:val="00E4622A"/>
    <w:rsid w:val="00E46BCC"/>
    <w:rsid w:val="00E47DF1"/>
    <w:rsid w:val="00E50D69"/>
    <w:rsid w:val="00E50EC2"/>
    <w:rsid w:val="00E514B6"/>
    <w:rsid w:val="00E52DCD"/>
    <w:rsid w:val="00E53D80"/>
    <w:rsid w:val="00E54300"/>
    <w:rsid w:val="00E56561"/>
    <w:rsid w:val="00E57FBF"/>
    <w:rsid w:val="00E600C2"/>
    <w:rsid w:val="00E62FF7"/>
    <w:rsid w:val="00E638A3"/>
    <w:rsid w:val="00E63E5F"/>
    <w:rsid w:val="00E64CC4"/>
    <w:rsid w:val="00E65EC2"/>
    <w:rsid w:val="00E66037"/>
    <w:rsid w:val="00E668A5"/>
    <w:rsid w:val="00E71584"/>
    <w:rsid w:val="00E716EC"/>
    <w:rsid w:val="00E71993"/>
    <w:rsid w:val="00E719ED"/>
    <w:rsid w:val="00E72F93"/>
    <w:rsid w:val="00E731BA"/>
    <w:rsid w:val="00E73318"/>
    <w:rsid w:val="00E73506"/>
    <w:rsid w:val="00E7446F"/>
    <w:rsid w:val="00E74BA5"/>
    <w:rsid w:val="00E75795"/>
    <w:rsid w:val="00E76126"/>
    <w:rsid w:val="00E765FC"/>
    <w:rsid w:val="00E76BB4"/>
    <w:rsid w:val="00E76E5C"/>
    <w:rsid w:val="00E76F28"/>
    <w:rsid w:val="00E77FAE"/>
    <w:rsid w:val="00E80397"/>
    <w:rsid w:val="00E8067E"/>
    <w:rsid w:val="00E812F0"/>
    <w:rsid w:val="00E820C5"/>
    <w:rsid w:val="00E82500"/>
    <w:rsid w:val="00E82FB1"/>
    <w:rsid w:val="00E83856"/>
    <w:rsid w:val="00E84385"/>
    <w:rsid w:val="00E8537A"/>
    <w:rsid w:val="00E859D3"/>
    <w:rsid w:val="00E85E92"/>
    <w:rsid w:val="00E86214"/>
    <w:rsid w:val="00E87F05"/>
    <w:rsid w:val="00E91504"/>
    <w:rsid w:val="00E917C0"/>
    <w:rsid w:val="00E9327D"/>
    <w:rsid w:val="00E934D2"/>
    <w:rsid w:val="00E9444E"/>
    <w:rsid w:val="00E94AF0"/>
    <w:rsid w:val="00E956D5"/>
    <w:rsid w:val="00E9750F"/>
    <w:rsid w:val="00EA196B"/>
    <w:rsid w:val="00EA3B59"/>
    <w:rsid w:val="00EA461E"/>
    <w:rsid w:val="00EA4943"/>
    <w:rsid w:val="00EA6989"/>
    <w:rsid w:val="00EA7050"/>
    <w:rsid w:val="00EA79ED"/>
    <w:rsid w:val="00EA7CD4"/>
    <w:rsid w:val="00EA7D44"/>
    <w:rsid w:val="00EB1309"/>
    <w:rsid w:val="00EB1F3F"/>
    <w:rsid w:val="00EB28CD"/>
    <w:rsid w:val="00EB4CA5"/>
    <w:rsid w:val="00EB6CDC"/>
    <w:rsid w:val="00EC0E4E"/>
    <w:rsid w:val="00EC12E9"/>
    <w:rsid w:val="00EC1B41"/>
    <w:rsid w:val="00EC1F28"/>
    <w:rsid w:val="00EC4D8F"/>
    <w:rsid w:val="00EC5042"/>
    <w:rsid w:val="00EC50E4"/>
    <w:rsid w:val="00EC5756"/>
    <w:rsid w:val="00EC6068"/>
    <w:rsid w:val="00EC7D25"/>
    <w:rsid w:val="00ED0415"/>
    <w:rsid w:val="00ED165C"/>
    <w:rsid w:val="00ED3E32"/>
    <w:rsid w:val="00ED3EA9"/>
    <w:rsid w:val="00ED422C"/>
    <w:rsid w:val="00ED6B4E"/>
    <w:rsid w:val="00ED6D00"/>
    <w:rsid w:val="00ED75E7"/>
    <w:rsid w:val="00ED790D"/>
    <w:rsid w:val="00EE04C3"/>
    <w:rsid w:val="00EE110B"/>
    <w:rsid w:val="00EE13FD"/>
    <w:rsid w:val="00EE1964"/>
    <w:rsid w:val="00EE1C28"/>
    <w:rsid w:val="00EE322A"/>
    <w:rsid w:val="00EE379D"/>
    <w:rsid w:val="00EE3D82"/>
    <w:rsid w:val="00EE4243"/>
    <w:rsid w:val="00EE5464"/>
    <w:rsid w:val="00EE7ABC"/>
    <w:rsid w:val="00EF051E"/>
    <w:rsid w:val="00EF0BE0"/>
    <w:rsid w:val="00EF1888"/>
    <w:rsid w:val="00EF2137"/>
    <w:rsid w:val="00EF2652"/>
    <w:rsid w:val="00EF361E"/>
    <w:rsid w:val="00EF536E"/>
    <w:rsid w:val="00EF60D0"/>
    <w:rsid w:val="00EF65B2"/>
    <w:rsid w:val="00EF6788"/>
    <w:rsid w:val="00EF6E1C"/>
    <w:rsid w:val="00EF766B"/>
    <w:rsid w:val="00EF7FF5"/>
    <w:rsid w:val="00F01003"/>
    <w:rsid w:val="00F0136A"/>
    <w:rsid w:val="00F02ECB"/>
    <w:rsid w:val="00F033B4"/>
    <w:rsid w:val="00F03D66"/>
    <w:rsid w:val="00F058D5"/>
    <w:rsid w:val="00F06F1F"/>
    <w:rsid w:val="00F0740A"/>
    <w:rsid w:val="00F076E6"/>
    <w:rsid w:val="00F076EF"/>
    <w:rsid w:val="00F079E0"/>
    <w:rsid w:val="00F104A2"/>
    <w:rsid w:val="00F105CC"/>
    <w:rsid w:val="00F111F2"/>
    <w:rsid w:val="00F11AC0"/>
    <w:rsid w:val="00F11C18"/>
    <w:rsid w:val="00F12FCA"/>
    <w:rsid w:val="00F132FE"/>
    <w:rsid w:val="00F13803"/>
    <w:rsid w:val="00F13BBB"/>
    <w:rsid w:val="00F1475F"/>
    <w:rsid w:val="00F152F6"/>
    <w:rsid w:val="00F15869"/>
    <w:rsid w:val="00F15AA1"/>
    <w:rsid w:val="00F15DAD"/>
    <w:rsid w:val="00F1620C"/>
    <w:rsid w:val="00F172BF"/>
    <w:rsid w:val="00F17F59"/>
    <w:rsid w:val="00F202C8"/>
    <w:rsid w:val="00F23F0F"/>
    <w:rsid w:val="00F244CF"/>
    <w:rsid w:val="00F24511"/>
    <w:rsid w:val="00F26CD2"/>
    <w:rsid w:val="00F30AEF"/>
    <w:rsid w:val="00F31427"/>
    <w:rsid w:val="00F31697"/>
    <w:rsid w:val="00F32151"/>
    <w:rsid w:val="00F33674"/>
    <w:rsid w:val="00F34004"/>
    <w:rsid w:val="00F34606"/>
    <w:rsid w:val="00F34AD1"/>
    <w:rsid w:val="00F34BE9"/>
    <w:rsid w:val="00F3540C"/>
    <w:rsid w:val="00F35B36"/>
    <w:rsid w:val="00F368A4"/>
    <w:rsid w:val="00F411E0"/>
    <w:rsid w:val="00F41349"/>
    <w:rsid w:val="00F415A7"/>
    <w:rsid w:val="00F450A3"/>
    <w:rsid w:val="00F4537E"/>
    <w:rsid w:val="00F4541F"/>
    <w:rsid w:val="00F47CFD"/>
    <w:rsid w:val="00F50CDE"/>
    <w:rsid w:val="00F50D35"/>
    <w:rsid w:val="00F51B95"/>
    <w:rsid w:val="00F51D0A"/>
    <w:rsid w:val="00F533F0"/>
    <w:rsid w:val="00F5360C"/>
    <w:rsid w:val="00F55659"/>
    <w:rsid w:val="00F56516"/>
    <w:rsid w:val="00F57385"/>
    <w:rsid w:val="00F57413"/>
    <w:rsid w:val="00F57A16"/>
    <w:rsid w:val="00F62A21"/>
    <w:rsid w:val="00F63C9A"/>
    <w:rsid w:val="00F6455E"/>
    <w:rsid w:val="00F70095"/>
    <w:rsid w:val="00F7067B"/>
    <w:rsid w:val="00F735B0"/>
    <w:rsid w:val="00F7372B"/>
    <w:rsid w:val="00F73C5A"/>
    <w:rsid w:val="00F748CE"/>
    <w:rsid w:val="00F75D2A"/>
    <w:rsid w:val="00F76B4B"/>
    <w:rsid w:val="00F772F7"/>
    <w:rsid w:val="00F80361"/>
    <w:rsid w:val="00F80A7B"/>
    <w:rsid w:val="00F82E63"/>
    <w:rsid w:val="00F83393"/>
    <w:rsid w:val="00F833F5"/>
    <w:rsid w:val="00F84464"/>
    <w:rsid w:val="00F84B92"/>
    <w:rsid w:val="00F85B25"/>
    <w:rsid w:val="00F86FA8"/>
    <w:rsid w:val="00F87726"/>
    <w:rsid w:val="00F8774C"/>
    <w:rsid w:val="00F90067"/>
    <w:rsid w:val="00F903EC"/>
    <w:rsid w:val="00F9081F"/>
    <w:rsid w:val="00F91CD5"/>
    <w:rsid w:val="00F92093"/>
    <w:rsid w:val="00F921BA"/>
    <w:rsid w:val="00F92A76"/>
    <w:rsid w:val="00F95F18"/>
    <w:rsid w:val="00F96DDE"/>
    <w:rsid w:val="00F97E93"/>
    <w:rsid w:val="00FA10A1"/>
    <w:rsid w:val="00FA340B"/>
    <w:rsid w:val="00FA409C"/>
    <w:rsid w:val="00FA4EDD"/>
    <w:rsid w:val="00FA614C"/>
    <w:rsid w:val="00FA7E20"/>
    <w:rsid w:val="00FA7F07"/>
    <w:rsid w:val="00FB1F32"/>
    <w:rsid w:val="00FB390B"/>
    <w:rsid w:val="00FB51E8"/>
    <w:rsid w:val="00FB5A3E"/>
    <w:rsid w:val="00FB5DA6"/>
    <w:rsid w:val="00FC1852"/>
    <w:rsid w:val="00FC48CB"/>
    <w:rsid w:val="00FC5062"/>
    <w:rsid w:val="00FC624C"/>
    <w:rsid w:val="00FC7C4B"/>
    <w:rsid w:val="00FC7EEB"/>
    <w:rsid w:val="00FD0623"/>
    <w:rsid w:val="00FD18E4"/>
    <w:rsid w:val="00FD247C"/>
    <w:rsid w:val="00FD33D5"/>
    <w:rsid w:val="00FD37A7"/>
    <w:rsid w:val="00FD4113"/>
    <w:rsid w:val="00FD5297"/>
    <w:rsid w:val="00FD69AE"/>
    <w:rsid w:val="00FD7641"/>
    <w:rsid w:val="00FD77B9"/>
    <w:rsid w:val="00FE0857"/>
    <w:rsid w:val="00FE30EA"/>
    <w:rsid w:val="00FE4842"/>
    <w:rsid w:val="00FE50F4"/>
    <w:rsid w:val="00FE528D"/>
    <w:rsid w:val="00FE5953"/>
    <w:rsid w:val="00FF1AF1"/>
    <w:rsid w:val="00FF2897"/>
    <w:rsid w:val="00FF2919"/>
    <w:rsid w:val="00FF2F81"/>
    <w:rsid w:val="00FF3A0A"/>
    <w:rsid w:val="00FF4D7F"/>
    <w:rsid w:val="00FF6537"/>
    <w:rsid w:val="00FF6E4F"/>
    <w:rsid w:val="00FF6F3F"/>
    <w:rsid w:val="00FF7789"/>
    <w:rsid w:val="0153453C"/>
    <w:rsid w:val="05020145"/>
    <w:rsid w:val="05EA0443"/>
    <w:rsid w:val="0F9E17AE"/>
    <w:rsid w:val="17C6208D"/>
    <w:rsid w:val="33D8341D"/>
    <w:rsid w:val="433C19A4"/>
    <w:rsid w:val="4A47036A"/>
    <w:rsid w:val="4BEB429E"/>
    <w:rsid w:val="4D264F1F"/>
    <w:rsid w:val="51160A18"/>
    <w:rsid w:val="52CD6A64"/>
    <w:rsid w:val="578C3B2F"/>
    <w:rsid w:val="580D5382"/>
    <w:rsid w:val="5AED57BB"/>
    <w:rsid w:val="5B4E0CD7"/>
    <w:rsid w:val="5F4C652C"/>
    <w:rsid w:val="67090219"/>
    <w:rsid w:val="6C107C57"/>
    <w:rsid w:val="7B7C4426"/>
    <w:rsid w:val="7C964B73"/>
    <w:rsid w:val="7E294F89"/>
    <w:rsid w:val="B7F912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9" w:semiHidden="0" w:name="heading 5"/>
    <w:lsdException w:qFormat="1" w:uiPriority="0" w:semiHidden="0" w:name="heading 6" w:locked="1"/>
    <w:lsdException w:qFormat="1" w:uiPriority="0" w:name="heading 7" w:locked="1"/>
    <w:lsdException w:qFormat="1" w:uiPriority="0" w:name="heading 8" w:locked="1"/>
    <w:lsdException w:qFormat="1" w:uiPriority="0" w:name="heading 9" w:locked="1"/>
    <w:lsdException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unhideWhenUsed="0" w:uiPriority="39" w:semiHidden="0" w:name="toc 7"/>
    <w:lsdException w:qFormat="1" w:unhideWhenUsed="0" w:uiPriority="39" w:semiHidden="0" w:name="toc 8"/>
    <w:lsdException w:qFormat="1" w:unhideWhenUsed="0" w:uiPriority="39" w:semiHidden="0" w:name="toc 9"/>
    <w:lsdException w:uiPriority="99" w:name="Normal Indent"/>
    <w:lsdException w:qFormat="1"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nhideWhenUsed="0" w:uiPriority="99" w:semiHidden="0" w:name="table of figures"/>
    <w:lsdException w:uiPriority="99" w:name="envelope address"/>
    <w:lsdException w:uiPriority="99" w:name="envelope return"/>
    <w:lsdException w:qFormat="1" w:unhideWhenUsed="0" w:uiPriority="99" w:semiHidden="0" w:name="footnote reference"/>
    <w:lsdException w:qFormat="1" w:unhideWhenUsed="0"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ocked="1"/>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99" w:semiHidden="0" w:name="Emphasis"/>
    <w:lsdException w:unhideWhenUsed="0" w:uiPriority="99" w:name="Document Map"/>
    <w:lsdException w:unhideWhenUsed="0" w:uiPriority="99"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0" w:semiHidden="0" w:name="Table Grid"/>
    <w:lsdException w:qFormat="1" w:unhideWhenUsed="0" w:uiPriority="0" w:semiHidden="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56"/>
    <w:qFormat/>
    <w:uiPriority w:val="9"/>
    <w:pPr>
      <w:widowControl/>
      <w:ind w:firstLine="422" w:firstLineChars="200"/>
      <w:outlineLvl w:val="0"/>
    </w:pPr>
    <w:rPr>
      <w:rFonts w:ascii="宋体"/>
      <w:b/>
      <w:kern w:val="0"/>
      <w:szCs w:val="20"/>
    </w:rPr>
  </w:style>
  <w:style w:type="paragraph" w:styleId="3">
    <w:name w:val="heading 2"/>
    <w:basedOn w:val="1"/>
    <w:next w:val="1"/>
    <w:link w:val="57"/>
    <w:qFormat/>
    <w:uiPriority w:val="9"/>
    <w:pPr>
      <w:widowControl/>
      <w:ind w:firstLine="422" w:firstLineChars="200"/>
      <w:outlineLvl w:val="1"/>
    </w:pPr>
    <w:rPr>
      <w:rFonts w:ascii="宋体"/>
      <w:b/>
      <w:kern w:val="0"/>
      <w:szCs w:val="20"/>
    </w:rPr>
  </w:style>
  <w:style w:type="paragraph" w:styleId="4">
    <w:name w:val="heading 3"/>
    <w:basedOn w:val="1"/>
    <w:next w:val="1"/>
    <w:link w:val="58"/>
    <w:qFormat/>
    <w:uiPriority w:val="9"/>
    <w:pPr>
      <w:widowControl/>
      <w:spacing w:beforeLines="50" w:afterLines="50" w:line="360" w:lineRule="exact"/>
      <w:jc w:val="center"/>
      <w:outlineLvl w:val="2"/>
    </w:pPr>
    <w:rPr>
      <w:rFonts w:ascii="黑体" w:hAnsi="黑体" w:eastAsia="黑体"/>
      <w:b/>
      <w:kern w:val="0"/>
      <w:sz w:val="32"/>
      <w:szCs w:val="30"/>
    </w:rPr>
  </w:style>
  <w:style w:type="paragraph" w:styleId="5">
    <w:name w:val="heading 4"/>
    <w:basedOn w:val="1"/>
    <w:next w:val="1"/>
    <w:link w:val="59"/>
    <w:qFormat/>
    <w:uiPriority w:val="0"/>
    <w:pPr>
      <w:widowControl/>
      <w:ind w:firstLine="422" w:firstLineChars="200"/>
      <w:outlineLvl w:val="3"/>
    </w:pPr>
    <w:rPr>
      <w:rFonts w:ascii="宋体"/>
      <w:b/>
      <w:kern w:val="0"/>
      <w:szCs w:val="20"/>
    </w:rPr>
  </w:style>
  <w:style w:type="paragraph" w:styleId="6">
    <w:name w:val="heading 5"/>
    <w:basedOn w:val="1"/>
    <w:next w:val="1"/>
    <w:link w:val="48"/>
    <w:qFormat/>
    <w:uiPriority w:val="99"/>
    <w:pPr>
      <w:keepNext/>
      <w:keepLines/>
      <w:spacing w:before="280" w:after="290" w:line="376" w:lineRule="auto"/>
      <w:outlineLvl w:val="4"/>
    </w:pPr>
    <w:rPr>
      <w:b/>
      <w:bCs/>
      <w:sz w:val="28"/>
      <w:szCs w:val="28"/>
    </w:rPr>
  </w:style>
  <w:style w:type="paragraph" w:styleId="7">
    <w:name w:val="heading 6"/>
    <w:basedOn w:val="1"/>
    <w:next w:val="1"/>
    <w:link w:val="120"/>
    <w:unhideWhenUsed/>
    <w:qFormat/>
    <w:locked/>
    <w:uiPriority w:val="0"/>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36">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8">
    <w:name w:val="toc 7"/>
    <w:basedOn w:val="1"/>
    <w:next w:val="1"/>
    <w:uiPriority w:val="39"/>
    <w:pPr>
      <w:ind w:left="2520" w:leftChars="1200"/>
    </w:pPr>
    <w:rPr>
      <w:rFonts w:ascii="Times New Roman" w:hAnsi="Times New Roman"/>
      <w:szCs w:val="24"/>
    </w:rPr>
  </w:style>
  <w:style w:type="paragraph" w:styleId="9">
    <w:name w:val="caption"/>
    <w:basedOn w:val="1"/>
    <w:next w:val="1"/>
    <w:qFormat/>
    <w:uiPriority w:val="0"/>
    <w:pPr>
      <w:jc w:val="center"/>
    </w:pPr>
    <w:rPr>
      <w:rFonts w:ascii="Times New Roman" w:hAnsi="宋体"/>
      <w:b/>
      <w:color w:val="000000"/>
      <w:szCs w:val="24"/>
    </w:rPr>
  </w:style>
  <w:style w:type="paragraph" w:styleId="10">
    <w:name w:val="Document Map"/>
    <w:basedOn w:val="1"/>
    <w:link w:val="74"/>
    <w:semiHidden/>
    <w:uiPriority w:val="99"/>
    <w:rPr>
      <w:rFonts w:ascii="宋体"/>
      <w:sz w:val="18"/>
      <w:szCs w:val="18"/>
    </w:rPr>
  </w:style>
  <w:style w:type="paragraph" w:styleId="11">
    <w:name w:val="annotation text"/>
    <w:basedOn w:val="1"/>
    <w:link w:val="60"/>
    <w:qFormat/>
    <w:uiPriority w:val="99"/>
    <w:pPr>
      <w:jc w:val="left"/>
    </w:pPr>
    <w:rPr>
      <w:rFonts w:ascii="Times New Roman" w:hAnsi="Times New Roman"/>
      <w:szCs w:val="24"/>
    </w:rPr>
  </w:style>
  <w:style w:type="paragraph" w:styleId="12">
    <w:name w:val="Body Text Indent"/>
    <w:basedOn w:val="1"/>
    <w:link w:val="98"/>
    <w:uiPriority w:val="0"/>
    <w:pPr>
      <w:spacing w:line="360" w:lineRule="auto"/>
      <w:ind w:firstLine="480" w:firstLineChars="200"/>
    </w:pPr>
    <w:rPr>
      <w:rFonts w:ascii="宋体" w:hAnsi="宋体"/>
      <w:sz w:val="24"/>
      <w:szCs w:val="24"/>
    </w:rPr>
  </w:style>
  <w:style w:type="paragraph" w:styleId="13">
    <w:name w:val="toc 5"/>
    <w:basedOn w:val="1"/>
    <w:next w:val="1"/>
    <w:qFormat/>
    <w:uiPriority w:val="39"/>
    <w:pPr>
      <w:ind w:left="1680" w:leftChars="800"/>
    </w:pPr>
    <w:rPr>
      <w:rFonts w:ascii="Times New Roman" w:hAnsi="Times New Roman"/>
      <w:szCs w:val="24"/>
    </w:rPr>
  </w:style>
  <w:style w:type="paragraph" w:styleId="14">
    <w:name w:val="toc 3"/>
    <w:basedOn w:val="1"/>
    <w:next w:val="1"/>
    <w:qFormat/>
    <w:uiPriority w:val="39"/>
    <w:pPr>
      <w:ind w:left="840" w:leftChars="400"/>
    </w:pPr>
  </w:style>
  <w:style w:type="paragraph" w:styleId="15">
    <w:name w:val="Plain Text"/>
    <w:basedOn w:val="1"/>
    <w:link w:val="96"/>
    <w:uiPriority w:val="99"/>
    <w:pPr>
      <w:widowControl/>
      <w:spacing w:before="100" w:beforeAutospacing="1" w:after="100" w:afterAutospacing="1"/>
      <w:jc w:val="left"/>
    </w:pPr>
    <w:rPr>
      <w:rFonts w:ascii="宋体" w:hAnsi="宋体" w:cs="宋体"/>
      <w:kern w:val="0"/>
      <w:sz w:val="24"/>
      <w:szCs w:val="24"/>
    </w:rPr>
  </w:style>
  <w:style w:type="paragraph" w:styleId="16">
    <w:name w:val="toc 8"/>
    <w:basedOn w:val="1"/>
    <w:next w:val="1"/>
    <w:qFormat/>
    <w:uiPriority w:val="39"/>
    <w:pPr>
      <w:ind w:left="2940" w:leftChars="1400"/>
    </w:pPr>
    <w:rPr>
      <w:rFonts w:ascii="Times New Roman" w:hAnsi="Times New Roman"/>
      <w:szCs w:val="24"/>
    </w:rPr>
  </w:style>
  <w:style w:type="paragraph" w:styleId="17">
    <w:name w:val="Date"/>
    <w:basedOn w:val="1"/>
    <w:next w:val="1"/>
    <w:link w:val="63"/>
    <w:qFormat/>
    <w:uiPriority w:val="0"/>
    <w:pPr>
      <w:ind w:left="100" w:leftChars="2500"/>
    </w:pPr>
    <w:rPr>
      <w:rFonts w:ascii="Times New Roman" w:hAnsi="Times New Roman"/>
      <w:szCs w:val="24"/>
    </w:rPr>
  </w:style>
  <w:style w:type="paragraph" w:styleId="18">
    <w:name w:val="Balloon Text"/>
    <w:basedOn w:val="1"/>
    <w:link w:val="50"/>
    <w:qFormat/>
    <w:uiPriority w:val="99"/>
    <w:rPr>
      <w:kern w:val="0"/>
      <w:sz w:val="18"/>
      <w:szCs w:val="20"/>
    </w:rPr>
  </w:style>
  <w:style w:type="paragraph" w:styleId="19">
    <w:name w:val="footer"/>
    <w:basedOn w:val="1"/>
    <w:link w:val="54"/>
    <w:qFormat/>
    <w:uiPriority w:val="99"/>
    <w:pPr>
      <w:tabs>
        <w:tab w:val="center" w:pos="4153"/>
        <w:tab w:val="right" w:pos="8306"/>
      </w:tabs>
      <w:snapToGrid w:val="0"/>
      <w:jc w:val="left"/>
    </w:pPr>
    <w:rPr>
      <w:kern w:val="0"/>
      <w:sz w:val="18"/>
      <w:szCs w:val="20"/>
    </w:rPr>
  </w:style>
  <w:style w:type="paragraph" w:styleId="20">
    <w:name w:val="header"/>
    <w:basedOn w:val="1"/>
    <w:link w:val="52"/>
    <w:qFormat/>
    <w:uiPriority w:val="99"/>
    <w:pPr>
      <w:pBdr>
        <w:bottom w:val="single" w:color="auto" w:sz="6" w:space="1"/>
      </w:pBdr>
      <w:tabs>
        <w:tab w:val="center" w:pos="4153"/>
        <w:tab w:val="right" w:pos="8306"/>
      </w:tabs>
      <w:snapToGrid w:val="0"/>
      <w:jc w:val="center"/>
    </w:pPr>
    <w:rPr>
      <w:kern w:val="0"/>
      <w:sz w:val="18"/>
      <w:szCs w:val="20"/>
    </w:rPr>
  </w:style>
  <w:style w:type="paragraph" w:styleId="21">
    <w:name w:val="toc 1"/>
    <w:basedOn w:val="1"/>
    <w:next w:val="1"/>
    <w:qFormat/>
    <w:uiPriority w:val="39"/>
    <w:pPr>
      <w:tabs>
        <w:tab w:val="right" w:leader="dot" w:pos="8296"/>
      </w:tabs>
      <w:spacing w:line="360" w:lineRule="auto"/>
    </w:pPr>
    <w:rPr>
      <w:b/>
      <w:bCs/>
      <w:kern w:val="44"/>
    </w:rPr>
  </w:style>
  <w:style w:type="paragraph" w:styleId="22">
    <w:name w:val="toc 4"/>
    <w:basedOn w:val="1"/>
    <w:next w:val="1"/>
    <w:qFormat/>
    <w:uiPriority w:val="39"/>
    <w:pPr>
      <w:ind w:left="1260" w:leftChars="600"/>
    </w:pPr>
    <w:rPr>
      <w:rFonts w:ascii="Times New Roman" w:hAnsi="Times New Roman"/>
      <w:szCs w:val="24"/>
    </w:rPr>
  </w:style>
  <w:style w:type="paragraph" w:styleId="23">
    <w:name w:val="Subtitle"/>
    <w:basedOn w:val="1"/>
    <w:next w:val="1"/>
    <w:link w:val="89"/>
    <w:qFormat/>
    <w:uiPriority w:val="99"/>
    <w:pPr>
      <w:spacing w:before="240" w:after="60" w:line="312" w:lineRule="auto"/>
      <w:jc w:val="center"/>
      <w:outlineLvl w:val="1"/>
    </w:pPr>
    <w:rPr>
      <w:rFonts w:ascii="Cambria" w:hAnsi="Cambria"/>
      <w:b/>
      <w:bCs/>
      <w:kern w:val="28"/>
      <w:szCs w:val="32"/>
    </w:rPr>
  </w:style>
  <w:style w:type="paragraph" w:styleId="24">
    <w:name w:val="footnote text"/>
    <w:basedOn w:val="1"/>
    <w:link w:val="55"/>
    <w:qFormat/>
    <w:uiPriority w:val="0"/>
    <w:pPr>
      <w:snapToGrid w:val="0"/>
      <w:jc w:val="left"/>
    </w:pPr>
    <w:rPr>
      <w:sz w:val="18"/>
      <w:szCs w:val="18"/>
    </w:rPr>
  </w:style>
  <w:style w:type="paragraph" w:styleId="25">
    <w:name w:val="toc 6"/>
    <w:basedOn w:val="1"/>
    <w:next w:val="1"/>
    <w:qFormat/>
    <w:uiPriority w:val="39"/>
    <w:pPr>
      <w:ind w:left="2100" w:leftChars="1000"/>
    </w:pPr>
    <w:rPr>
      <w:rFonts w:ascii="Times New Roman" w:hAnsi="Times New Roman"/>
      <w:szCs w:val="24"/>
    </w:rPr>
  </w:style>
  <w:style w:type="paragraph" w:styleId="26">
    <w:name w:val="table of figures"/>
    <w:basedOn w:val="1"/>
    <w:next w:val="1"/>
    <w:uiPriority w:val="99"/>
    <w:pPr>
      <w:ind w:left="200" w:leftChars="200" w:hanging="200" w:hangingChars="200"/>
      <w:jc w:val="left"/>
    </w:pPr>
    <w:rPr>
      <w:b/>
    </w:rPr>
  </w:style>
  <w:style w:type="paragraph" w:styleId="27">
    <w:name w:val="toc 2"/>
    <w:basedOn w:val="1"/>
    <w:next w:val="1"/>
    <w:qFormat/>
    <w:uiPriority w:val="39"/>
    <w:pPr>
      <w:ind w:left="420" w:leftChars="200"/>
    </w:pPr>
  </w:style>
  <w:style w:type="paragraph" w:styleId="28">
    <w:name w:val="toc 9"/>
    <w:basedOn w:val="1"/>
    <w:next w:val="1"/>
    <w:qFormat/>
    <w:uiPriority w:val="39"/>
    <w:pPr>
      <w:ind w:left="3360" w:leftChars="1600"/>
    </w:pPr>
    <w:rPr>
      <w:rFonts w:ascii="Times New Roman" w:hAnsi="Times New Roman"/>
      <w:szCs w:val="24"/>
    </w:rPr>
  </w:style>
  <w:style w:type="paragraph" w:styleId="29">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30">
    <w:name w:val="index 1"/>
    <w:basedOn w:val="1"/>
    <w:next w:val="1"/>
    <w:semiHidden/>
    <w:uiPriority w:val="99"/>
  </w:style>
  <w:style w:type="paragraph" w:styleId="31">
    <w:name w:val="Title"/>
    <w:basedOn w:val="1"/>
    <w:next w:val="1"/>
    <w:link w:val="97"/>
    <w:qFormat/>
    <w:locked/>
    <w:uiPriority w:val="99"/>
    <w:pPr>
      <w:spacing w:before="240" w:after="60"/>
      <w:jc w:val="center"/>
      <w:outlineLvl w:val="0"/>
    </w:pPr>
    <w:rPr>
      <w:rFonts w:ascii="Cambria" w:hAnsi="Cambria"/>
      <w:b/>
      <w:bCs/>
      <w:sz w:val="32"/>
      <w:szCs w:val="32"/>
    </w:rPr>
  </w:style>
  <w:style w:type="paragraph" w:styleId="32">
    <w:name w:val="annotation subject"/>
    <w:basedOn w:val="11"/>
    <w:next w:val="11"/>
    <w:link w:val="61"/>
    <w:qFormat/>
    <w:uiPriority w:val="99"/>
    <w:rPr>
      <w:b/>
      <w:bCs/>
    </w:rPr>
  </w:style>
  <w:style w:type="table" w:styleId="34">
    <w:name w:val="Table Grid"/>
    <w:basedOn w:val="33"/>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35">
    <w:name w:val="Table Theme"/>
    <w:basedOn w:val="3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7">
    <w:name w:val="Strong"/>
    <w:basedOn w:val="36"/>
    <w:qFormat/>
    <w:uiPriority w:val="0"/>
    <w:rPr>
      <w:rFonts w:cs="Times New Roman"/>
      <w:b/>
      <w:bCs/>
    </w:rPr>
  </w:style>
  <w:style w:type="character" w:styleId="38">
    <w:name w:val="page number"/>
    <w:basedOn w:val="36"/>
    <w:qFormat/>
    <w:uiPriority w:val="0"/>
    <w:rPr>
      <w:rFonts w:cs="Times New Roman"/>
    </w:rPr>
  </w:style>
  <w:style w:type="character" w:styleId="39">
    <w:name w:val="FollowedHyperlink"/>
    <w:qFormat/>
    <w:uiPriority w:val="0"/>
    <w:rPr>
      <w:rFonts w:cs="Times New Roman"/>
      <w:color w:val="954F72"/>
      <w:u w:val="single"/>
    </w:rPr>
  </w:style>
  <w:style w:type="character" w:styleId="40">
    <w:name w:val="Emphasis"/>
    <w:basedOn w:val="36"/>
    <w:qFormat/>
    <w:uiPriority w:val="99"/>
    <w:rPr>
      <w:rFonts w:eastAsia="宋体" w:cs="Times New Roman"/>
      <w:b/>
      <w:sz w:val="21"/>
    </w:rPr>
  </w:style>
  <w:style w:type="character" w:styleId="41">
    <w:name w:val="Hyperlink"/>
    <w:basedOn w:val="36"/>
    <w:qFormat/>
    <w:uiPriority w:val="99"/>
    <w:rPr>
      <w:rFonts w:cs="Times New Roman"/>
      <w:color w:val="0000FF"/>
      <w:u w:val="single"/>
    </w:rPr>
  </w:style>
  <w:style w:type="character" w:styleId="42">
    <w:name w:val="annotation reference"/>
    <w:basedOn w:val="36"/>
    <w:qFormat/>
    <w:uiPriority w:val="99"/>
    <w:rPr>
      <w:rFonts w:cs="Times New Roman"/>
      <w:sz w:val="21"/>
    </w:rPr>
  </w:style>
  <w:style w:type="character" w:styleId="43">
    <w:name w:val="footnote reference"/>
    <w:basedOn w:val="36"/>
    <w:qFormat/>
    <w:uiPriority w:val="99"/>
    <w:rPr>
      <w:rFonts w:cs="Times New Roman"/>
      <w:vertAlign w:val="superscript"/>
    </w:rPr>
  </w:style>
  <w:style w:type="character" w:customStyle="1" w:styleId="44">
    <w:name w:val="Heading 1 Char"/>
    <w:basedOn w:val="36"/>
    <w:qFormat/>
    <w:locked/>
    <w:uiPriority w:val="99"/>
    <w:rPr>
      <w:rFonts w:cs="Times New Roman"/>
      <w:b/>
      <w:bCs/>
      <w:kern w:val="44"/>
      <w:sz w:val="44"/>
      <w:szCs w:val="44"/>
    </w:rPr>
  </w:style>
  <w:style w:type="character" w:customStyle="1" w:styleId="45">
    <w:name w:val="Heading 2 Char"/>
    <w:basedOn w:val="36"/>
    <w:qFormat/>
    <w:locked/>
    <w:uiPriority w:val="99"/>
    <w:rPr>
      <w:rFonts w:ascii="Calibri Light" w:hAnsi="Calibri Light" w:eastAsia="宋体" w:cs="Times New Roman"/>
      <w:b/>
      <w:bCs/>
      <w:sz w:val="32"/>
      <w:szCs w:val="32"/>
    </w:rPr>
  </w:style>
  <w:style w:type="character" w:customStyle="1" w:styleId="46">
    <w:name w:val="Heading 3 Char"/>
    <w:basedOn w:val="36"/>
    <w:locked/>
    <w:uiPriority w:val="99"/>
    <w:rPr>
      <w:rFonts w:cs="Times New Roman"/>
      <w:b/>
      <w:bCs/>
      <w:sz w:val="32"/>
      <w:szCs w:val="32"/>
    </w:rPr>
  </w:style>
  <w:style w:type="character" w:customStyle="1" w:styleId="47">
    <w:name w:val="Heading 4 Char"/>
    <w:basedOn w:val="36"/>
    <w:qFormat/>
    <w:locked/>
    <w:uiPriority w:val="99"/>
    <w:rPr>
      <w:rFonts w:ascii="Calibri Light" w:hAnsi="Calibri Light" w:eastAsia="宋体" w:cs="Times New Roman"/>
      <w:b/>
      <w:bCs/>
      <w:sz w:val="28"/>
      <w:szCs w:val="28"/>
    </w:rPr>
  </w:style>
  <w:style w:type="character" w:customStyle="1" w:styleId="48">
    <w:name w:val="标题 5 字符"/>
    <w:basedOn w:val="36"/>
    <w:link w:val="6"/>
    <w:locked/>
    <w:uiPriority w:val="99"/>
    <w:rPr>
      <w:rFonts w:cs="Times New Roman"/>
      <w:b/>
      <w:bCs/>
      <w:kern w:val="2"/>
      <w:sz w:val="28"/>
      <w:szCs w:val="28"/>
    </w:rPr>
  </w:style>
  <w:style w:type="character" w:customStyle="1" w:styleId="49">
    <w:name w:val="Balloon Text Char"/>
    <w:basedOn w:val="36"/>
    <w:semiHidden/>
    <w:qFormat/>
    <w:locked/>
    <w:uiPriority w:val="99"/>
    <w:rPr>
      <w:rFonts w:cs="Times New Roman"/>
      <w:sz w:val="18"/>
      <w:szCs w:val="18"/>
    </w:rPr>
  </w:style>
  <w:style w:type="character" w:customStyle="1" w:styleId="50">
    <w:name w:val="批注框文本 字符"/>
    <w:link w:val="18"/>
    <w:qFormat/>
    <w:locked/>
    <w:uiPriority w:val="99"/>
    <w:rPr>
      <w:sz w:val="18"/>
    </w:rPr>
  </w:style>
  <w:style w:type="character" w:customStyle="1" w:styleId="51">
    <w:name w:val="Header Char"/>
    <w:basedOn w:val="36"/>
    <w:locked/>
    <w:uiPriority w:val="99"/>
    <w:rPr>
      <w:rFonts w:cs="Times New Roman"/>
      <w:sz w:val="18"/>
      <w:szCs w:val="18"/>
    </w:rPr>
  </w:style>
  <w:style w:type="character" w:customStyle="1" w:styleId="52">
    <w:name w:val="页眉 字符"/>
    <w:link w:val="20"/>
    <w:qFormat/>
    <w:locked/>
    <w:uiPriority w:val="99"/>
    <w:rPr>
      <w:sz w:val="18"/>
    </w:rPr>
  </w:style>
  <w:style w:type="character" w:customStyle="1" w:styleId="53">
    <w:name w:val="Footer Char"/>
    <w:basedOn w:val="36"/>
    <w:locked/>
    <w:uiPriority w:val="99"/>
    <w:rPr>
      <w:rFonts w:cs="Times New Roman"/>
      <w:sz w:val="18"/>
      <w:szCs w:val="18"/>
    </w:rPr>
  </w:style>
  <w:style w:type="character" w:customStyle="1" w:styleId="54">
    <w:name w:val="页脚 字符"/>
    <w:link w:val="19"/>
    <w:qFormat/>
    <w:locked/>
    <w:uiPriority w:val="99"/>
    <w:rPr>
      <w:sz w:val="18"/>
    </w:rPr>
  </w:style>
  <w:style w:type="character" w:customStyle="1" w:styleId="55">
    <w:name w:val="脚注文本 字符"/>
    <w:basedOn w:val="36"/>
    <w:link w:val="24"/>
    <w:qFormat/>
    <w:locked/>
    <w:uiPriority w:val="0"/>
    <w:rPr>
      <w:kern w:val="2"/>
      <w:sz w:val="18"/>
    </w:rPr>
  </w:style>
  <w:style w:type="character" w:customStyle="1" w:styleId="56">
    <w:name w:val="标题 1 字符"/>
    <w:link w:val="2"/>
    <w:qFormat/>
    <w:locked/>
    <w:uiPriority w:val="9"/>
    <w:rPr>
      <w:rFonts w:ascii="宋体" w:eastAsia="宋体"/>
      <w:b/>
      <w:sz w:val="21"/>
    </w:rPr>
  </w:style>
  <w:style w:type="character" w:customStyle="1" w:styleId="57">
    <w:name w:val="标题 2 字符"/>
    <w:link w:val="3"/>
    <w:qFormat/>
    <w:locked/>
    <w:uiPriority w:val="9"/>
    <w:rPr>
      <w:rFonts w:ascii="宋体" w:eastAsia="宋体"/>
      <w:b/>
      <w:sz w:val="21"/>
    </w:rPr>
  </w:style>
  <w:style w:type="character" w:customStyle="1" w:styleId="58">
    <w:name w:val="标题 3 字符"/>
    <w:link w:val="4"/>
    <w:qFormat/>
    <w:locked/>
    <w:uiPriority w:val="9"/>
    <w:rPr>
      <w:rFonts w:ascii="黑体" w:hAnsi="黑体" w:eastAsia="黑体"/>
      <w:b/>
      <w:sz w:val="32"/>
      <w:szCs w:val="30"/>
    </w:rPr>
  </w:style>
  <w:style w:type="character" w:customStyle="1" w:styleId="59">
    <w:name w:val="标题 4 字符"/>
    <w:link w:val="5"/>
    <w:qFormat/>
    <w:locked/>
    <w:uiPriority w:val="0"/>
    <w:rPr>
      <w:rFonts w:ascii="宋体" w:eastAsia="宋体"/>
      <w:b/>
      <w:sz w:val="21"/>
    </w:rPr>
  </w:style>
  <w:style w:type="character" w:customStyle="1" w:styleId="60">
    <w:name w:val="批注文字 字符"/>
    <w:basedOn w:val="36"/>
    <w:link w:val="11"/>
    <w:qFormat/>
    <w:locked/>
    <w:uiPriority w:val="99"/>
    <w:rPr>
      <w:rFonts w:ascii="Times New Roman" w:hAnsi="Times New Roman"/>
      <w:kern w:val="2"/>
      <w:sz w:val="24"/>
    </w:rPr>
  </w:style>
  <w:style w:type="character" w:customStyle="1" w:styleId="61">
    <w:name w:val="批注主题 字符"/>
    <w:basedOn w:val="60"/>
    <w:link w:val="32"/>
    <w:semiHidden/>
    <w:qFormat/>
    <w:locked/>
    <w:uiPriority w:val="99"/>
    <w:rPr>
      <w:rFonts w:ascii="Times New Roman" w:hAnsi="Times New Roman"/>
      <w:b/>
      <w:kern w:val="2"/>
      <w:sz w:val="24"/>
    </w:rPr>
  </w:style>
  <w:style w:type="paragraph" w:customStyle="1" w:styleId="62">
    <w:name w:val="Char1"/>
    <w:basedOn w:val="1"/>
    <w:qFormat/>
    <w:uiPriority w:val="99"/>
    <w:pPr>
      <w:widowControl/>
      <w:spacing w:after="160" w:line="240" w:lineRule="exact"/>
      <w:jc w:val="left"/>
    </w:pPr>
    <w:rPr>
      <w:rFonts w:ascii="Verdana" w:hAnsi="Verdana" w:cs="Verdana"/>
      <w:kern w:val="0"/>
      <w:sz w:val="20"/>
      <w:szCs w:val="20"/>
      <w:lang w:eastAsia="en-US"/>
    </w:rPr>
  </w:style>
  <w:style w:type="character" w:customStyle="1" w:styleId="63">
    <w:name w:val="日期 字符"/>
    <w:basedOn w:val="36"/>
    <w:link w:val="17"/>
    <w:qFormat/>
    <w:locked/>
    <w:uiPriority w:val="0"/>
    <w:rPr>
      <w:rFonts w:ascii="Times New Roman" w:hAnsi="Times New Roman"/>
      <w:kern w:val="2"/>
      <w:sz w:val="24"/>
    </w:rPr>
  </w:style>
  <w:style w:type="character" w:customStyle="1" w:styleId="64">
    <w:name w:val="XUSHIJIE"/>
    <w:semiHidden/>
    <w:uiPriority w:val="99"/>
    <w:rPr>
      <w:rFonts w:ascii="Arial" w:hAnsi="Arial" w:eastAsia="宋体"/>
      <w:color w:val="000080"/>
      <w:sz w:val="20"/>
    </w:rPr>
  </w:style>
  <w:style w:type="paragraph" w:customStyle="1" w:styleId="65">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66">
    <w:name w:val="列出段落1"/>
    <w:basedOn w:val="1"/>
    <w:qFormat/>
    <w:uiPriority w:val="99"/>
    <w:pPr>
      <w:ind w:firstLine="420" w:firstLineChars="200"/>
    </w:pPr>
  </w:style>
  <w:style w:type="paragraph" w:customStyle="1" w:styleId="67">
    <w:name w:val="TOC 标题1"/>
    <w:basedOn w:val="2"/>
    <w:next w:val="1"/>
    <w:qFormat/>
    <w:uiPriority w:val="39"/>
    <w:pPr>
      <w:keepNext/>
      <w:keepLines/>
      <w:spacing w:before="480" w:line="276" w:lineRule="auto"/>
      <w:ind w:firstLine="0" w:firstLineChars="0"/>
      <w:jc w:val="left"/>
      <w:outlineLvl w:val="9"/>
    </w:pPr>
    <w:rPr>
      <w:rFonts w:ascii="Cambria" w:hAnsi="Cambria"/>
      <w:bCs/>
      <w:color w:val="365F91"/>
      <w:sz w:val="28"/>
      <w:szCs w:val="28"/>
    </w:rPr>
  </w:style>
  <w:style w:type="table" w:customStyle="1" w:styleId="68">
    <w:name w:val="网格型1"/>
    <w:qFormat/>
    <w:uiPriority w:val="99"/>
    <w:rPr>
      <w:kern w:val="2"/>
      <w:sz w:val="21"/>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customStyle="1" w:styleId="69">
    <w:name w:val="No Spacing Char"/>
    <w:basedOn w:val="36"/>
    <w:link w:val="70"/>
    <w:qFormat/>
    <w:locked/>
    <w:uiPriority w:val="0"/>
    <w:rPr>
      <w:kern w:val="2"/>
      <w:sz w:val="21"/>
      <w:szCs w:val="24"/>
      <w:lang w:val="en-US" w:eastAsia="zh-CN" w:bidi="ar-SA"/>
    </w:rPr>
  </w:style>
  <w:style w:type="paragraph" w:customStyle="1" w:styleId="70">
    <w:name w:val="无间隔1"/>
    <w:link w:val="69"/>
    <w:qFormat/>
    <w:uiPriority w:val="0"/>
    <w:pPr>
      <w:widowControl w:val="0"/>
      <w:jc w:val="both"/>
    </w:pPr>
    <w:rPr>
      <w:rFonts w:ascii="Calibri" w:hAnsi="Calibri" w:eastAsia="宋体" w:cs="Times New Roman"/>
      <w:kern w:val="2"/>
      <w:sz w:val="21"/>
      <w:szCs w:val="24"/>
      <w:lang w:val="en-US" w:eastAsia="zh-CN" w:bidi="ar-SA"/>
    </w:rPr>
  </w:style>
  <w:style w:type="paragraph" w:customStyle="1" w:styleId="71">
    <w:name w:val="列出段落111"/>
    <w:basedOn w:val="1"/>
    <w:qFormat/>
    <w:uiPriority w:val="34"/>
    <w:pPr>
      <w:ind w:firstLine="420" w:firstLineChars="200"/>
    </w:pPr>
  </w:style>
  <w:style w:type="paragraph" w:customStyle="1" w:styleId="72">
    <w:name w:val="ordinary-output"/>
    <w:basedOn w:val="1"/>
    <w:qFormat/>
    <w:uiPriority w:val="99"/>
    <w:pPr>
      <w:widowControl/>
      <w:spacing w:before="100" w:beforeAutospacing="1" w:after="100" w:afterAutospacing="1"/>
      <w:jc w:val="left"/>
    </w:pPr>
    <w:rPr>
      <w:rFonts w:ascii="宋体" w:hAnsi="宋体" w:cs="宋体"/>
      <w:kern w:val="0"/>
      <w:sz w:val="24"/>
      <w:szCs w:val="24"/>
    </w:rPr>
  </w:style>
  <w:style w:type="character" w:customStyle="1" w:styleId="73">
    <w:name w:val="high-light-bg"/>
    <w:basedOn w:val="36"/>
    <w:qFormat/>
    <w:uiPriority w:val="99"/>
    <w:rPr>
      <w:rFonts w:cs="Times New Roman"/>
    </w:rPr>
  </w:style>
  <w:style w:type="character" w:customStyle="1" w:styleId="74">
    <w:name w:val="文档结构图 字符"/>
    <w:basedOn w:val="36"/>
    <w:link w:val="10"/>
    <w:semiHidden/>
    <w:locked/>
    <w:uiPriority w:val="99"/>
    <w:rPr>
      <w:rFonts w:ascii="宋体" w:hAnsi="Calibri" w:eastAsia="宋体" w:cs="Times New Roman"/>
      <w:kern w:val="2"/>
      <w:sz w:val="18"/>
      <w:szCs w:val="18"/>
      <w:lang w:val="en-US" w:eastAsia="zh-CN" w:bidi="ar-SA"/>
    </w:rPr>
  </w:style>
  <w:style w:type="paragraph" w:customStyle="1" w:styleId="75">
    <w:name w:val="details2"/>
    <w:basedOn w:val="1"/>
    <w:uiPriority w:val="99"/>
    <w:pPr>
      <w:widowControl/>
      <w:spacing w:before="100" w:beforeAutospacing="1" w:after="100" w:afterAutospacing="1"/>
      <w:jc w:val="left"/>
    </w:pPr>
    <w:rPr>
      <w:rFonts w:ascii="宋体" w:hAnsi="宋体" w:cs="宋体"/>
      <w:kern w:val="0"/>
      <w:sz w:val="24"/>
      <w:szCs w:val="24"/>
    </w:rPr>
  </w:style>
  <w:style w:type="table" w:customStyle="1" w:styleId="76">
    <w:name w:val="中等深浅列表 11"/>
    <w:uiPriority w:val="99"/>
    <w:rPr>
      <w:color w:val="000000"/>
    </w:rPr>
    <w:tblPr>
      <w:tblBorders>
        <w:top w:val="single" w:color="000000" w:sz="8" w:space="0"/>
        <w:bottom w:val="single" w:color="000000" w:sz="8" w:space="0"/>
      </w:tblBorders>
      <w:tblCellMar>
        <w:top w:w="0" w:type="dxa"/>
        <w:left w:w="108" w:type="dxa"/>
        <w:bottom w:w="0" w:type="dxa"/>
        <w:right w:w="108" w:type="dxa"/>
      </w:tblCellMar>
    </w:tblPr>
  </w:style>
  <w:style w:type="paragraph" w:customStyle="1" w:styleId="77">
    <w:name w:val="reader-word-layer"/>
    <w:basedOn w:val="1"/>
    <w:uiPriority w:val="99"/>
    <w:pPr>
      <w:widowControl/>
      <w:spacing w:before="100" w:beforeAutospacing="1" w:after="100" w:afterAutospacing="1"/>
      <w:jc w:val="left"/>
    </w:pPr>
    <w:rPr>
      <w:rFonts w:ascii="宋体" w:hAnsi="宋体" w:cs="宋体"/>
      <w:kern w:val="0"/>
      <w:sz w:val="24"/>
      <w:szCs w:val="24"/>
    </w:rPr>
  </w:style>
  <w:style w:type="paragraph" w:customStyle="1" w:styleId="78">
    <w:name w:val="标题2"/>
    <w:basedOn w:val="3"/>
    <w:next w:val="1"/>
    <w:uiPriority w:val="99"/>
    <w:pPr>
      <w:keepNext/>
      <w:keepLines/>
      <w:widowControl w:val="0"/>
      <w:spacing w:before="100" w:beforeAutospacing="1" w:after="100" w:afterAutospacing="1"/>
      <w:ind w:firstLine="0" w:firstLineChars="0"/>
    </w:pPr>
    <w:rPr>
      <w:rFonts w:ascii="Times New Roman" w:hAnsi="Times New Roman" w:eastAsia="黑体"/>
      <w:bCs/>
      <w:kern w:val="2"/>
      <w:sz w:val="28"/>
      <w:szCs w:val="32"/>
    </w:rPr>
  </w:style>
  <w:style w:type="character" w:customStyle="1" w:styleId="79">
    <w:name w:val="ml101"/>
    <w:basedOn w:val="36"/>
    <w:qFormat/>
    <w:uiPriority w:val="99"/>
    <w:rPr>
      <w:rFonts w:cs="Times New Roman"/>
    </w:rPr>
  </w:style>
  <w:style w:type="character" w:customStyle="1" w:styleId="80">
    <w:name w:val="smallsize1"/>
    <w:basedOn w:val="36"/>
    <w:uiPriority w:val="99"/>
    <w:rPr>
      <w:rFonts w:cs="Times New Roman"/>
      <w:sz w:val="15"/>
      <w:szCs w:val="15"/>
    </w:rPr>
  </w:style>
  <w:style w:type="character" w:customStyle="1" w:styleId="81">
    <w:name w:val="line31"/>
    <w:basedOn w:val="36"/>
    <w:qFormat/>
    <w:uiPriority w:val="99"/>
    <w:rPr>
      <w:rFonts w:cs="Times New Roman"/>
      <w:color w:val="666666"/>
      <w:sz w:val="14"/>
      <w:szCs w:val="14"/>
    </w:rPr>
  </w:style>
  <w:style w:type="character" w:customStyle="1" w:styleId="82">
    <w:name w:val="bigsize1"/>
    <w:basedOn w:val="36"/>
    <w:uiPriority w:val="99"/>
    <w:rPr>
      <w:rFonts w:cs="Times New Roman"/>
      <w:sz w:val="20"/>
      <w:szCs w:val="20"/>
    </w:rPr>
  </w:style>
  <w:style w:type="character" w:customStyle="1" w:styleId="83">
    <w:name w:val="cmt1"/>
    <w:basedOn w:val="36"/>
    <w:qFormat/>
    <w:uiPriority w:val="99"/>
    <w:rPr>
      <w:rFonts w:cs="Times New Roman"/>
    </w:rPr>
  </w:style>
  <w:style w:type="character" w:customStyle="1" w:styleId="84">
    <w:name w:val="print1"/>
    <w:basedOn w:val="36"/>
    <w:uiPriority w:val="99"/>
    <w:rPr>
      <w:rFonts w:cs="Times New Roman"/>
    </w:rPr>
  </w:style>
  <w:style w:type="character" w:customStyle="1" w:styleId="85">
    <w:name w:val="forword1"/>
    <w:basedOn w:val="36"/>
    <w:uiPriority w:val="99"/>
    <w:rPr>
      <w:rFonts w:cs="Times New Roman"/>
    </w:rPr>
  </w:style>
  <w:style w:type="character" w:customStyle="1" w:styleId="86">
    <w:name w:val="agreen"/>
    <w:basedOn w:val="36"/>
    <w:uiPriority w:val="99"/>
    <w:rPr>
      <w:rFonts w:cs="Times New Roman"/>
    </w:rPr>
  </w:style>
  <w:style w:type="character" w:customStyle="1" w:styleId="87">
    <w:name w:val="lemmatitleh11"/>
    <w:basedOn w:val="36"/>
    <w:uiPriority w:val="99"/>
    <w:rPr>
      <w:rFonts w:cs="Times New Roman"/>
    </w:rPr>
  </w:style>
  <w:style w:type="character" w:customStyle="1" w:styleId="88">
    <w:name w:val="bk-editable-lemma-btns3"/>
    <w:basedOn w:val="36"/>
    <w:uiPriority w:val="99"/>
    <w:rPr>
      <w:rFonts w:cs="Times New Roman"/>
    </w:rPr>
  </w:style>
  <w:style w:type="character" w:customStyle="1" w:styleId="89">
    <w:name w:val="副标题 字符"/>
    <w:basedOn w:val="36"/>
    <w:link w:val="23"/>
    <w:qFormat/>
    <w:locked/>
    <w:uiPriority w:val="99"/>
    <w:rPr>
      <w:rFonts w:ascii="Cambria" w:hAnsi="Cambria" w:cs="Times New Roman"/>
      <w:b/>
      <w:bCs/>
      <w:kern w:val="28"/>
      <w:sz w:val="32"/>
      <w:szCs w:val="32"/>
    </w:rPr>
  </w:style>
  <w:style w:type="paragraph" w:customStyle="1" w:styleId="90">
    <w:name w:val="表"/>
    <w:basedOn w:val="9"/>
    <w:qFormat/>
    <w:uiPriority w:val="99"/>
  </w:style>
  <w:style w:type="character" w:customStyle="1" w:styleId="91">
    <w:name w:val="书籍标题1"/>
    <w:basedOn w:val="36"/>
    <w:qFormat/>
    <w:uiPriority w:val="99"/>
    <w:rPr>
      <w:rFonts w:cs="Times New Roman"/>
      <w:b/>
      <w:bCs/>
      <w:smallCaps/>
      <w:spacing w:val="5"/>
    </w:rPr>
  </w:style>
  <w:style w:type="paragraph" w:customStyle="1" w:styleId="92">
    <w:name w:val="书目1"/>
    <w:basedOn w:val="1"/>
    <w:next w:val="1"/>
    <w:semiHidden/>
    <w:uiPriority w:val="99"/>
  </w:style>
  <w:style w:type="character" w:customStyle="1" w:styleId="93">
    <w:name w:val="order"/>
    <w:basedOn w:val="36"/>
    <w:uiPriority w:val="99"/>
  </w:style>
  <w:style w:type="character" w:customStyle="1" w:styleId="94">
    <w:name w:val="description"/>
    <w:basedOn w:val="36"/>
    <w:uiPriority w:val="99"/>
  </w:style>
  <w:style w:type="character" w:customStyle="1" w:styleId="95">
    <w:name w:val="apple-converted-space"/>
    <w:basedOn w:val="36"/>
    <w:qFormat/>
    <w:uiPriority w:val="0"/>
  </w:style>
  <w:style w:type="character" w:customStyle="1" w:styleId="96">
    <w:name w:val="纯文本 字符"/>
    <w:basedOn w:val="36"/>
    <w:link w:val="15"/>
    <w:uiPriority w:val="99"/>
    <w:rPr>
      <w:rFonts w:ascii="宋体" w:hAnsi="宋体" w:cs="宋体"/>
      <w:sz w:val="24"/>
      <w:szCs w:val="24"/>
    </w:rPr>
  </w:style>
  <w:style w:type="character" w:customStyle="1" w:styleId="97">
    <w:name w:val="标题 字符"/>
    <w:basedOn w:val="36"/>
    <w:link w:val="31"/>
    <w:uiPriority w:val="99"/>
    <w:rPr>
      <w:rFonts w:ascii="Cambria" w:hAnsi="Cambria"/>
      <w:b/>
      <w:bCs/>
      <w:kern w:val="2"/>
      <w:sz w:val="32"/>
      <w:szCs w:val="32"/>
    </w:rPr>
  </w:style>
  <w:style w:type="character" w:customStyle="1" w:styleId="98">
    <w:name w:val="正文文本缩进 字符"/>
    <w:basedOn w:val="36"/>
    <w:link w:val="12"/>
    <w:uiPriority w:val="0"/>
    <w:rPr>
      <w:rFonts w:ascii="宋体" w:hAnsi="宋体"/>
      <w:kern w:val="2"/>
      <w:sz w:val="24"/>
      <w:szCs w:val="24"/>
    </w:rPr>
  </w:style>
  <w:style w:type="paragraph" w:customStyle="1" w:styleId="99">
    <w:name w:val="1、初级阶段"/>
    <w:basedOn w:val="5"/>
    <w:link w:val="100"/>
    <w:qFormat/>
    <w:uiPriority w:val="0"/>
    <w:pPr>
      <w:widowControl w:val="0"/>
      <w:tabs>
        <w:tab w:val="left" w:pos="1134"/>
      </w:tabs>
      <w:ind w:firstLine="200"/>
    </w:pPr>
    <w:rPr>
      <w:rFonts w:ascii="Arial" w:hAnsi="Arial" w:eastAsia="黑体"/>
      <w:bCs/>
      <w:kern w:val="2"/>
      <w:sz w:val="28"/>
      <w:szCs w:val="28"/>
    </w:rPr>
  </w:style>
  <w:style w:type="character" w:customStyle="1" w:styleId="100">
    <w:name w:val="1、初级阶段 Char"/>
    <w:basedOn w:val="59"/>
    <w:link w:val="99"/>
    <w:uiPriority w:val="0"/>
    <w:rPr>
      <w:rFonts w:ascii="Arial" w:hAnsi="Arial" w:eastAsia="黑体"/>
      <w:bCs/>
      <w:kern w:val="2"/>
      <w:sz w:val="28"/>
      <w:szCs w:val="28"/>
    </w:rPr>
  </w:style>
  <w:style w:type="paragraph" w:customStyle="1" w:styleId="101">
    <w:name w:val="表标题"/>
    <w:basedOn w:val="1"/>
    <w:link w:val="103"/>
    <w:qFormat/>
    <w:uiPriority w:val="0"/>
    <w:pPr>
      <w:spacing w:line="360" w:lineRule="auto"/>
      <w:ind w:firstLine="482" w:firstLineChars="200"/>
      <w:jc w:val="center"/>
    </w:pPr>
    <w:rPr>
      <w:rFonts w:ascii="方正仿宋_GBK" w:hAnsi="方正仿宋_GBK" w:eastAsia="方正仿宋_GBK" w:cs="方正仿宋_GBK"/>
      <w:b/>
      <w:color w:val="000000"/>
      <w:sz w:val="24"/>
      <w:szCs w:val="24"/>
    </w:rPr>
  </w:style>
  <w:style w:type="paragraph" w:customStyle="1" w:styleId="102">
    <w:name w:val="表底注"/>
    <w:basedOn w:val="1"/>
    <w:link w:val="104"/>
    <w:qFormat/>
    <w:uiPriority w:val="0"/>
    <w:rPr>
      <w:rFonts w:ascii="仿宋_GB2312" w:hAnsi="MS Gothic" w:eastAsia="仿宋_GB2312" w:cs="仿宋_GB2312"/>
      <w:bCs/>
      <w:sz w:val="24"/>
      <w:szCs w:val="24"/>
    </w:rPr>
  </w:style>
  <w:style w:type="character" w:customStyle="1" w:styleId="103">
    <w:name w:val="表标题 Char"/>
    <w:basedOn w:val="36"/>
    <w:link w:val="101"/>
    <w:qFormat/>
    <w:uiPriority w:val="0"/>
    <w:rPr>
      <w:rFonts w:ascii="方正仿宋_GBK" w:hAnsi="方正仿宋_GBK" w:eastAsia="方正仿宋_GBK" w:cs="方正仿宋_GBK"/>
      <w:b/>
      <w:color w:val="000000"/>
      <w:kern w:val="2"/>
      <w:sz w:val="24"/>
      <w:szCs w:val="24"/>
    </w:rPr>
  </w:style>
  <w:style w:type="character" w:customStyle="1" w:styleId="104">
    <w:name w:val="表底注 Char"/>
    <w:basedOn w:val="36"/>
    <w:link w:val="102"/>
    <w:uiPriority w:val="0"/>
    <w:rPr>
      <w:rFonts w:ascii="仿宋_GB2312" w:hAnsi="MS Gothic" w:eastAsia="仿宋_GB2312" w:cs="仿宋_GB2312"/>
      <w:bCs/>
      <w:kern w:val="2"/>
      <w:sz w:val="24"/>
      <w:szCs w:val="24"/>
    </w:rPr>
  </w:style>
  <w:style w:type="paragraph" w:customStyle="1" w:styleId="105">
    <w:name w:val="p15"/>
    <w:basedOn w:val="1"/>
    <w:qFormat/>
    <w:uiPriority w:val="99"/>
    <w:pPr>
      <w:widowControl/>
      <w:spacing w:before="100" w:after="100"/>
      <w:jc w:val="left"/>
    </w:pPr>
    <w:rPr>
      <w:rFonts w:ascii="宋体" w:hAnsi="宋体" w:cs="宋体"/>
      <w:color w:val="000000"/>
      <w:kern w:val="0"/>
      <w:sz w:val="24"/>
      <w:szCs w:val="24"/>
    </w:rPr>
  </w:style>
  <w:style w:type="paragraph" w:customStyle="1" w:styleId="106">
    <w:name w:val="Char"/>
    <w:qFormat/>
    <w:uiPriority w:val="0"/>
    <w:pPr>
      <w:keepNext/>
      <w:shd w:val="clear" w:color="auto" w:fill="000080"/>
      <w:tabs>
        <w:tab w:val="left" w:pos="720"/>
      </w:tabs>
      <w:spacing w:beforeLines="100"/>
      <w:ind w:hanging="720"/>
    </w:pPr>
    <w:rPr>
      <w:rFonts w:ascii="Tahoma" w:hAnsi="Tahoma" w:eastAsia="宋体" w:cs="Times New Roman"/>
      <w:sz w:val="24"/>
      <w:szCs w:val="24"/>
      <w:lang w:val="en-US" w:eastAsia="zh-CN" w:bidi="ar-SA"/>
    </w:rPr>
  </w:style>
  <w:style w:type="paragraph" w:customStyle="1" w:styleId="107">
    <w:name w:val="列出段落2"/>
    <w:basedOn w:val="1"/>
    <w:qFormat/>
    <w:uiPriority w:val="34"/>
    <w:pPr>
      <w:ind w:firstLine="420" w:firstLineChars="200"/>
    </w:pPr>
    <w:rPr>
      <w:rFonts w:cs="Calibri"/>
      <w:szCs w:val="21"/>
    </w:rPr>
  </w:style>
  <w:style w:type="character" w:customStyle="1" w:styleId="108">
    <w:name w:val="atn"/>
    <w:basedOn w:val="36"/>
    <w:uiPriority w:val="0"/>
  </w:style>
  <w:style w:type="paragraph" w:customStyle="1" w:styleId="109">
    <w:name w:val="明显引用1"/>
    <w:basedOn w:val="1"/>
    <w:next w:val="1"/>
    <w:link w:val="110"/>
    <w:qFormat/>
    <w:uiPriority w:val="0"/>
    <w:pPr>
      <w:pBdr>
        <w:bottom w:val="single" w:color="4F81BD" w:sz="4" w:space="4"/>
      </w:pBdr>
      <w:spacing w:before="200" w:after="280"/>
      <w:ind w:left="936" w:right="936"/>
    </w:pPr>
    <w:rPr>
      <w:b/>
      <w:bCs/>
      <w:i/>
      <w:iCs/>
      <w:color w:val="4F81BD"/>
    </w:rPr>
  </w:style>
  <w:style w:type="character" w:customStyle="1" w:styleId="110">
    <w:name w:val="Intense Quote Char"/>
    <w:basedOn w:val="36"/>
    <w:link w:val="109"/>
    <w:uiPriority w:val="0"/>
    <w:rPr>
      <w:b/>
      <w:bCs/>
      <w:i/>
      <w:iCs/>
      <w:color w:val="4F81BD"/>
      <w:kern w:val="2"/>
      <w:sz w:val="21"/>
      <w:szCs w:val="22"/>
    </w:rPr>
  </w:style>
  <w:style w:type="character" w:customStyle="1" w:styleId="111">
    <w:name w:val="占位符文本1"/>
    <w:semiHidden/>
    <w:qFormat/>
    <w:uiPriority w:val="99"/>
    <w:rPr>
      <w:color w:val="808080"/>
    </w:rPr>
  </w:style>
  <w:style w:type="character" w:customStyle="1" w:styleId="112">
    <w:name w:val="占位符文本2"/>
    <w:semiHidden/>
    <w:qFormat/>
    <w:uiPriority w:val="99"/>
    <w:rPr>
      <w:color w:val="808080"/>
    </w:rPr>
  </w:style>
  <w:style w:type="paragraph" w:customStyle="1" w:styleId="113">
    <w:name w:val="列出段落11"/>
    <w:basedOn w:val="1"/>
    <w:qFormat/>
    <w:uiPriority w:val="0"/>
    <w:pPr>
      <w:ind w:firstLine="420" w:firstLineChars="200"/>
    </w:pPr>
    <w:rPr>
      <w:szCs w:val="21"/>
    </w:rPr>
  </w:style>
  <w:style w:type="paragraph" w:customStyle="1" w:styleId="114">
    <w:name w:val="a"/>
    <w:basedOn w:val="1"/>
    <w:qFormat/>
    <w:uiPriority w:val="0"/>
    <w:pPr>
      <w:widowControl/>
      <w:spacing w:line="400" w:lineRule="atLeast"/>
      <w:ind w:firstLine="420"/>
    </w:pPr>
    <w:rPr>
      <w:rFonts w:ascii="Arial" w:hAnsi="Arial" w:eastAsia="楷体_GB2312"/>
      <w:kern w:val="0"/>
      <w:sz w:val="24"/>
    </w:rPr>
  </w:style>
  <w:style w:type="paragraph" w:customStyle="1" w:styleId="115">
    <w:name w:val="列出段落3"/>
    <w:basedOn w:val="1"/>
    <w:qFormat/>
    <w:uiPriority w:val="34"/>
    <w:pPr>
      <w:widowControl/>
      <w:ind w:left="720"/>
      <w:contextualSpacing/>
      <w:jc w:val="left"/>
    </w:pPr>
    <w:rPr>
      <w:rFonts w:asciiTheme="minorHAnsi" w:hAnsiTheme="minorHAnsi" w:cstheme="minorBidi"/>
      <w:kern w:val="0"/>
      <w:sz w:val="24"/>
      <w:szCs w:val="24"/>
      <w:lang w:eastAsia="en-US"/>
    </w:rPr>
  </w:style>
  <w:style w:type="paragraph" w:styleId="116">
    <w:name w:val="List Paragraph"/>
    <w:basedOn w:val="1"/>
    <w:qFormat/>
    <w:uiPriority w:val="34"/>
    <w:pPr>
      <w:ind w:firstLine="420" w:firstLineChars="200"/>
    </w:pPr>
  </w:style>
  <w:style w:type="paragraph" w:customStyle="1" w:styleId="117">
    <w:name w:val="Revision"/>
    <w:hidden/>
    <w:semiHidden/>
    <w:uiPriority w:val="99"/>
    <w:rPr>
      <w:rFonts w:ascii="Calibri" w:hAnsi="Calibri" w:eastAsia="宋体" w:cs="Times New Roman"/>
      <w:kern w:val="2"/>
      <w:sz w:val="21"/>
      <w:szCs w:val="22"/>
      <w:lang w:val="en-US" w:eastAsia="zh-CN" w:bidi="ar-SA"/>
    </w:rPr>
  </w:style>
  <w:style w:type="paragraph" w:customStyle="1" w:styleId="118">
    <w:name w:val="TOC Heading"/>
    <w:basedOn w:val="2"/>
    <w:next w:val="1"/>
    <w:unhideWhenUsed/>
    <w:qFormat/>
    <w:uiPriority w:val="39"/>
    <w:pPr>
      <w:keepNext/>
      <w:keepLines/>
      <w:widowControl w:val="0"/>
      <w:spacing w:before="340" w:after="330" w:line="578" w:lineRule="auto"/>
      <w:ind w:firstLine="0" w:firstLineChars="0"/>
      <w:outlineLvl w:val="9"/>
    </w:pPr>
    <w:rPr>
      <w:rFonts w:ascii="Calibri"/>
      <w:bCs/>
      <w:kern w:val="44"/>
      <w:sz w:val="44"/>
      <w:szCs w:val="44"/>
    </w:rPr>
  </w:style>
  <w:style w:type="character" w:styleId="119">
    <w:name w:val="Placeholder Text"/>
    <w:basedOn w:val="36"/>
    <w:semiHidden/>
    <w:uiPriority w:val="99"/>
    <w:rPr>
      <w:color w:val="808080"/>
    </w:rPr>
  </w:style>
  <w:style w:type="character" w:customStyle="1" w:styleId="120">
    <w:name w:val="标题 6 字符"/>
    <w:basedOn w:val="36"/>
    <w:link w:val="7"/>
    <w:uiPriority w:val="0"/>
    <w:rPr>
      <w:rFonts w:asciiTheme="majorHAnsi" w:hAnsiTheme="majorHAnsi" w:eastAsiaTheme="majorEastAsia" w:cstheme="majorBidi"/>
      <w:b/>
      <w:bCs/>
      <w:kern w:val="2"/>
      <w:sz w:val="24"/>
      <w:szCs w:val="24"/>
    </w:rPr>
  </w:style>
  <w:style w:type="character" w:customStyle="1" w:styleId="121">
    <w:name w:val="未处理的提及1"/>
    <w:basedOn w:val="36"/>
    <w:semiHidden/>
    <w:unhideWhenUsed/>
    <w:uiPriority w:val="99"/>
    <w:rPr>
      <w:color w:val="605E5C"/>
      <w:shd w:val="clear" w:color="auto" w:fill="E1DFDD"/>
    </w:rPr>
  </w:style>
  <w:style w:type="character" w:customStyle="1" w:styleId="122">
    <w:name w:val="未处理的提及2"/>
    <w:basedOn w:val="36"/>
    <w:semiHidden/>
    <w:unhideWhenUsed/>
    <w:uiPriority w:val="99"/>
    <w:rPr>
      <w:color w:val="605E5C"/>
      <w:shd w:val="clear" w:color="auto" w:fill="E1DFDD"/>
    </w:rPr>
  </w:style>
  <w:style w:type="character" w:customStyle="1" w:styleId="123">
    <w:name w:val="脚注文本 Char"/>
    <w:locked/>
    <w:uiPriority w:val="99"/>
    <w:rPr>
      <w:rFonts w:ascii="Calibri" w:hAnsi="Calibri" w:eastAsia="宋体" w:cs="Times New Roman"/>
      <w:kern w:val="0"/>
      <w:sz w:val="18"/>
      <w:szCs w:val="18"/>
    </w:rPr>
  </w:style>
  <w:style w:type="paragraph" w:customStyle="1" w:styleId="124">
    <w:name w:val="Main"/>
    <w:basedOn w:val="1"/>
    <w:link w:val="125"/>
    <w:qFormat/>
    <w:uiPriority w:val="99"/>
    <w:pPr>
      <w:widowControl/>
      <w:spacing w:line="400" w:lineRule="exact"/>
      <w:ind w:firstLine="200" w:firstLineChars="200"/>
    </w:pPr>
    <w:rPr>
      <w:rFonts w:ascii="Times New Roman" w:hAnsi="Times New Roman"/>
      <w:kern w:val="0"/>
      <w:szCs w:val="20"/>
      <w:lang w:val="zh-CN" w:eastAsia="zh-CN"/>
    </w:rPr>
  </w:style>
  <w:style w:type="character" w:customStyle="1" w:styleId="125">
    <w:name w:val="Main Char"/>
    <w:link w:val="124"/>
    <w:locked/>
    <w:uiPriority w:val="99"/>
    <w:rPr>
      <w:rFonts w:ascii="Times New Roman" w:hAnsi="Times New Roman"/>
      <w:sz w:val="21"/>
      <w:lang w:val="zh-CN" w:eastAsia="zh-CN"/>
    </w:rPr>
  </w:style>
  <w:style w:type="character" w:customStyle="1" w:styleId="126">
    <w:name w:val="未处理的提及3"/>
    <w:basedOn w:val="3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wmf"/><Relationship Id="rId7" Type="http://schemas.openxmlformats.org/officeDocument/2006/relationships/oleObject" Target="embeddings/oleObject1.bin"/><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29.png"/><Relationship Id="rId6" Type="http://schemas.openxmlformats.org/officeDocument/2006/relationships/image" Target="media/image1.png"/><Relationship Id="rId59" Type="http://schemas.openxmlformats.org/officeDocument/2006/relationships/image" Target="media/image28.png"/><Relationship Id="rId58" Type="http://schemas.openxmlformats.org/officeDocument/2006/relationships/image" Target="media/image27.png"/><Relationship Id="rId57" Type="http://schemas.openxmlformats.org/officeDocument/2006/relationships/image" Target="media/image26.png"/><Relationship Id="rId56" Type="http://schemas.openxmlformats.org/officeDocument/2006/relationships/image" Target="media/image25.png"/><Relationship Id="rId55" Type="http://schemas.openxmlformats.org/officeDocument/2006/relationships/image" Target="media/image24.png"/><Relationship Id="rId54" Type="http://schemas.openxmlformats.org/officeDocument/2006/relationships/image" Target="media/image23.emf"/><Relationship Id="rId53" Type="http://schemas.openxmlformats.org/officeDocument/2006/relationships/image" Target="media/image22.emf"/><Relationship Id="rId52" Type="http://schemas.openxmlformats.org/officeDocument/2006/relationships/image" Target="media/image21.emf"/><Relationship Id="rId51" Type="http://schemas.openxmlformats.org/officeDocument/2006/relationships/image" Target="media/image20.emf"/><Relationship Id="rId50" Type="http://schemas.openxmlformats.org/officeDocument/2006/relationships/image" Target="media/image19.emf"/><Relationship Id="rId5" Type="http://schemas.openxmlformats.org/officeDocument/2006/relationships/theme" Target="theme/theme1.xml"/><Relationship Id="rId49" Type="http://schemas.openxmlformats.org/officeDocument/2006/relationships/image" Target="media/image18.emf"/><Relationship Id="rId48" Type="http://schemas.openxmlformats.org/officeDocument/2006/relationships/image" Target="media/image17.wmf"/><Relationship Id="rId47" Type="http://schemas.openxmlformats.org/officeDocument/2006/relationships/oleObject" Target="embeddings/oleObject22.bin"/><Relationship Id="rId46" Type="http://schemas.openxmlformats.org/officeDocument/2006/relationships/image" Target="media/image16.wmf"/><Relationship Id="rId45" Type="http://schemas.openxmlformats.org/officeDocument/2006/relationships/oleObject" Target="embeddings/oleObject21.bin"/><Relationship Id="rId44" Type="http://schemas.openxmlformats.org/officeDocument/2006/relationships/image" Target="media/image15.wmf"/><Relationship Id="rId43" Type="http://schemas.openxmlformats.org/officeDocument/2006/relationships/oleObject" Target="embeddings/oleObject20.bin"/><Relationship Id="rId42" Type="http://schemas.openxmlformats.org/officeDocument/2006/relationships/image" Target="media/image14.wmf"/><Relationship Id="rId41" Type="http://schemas.openxmlformats.org/officeDocument/2006/relationships/oleObject" Target="embeddings/oleObject19.bin"/><Relationship Id="rId40" Type="http://schemas.openxmlformats.org/officeDocument/2006/relationships/image" Target="media/image13.wmf"/><Relationship Id="rId4" Type="http://schemas.openxmlformats.org/officeDocument/2006/relationships/footer" Target="footer1.xml"/><Relationship Id="rId39" Type="http://schemas.openxmlformats.org/officeDocument/2006/relationships/oleObject" Target="embeddings/oleObject18.bin"/><Relationship Id="rId38" Type="http://schemas.openxmlformats.org/officeDocument/2006/relationships/image" Target="media/image12.wmf"/><Relationship Id="rId37" Type="http://schemas.openxmlformats.org/officeDocument/2006/relationships/oleObject" Target="embeddings/oleObject17.bin"/><Relationship Id="rId36" Type="http://schemas.openxmlformats.org/officeDocument/2006/relationships/image" Target="media/image11.wmf"/><Relationship Id="rId35" Type="http://schemas.openxmlformats.org/officeDocument/2006/relationships/oleObject" Target="embeddings/oleObject16.bin"/><Relationship Id="rId34" Type="http://schemas.openxmlformats.org/officeDocument/2006/relationships/image" Target="media/image10.wmf"/><Relationship Id="rId33" Type="http://schemas.openxmlformats.org/officeDocument/2006/relationships/oleObject" Target="embeddings/oleObject15.bin"/><Relationship Id="rId32" Type="http://schemas.openxmlformats.org/officeDocument/2006/relationships/chart" Target="charts/chart4.xml"/><Relationship Id="rId31" Type="http://schemas.openxmlformats.org/officeDocument/2006/relationships/chart" Target="charts/chart3.xml"/><Relationship Id="rId30" Type="http://schemas.openxmlformats.org/officeDocument/2006/relationships/chart" Target="charts/chart2.xml"/><Relationship Id="rId3" Type="http://schemas.openxmlformats.org/officeDocument/2006/relationships/footnotes" Target="footnotes.xml"/><Relationship Id="rId29" Type="http://schemas.openxmlformats.org/officeDocument/2006/relationships/chart" Target="charts/chart1.xml"/><Relationship Id="rId28" Type="http://schemas.openxmlformats.org/officeDocument/2006/relationships/image" Target="media/image9.wmf"/><Relationship Id="rId27" Type="http://schemas.openxmlformats.org/officeDocument/2006/relationships/oleObject" Target="embeddings/oleObject14.bin"/><Relationship Id="rId26" Type="http://schemas.openxmlformats.org/officeDocument/2006/relationships/image" Target="media/image8.wmf"/><Relationship Id="rId25" Type="http://schemas.openxmlformats.org/officeDocument/2006/relationships/oleObject" Target="embeddings/oleObject13.bin"/><Relationship Id="rId24" Type="http://schemas.openxmlformats.org/officeDocument/2006/relationships/image" Target="media/image7.wmf"/><Relationship Id="rId23" Type="http://schemas.openxmlformats.org/officeDocument/2006/relationships/oleObject" Target="embeddings/oleObject12.bin"/><Relationship Id="rId22" Type="http://schemas.openxmlformats.org/officeDocument/2006/relationships/image" Target="media/image6.wmf"/><Relationship Id="rId21" Type="http://schemas.openxmlformats.org/officeDocument/2006/relationships/oleObject" Target="embeddings/oleObject11.bin"/><Relationship Id="rId20" Type="http://schemas.openxmlformats.org/officeDocument/2006/relationships/image" Target="media/image5.wmf"/><Relationship Id="rId2" Type="http://schemas.openxmlformats.org/officeDocument/2006/relationships/settings" Target="settings.xml"/><Relationship Id="rId19" Type="http://schemas.openxmlformats.org/officeDocument/2006/relationships/oleObject" Target="embeddings/oleObject10.bin"/><Relationship Id="rId18" Type="http://schemas.openxmlformats.org/officeDocument/2006/relationships/oleObject" Target="embeddings/oleObject9.bin"/><Relationship Id="rId17" Type="http://schemas.openxmlformats.org/officeDocument/2006/relationships/oleObject" Target="embeddings/oleObject8.bin"/><Relationship Id="rId16" Type="http://schemas.openxmlformats.org/officeDocument/2006/relationships/oleObject" Target="embeddings/oleObject7.bin"/><Relationship Id="rId15" Type="http://schemas.openxmlformats.org/officeDocument/2006/relationships/oleObject" Target="embeddings/oleObject6.bin"/><Relationship Id="rId14" Type="http://schemas.openxmlformats.org/officeDocument/2006/relationships/oleObject" Target="embeddings/oleObject5.bin"/><Relationship Id="rId13" Type="http://schemas.openxmlformats.org/officeDocument/2006/relationships/oleObject" Target="embeddings/oleObject4.bin"/><Relationship Id="rId12" Type="http://schemas.openxmlformats.org/officeDocument/2006/relationships/image" Target="media/image4.wmf"/><Relationship Id="rId11" Type="http://schemas.openxmlformats.org/officeDocument/2006/relationships/oleObject" Target="embeddings/oleObject3.bin"/><Relationship Id="rId10" Type="http://schemas.openxmlformats.org/officeDocument/2006/relationships/image" Target="media/image3.w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36827;&#34892;&#20013;&#39064;&#30446;\&#21271;&#20140;&#22823;&#23398;&#25968;&#23383;&#26222;&#24800;&#37329;&#34701;&#25351;&#25968;2011-2018\&#23395;&#21002;&#25237;&#31295;&#29256;&#26412;\&#35770;&#25991;&#29256;&#22270;&#34920;.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36827;&#34892;&#20013;&#39064;&#30446;\&#21271;&#20140;&#22823;&#23398;&#25968;&#23383;&#26222;&#24800;&#37329;&#34701;&#25351;&#25968;2011-2018\&#23395;&#21002;&#25237;&#31295;&#29256;&#26412;\&#35770;&#25991;&#29256;&#22270;&#34920;.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36827;&#34892;&#20013;&#39064;&#30446;\&#21271;&#20140;&#22823;&#23398;&#25968;&#23383;&#26222;&#24800;&#37329;&#34701;&#25351;&#25968;2011-2018\&#23395;&#21002;&#25237;&#31295;&#29256;&#26412;\&#35770;&#25991;&#29256;&#22270;&#34920;.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36827;&#34892;&#20013;&#39064;&#30446;\&#21271;&#20140;&#22823;&#23398;&#25968;&#23383;&#26222;&#24800;&#37329;&#34701;&#25351;&#25968;2011-2018\&#23395;&#21002;&#25237;&#31295;&#29256;&#26412;\&#35770;&#25991;&#29256;&#22270;&#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省份增长!$B$1</c:f>
              <c:strCache>
                <c:ptCount val="1"/>
                <c:pt idx="0">
                  <c:v>省份均值</c:v>
                </c:pt>
              </c:strCache>
            </c:strRef>
          </c:tx>
          <c:spPr>
            <a:noFill/>
            <a:ln>
              <a:solidFill>
                <a:schemeClr val="tx1">
                  <a:lumMod val="65000"/>
                  <a:lumOff val="35000"/>
                </a:schemeClr>
              </a:solidFill>
            </a:ln>
            <a:effectLst/>
          </c:spPr>
          <c:invertIfNegative val="0"/>
          <c:dLbls>
            <c:delete val="1"/>
          </c:dLbls>
          <c:cat>
            <c:numRef>
              <c:f>省份增长!$A$2:$A$9</c:f>
              <c:numCache>
                <c:formatCode>General</c:formatCode>
                <c:ptCount val="8"/>
                <c:pt idx="0">
                  <c:v>2011</c:v>
                </c:pt>
                <c:pt idx="1">
                  <c:v>2012</c:v>
                </c:pt>
                <c:pt idx="2">
                  <c:v>2013</c:v>
                </c:pt>
                <c:pt idx="3">
                  <c:v>2014</c:v>
                </c:pt>
                <c:pt idx="4">
                  <c:v>2015</c:v>
                </c:pt>
                <c:pt idx="5">
                  <c:v>2016</c:v>
                </c:pt>
                <c:pt idx="6">
                  <c:v>2017</c:v>
                </c:pt>
                <c:pt idx="7">
                  <c:v>2018</c:v>
                </c:pt>
              </c:numCache>
            </c:numRef>
          </c:cat>
          <c:val>
            <c:numRef>
              <c:f>省份增长!$B$2:$B$9</c:f>
              <c:numCache>
                <c:formatCode>General</c:formatCode>
                <c:ptCount val="8"/>
                <c:pt idx="0">
                  <c:v>40.00419</c:v>
                </c:pt>
                <c:pt idx="1">
                  <c:v>99.68548</c:v>
                </c:pt>
                <c:pt idx="2">
                  <c:v>155.3494</c:v>
                </c:pt>
                <c:pt idx="3">
                  <c:v>179.7487</c:v>
                </c:pt>
                <c:pt idx="4">
                  <c:v>220.0084</c:v>
                </c:pt>
                <c:pt idx="5">
                  <c:v>230.4142</c:v>
                </c:pt>
                <c:pt idx="6">
                  <c:v>271.9806</c:v>
                </c:pt>
                <c:pt idx="7">
                  <c:v>300.2081</c:v>
                </c:pt>
              </c:numCache>
            </c:numRef>
          </c:val>
        </c:ser>
        <c:ser>
          <c:idx val="1"/>
          <c:order val="1"/>
          <c:tx>
            <c:strRef>
              <c:f>省份增长!$C$1</c:f>
              <c:strCache>
                <c:ptCount val="1"/>
                <c:pt idx="0">
                  <c:v>省份中位值</c:v>
                </c:pt>
              </c:strCache>
            </c:strRef>
          </c:tx>
          <c:spPr>
            <a:solidFill>
              <a:schemeClr val="tx1">
                <a:lumMod val="65000"/>
                <a:lumOff val="35000"/>
              </a:schemeClr>
            </a:solidFill>
            <a:ln>
              <a:solidFill>
                <a:schemeClr val="tx1">
                  <a:lumMod val="65000"/>
                  <a:lumOff val="35000"/>
                </a:schemeClr>
              </a:solidFill>
            </a:ln>
            <a:effectLst/>
          </c:spPr>
          <c:invertIfNegative val="0"/>
          <c:dLbls>
            <c:delete val="1"/>
          </c:dLbls>
          <c:cat>
            <c:numRef>
              <c:f>省份增长!$A$2:$A$9</c:f>
              <c:numCache>
                <c:formatCode>General</c:formatCode>
                <c:ptCount val="8"/>
                <c:pt idx="0">
                  <c:v>2011</c:v>
                </c:pt>
                <c:pt idx="1">
                  <c:v>2012</c:v>
                </c:pt>
                <c:pt idx="2">
                  <c:v>2013</c:v>
                </c:pt>
                <c:pt idx="3">
                  <c:v>2014</c:v>
                </c:pt>
                <c:pt idx="4">
                  <c:v>2015</c:v>
                </c:pt>
                <c:pt idx="5">
                  <c:v>2016</c:v>
                </c:pt>
                <c:pt idx="6">
                  <c:v>2017</c:v>
                </c:pt>
                <c:pt idx="7">
                  <c:v>2018</c:v>
                </c:pt>
              </c:numCache>
            </c:numRef>
          </c:cat>
          <c:val>
            <c:numRef>
              <c:f>省份增长!$C$2:$C$9</c:f>
              <c:numCache>
                <c:formatCode>General</c:formatCode>
                <c:ptCount val="8"/>
                <c:pt idx="0">
                  <c:v>33.58</c:v>
                </c:pt>
                <c:pt idx="1">
                  <c:v>93.71</c:v>
                </c:pt>
                <c:pt idx="2">
                  <c:v>147.71</c:v>
                </c:pt>
                <c:pt idx="3">
                  <c:v>173.82</c:v>
                </c:pt>
                <c:pt idx="4">
                  <c:v>214.55</c:v>
                </c:pt>
                <c:pt idx="5">
                  <c:v>225.41</c:v>
                </c:pt>
                <c:pt idx="6">
                  <c:v>266.92</c:v>
                </c:pt>
                <c:pt idx="7">
                  <c:v>294.3</c:v>
                </c:pt>
              </c:numCache>
            </c:numRef>
          </c:val>
        </c:ser>
        <c:dLbls>
          <c:showLegendKey val="0"/>
          <c:showVal val="0"/>
          <c:showCatName val="0"/>
          <c:showSerName val="0"/>
          <c:showPercent val="0"/>
          <c:showBubbleSize val="0"/>
        </c:dLbls>
        <c:gapWidth val="150"/>
        <c:axId val="948091984"/>
        <c:axId val="948092544"/>
      </c:barChart>
      <c:catAx>
        <c:axId val="948091984"/>
        <c:scaling>
          <c:orientation val="minMax"/>
        </c:scaling>
        <c:delete val="0"/>
        <c:axPos val="b"/>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48092544"/>
        <c:crosses val="autoZero"/>
        <c:auto val="1"/>
        <c:lblAlgn val="ctr"/>
        <c:lblOffset val="100"/>
        <c:noMultiLvlLbl val="0"/>
      </c:catAx>
      <c:valAx>
        <c:axId val="948092544"/>
        <c:scaling>
          <c:orientation val="minMax"/>
        </c:scaling>
        <c:delete val="0"/>
        <c:axPos val="l"/>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数字普惠金融指数</a:t>
                </a:r>
                <a:endParaRPr lang="zh-CN" altLang="en-US"/>
              </a:p>
            </c:rich>
          </c:tx>
          <c:layout/>
          <c:overlay val="0"/>
          <c:spPr>
            <a:noFill/>
            <a:ln>
              <a:noFill/>
            </a:ln>
            <a:effectLst/>
          </c:spPr>
        </c:title>
        <c:numFmt formatCode="General" sourceLinked="1"/>
        <c:majorTickMark val="in"/>
        <c:minorTickMark val="none"/>
        <c:tickLblPos val="nextTo"/>
        <c:spPr>
          <a:noFill/>
          <a:ln>
            <a:solidFill>
              <a:schemeClr val="tx1">
                <a:lumMod val="65000"/>
                <a:lumOff val="35000"/>
              </a:schemeClr>
            </a:solid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4809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分指数增长!$B$1</c:f>
              <c:strCache>
                <c:ptCount val="1"/>
                <c:pt idx="0">
                  <c:v>总指数</c:v>
                </c:pt>
              </c:strCache>
            </c:strRef>
          </c:tx>
          <c:spPr>
            <a:ln w="15875" cap="rnd">
              <a:solidFill>
                <a:schemeClr val="tx1">
                  <a:lumMod val="65000"/>
                  <a:lumOff val="35000"/>
                </a:schemeClr>
              </a:solidFill>
              <a:round/>
            </a:ln>
            <a:effectLst/>
          </c:spPr>
          <c:marker>
            <c:symbol val="circle"/>
            <c:size val="3"/>
            <c:spPr>
              <a:solidFill>
                <a:schemeClr val="tx1">
                  <a:lumMod val="65000"/>
                  <a:lumOff val="35000"/>
                </a:schemeClr>
              </a:solidFill>
              <a:ln w="9525">
                <a:noFill/>
              </a:ln>
              <a:effectLst/>
            </c:spPr>
          </c:marker>
          <c:dLbls>
            <c:delete val="1"/>
          </c:dLbls>
          <c:cat>
            <c:numRef>
              <c:f>分指数增长!$A$2:$A$9</c:f>
              <c:numCache>
                <c:formatCode>General</c:formatCode>
                <c:ptCount val="8"/>
                <c:pt idx="0">
                  <c:v>2011</c:v>
                </c:pt>
                <c:pt idx="1">
                  <c:v>2012</c:v>
                </c:pt>
                <c:pt idx="2">
                  <c:v>2013</c:v>
                </c:pt>
                <c:pt idx="3">
                  <c:v>2014</c:v>
                </c:pt>
                <c:pt idx="4">
                  <c:v>2015</c:v>
                </c:pt>
                <c:pt idx="5">
                  <c:v>2016</c:v>
                </c:pt>
                <c:pt idx="6">
                  <c:v>2017</c:v>
                </c:pt>
                <c:pt idx="7">
                  <c:v>2018</c:v>
                </c:pt>
              </c:numCache>
            </c:numRef>
          </c:cat>
          <c:val>
            <c:numRef>
              <c:f>分指数增长!$B$2:$B$9</c:f>
              <c:numCache>
                <c:formatCode>General</c:formatCode>
                <c:ptCount val="8"/>
                <c:pt idx="0">
                  <c:v>33.58</c:v>
                </c:pt>
                <c:pt idx="1">
                  <c:v>93.71</c:v>
                </c:pt>
                <c:pt idx="2">
                  <c:v>147.71</c:v>
                </c:pt>
                <c:pt idx="3">
                  <c:v>173.82</c:v>
                </c:pt>
                <c:pt idx="4">
                  <c:v>214.55</c:v>
                </c:pt>
                <c:pt idx="5">
                  <c:v>225.41</c:v>
                </c:pt>
                <c:pt idx="6">
                  <c:v>266.92</c:v>
                </c:pt>
                <c:pt idx="7">
                  <c:v>294.3</c:v>
                </c:pt>
              </c:numCache>
            </c:numRef>
          </c:val>
          <c:smooth val="0"/>
        </c:ser>
        <c:ser>
          <c:idx val="1"/>
          <c:order val="1"/>
          <c:tx>
            <c:strRef>
              <c:f>分指数增长!$C$1</c:f>
              <c:strCache>
                <c:ptCount val="1"/>
                <c:pt idx="0">
                  <c:v>覆盖广度</c:v>
                </c:pt>
              </c:strCache>
            </c:strRef>
          </c:tx>
          <c:spPr>
            <a:ln w="15875" cap="rnd">
              <a:solidFill>
                <a:schemeClr val="tx1">
                  <a:lumMod val="65000"/>
                  <a:lumOff val="35000"/>
                </a:schemeClr>
              </a:solidFill>
              <a:prstDash val="dashDot"/>
              <a:round/>
            </a:ln>
            <a:effectLst/>
          </c:spPr>
          <c:marker>
            <c:symbol val="square"/>
            <c:size val="3"/>
            <c:spPr>
              <a:solidFill>
                <a:schemeClr val="tx1">
                  <a:lumMod val="65000"/>
                  <a:lumOff val="35000"/>
                </a:schemeClr>
              </a:solidFill>
              <a:ln w="9525">
                <a:noFill/>
              </a:ln>
              <a:effectLst/>
            </c:spPr>
          </c:marker>
          <c:dLbls>
            <c:delete val="1"/>
          </c:dLbls>
          <c:cat>
            <c:numRef>
              <c:f>分指数增长!$A$2:$A$9</c:f>
              <c:numCache>
                <c:formatCode>General</c:formatCode>
                <c:ptCount val="8"/>
                <c:pt idx="0">
                  <c:v>2011</c:v>
                </c:pt>
                <c:pt idx="1">
                  <c:v>2012</c:v>
                </c:pt>
                <c:pt idx="2">
                  <c:v>2013</c:v>
                </c:pt>
                <c:pt idx="3">
                  <c:v>2014</c:v>
                </c:pt>
                <c:pt idx="4">
                  <c:v>2015</c:v>
                </c:pt>
                <c:pt idx="5">
                  <c:v>2016</c:v>
                </c:pt>
                <c:pt idx="6">
                  <c:v>2017</c:v>
                </c:pt>
                <c:pt idx="7">
                  <c:v>2018</c:v>
                </c:pt>
              </c:numCache>
            </c:numRef>
          </c:cat>
          <c:val>
            <c:numRef>
              <c:f>分指数增长!$C$2:$C$9</c:f>
              <c:numCache>
                <c:formatCode>General</c:formatCode>
                <c:ptCount val="8"/>
                <c:pt idx="0">
                  <c:v>28.94</c:v>
                </c:pt>
                <c:pt idx="1">
                  <c:v>75.03</c:v>
                </c:pt>
                <c:pt idx="2">
                  <c:v>115.08</c:v>
                </c:pt>
                <c:pt idx="3">
                  <c:v>163.16</c:v>
                </c:pt>
                <c:pt idx="4">
                  <c:v>185.34</c:v>
                </c:pt>
                <c:pt idx="5">
                  <c:v>202</c:v>
                </c:pt>
                <c:pt idx="6">
                  <c:v>239.87</c:v>
                </c:pt>
                <c:pt idx="7">
                  <c:v>273.41</c:v>
                </c:pt>
              </c:numCache>
            </c:numRef>
          </c:val>
          <c:smooth val="0"/>
        </c:ser>
        <c:ser>
          <c:idx val="2"/>
          <c:order val="2"/>
          <c:tx>
            <c:strRef>
              <c:f>分指数增长!$D$1</c:f>
              <c:strCache>
                <c:ptCount val="1"/>
                <c:pt idx="0">
                  <c:v>使用深度</c:v>
                </c:pt>
              </c:strCache>
            </c:strRef>
          </c:tx>
          <c:spPr>
            <a:ln w="15875" cap="rnd">
              <a:solidFill>
                <a:schemeClr val="tx1">
                  <a:lumMod val="65000"/>
                  <a:lumOff val="35000"/>
                </a:schemeClr>
              </a:solidFill>
              <a:prstDash val="sysDash"/>
              <a:round/>
            </a:ln>
            <a:effectLst/>
          </c:spPr>
          <c:marker>
            <c:symbol val="triangle"/>
            <c:size val="5"/>
            <c:spPr>
              <a:solidFill>
                <a:schemeClr val="tx1">
                  <a:lumMod val="65000"/>
                  <a:lumOff val="35000"/>
                </a:schemeClr>
              </a:solidFill>
              <a:ln w="9525">
                <a:noFill/>
              </a:ln>
              <a:effectLst/>
            </c:spPr>
          </c:marker>
          <c:dLbls>
            <c:delete val="1"/>
          </c:dLbls>
          <c:cat>
            <c:numRef>
              <c:f>分指数增长!$A$2:$A$9</c:f>
              <c:numCache>
                <c:formatCode>General</c:formatCode>
                <c:ptCount val="8"/>
                <c:pt idx="0">
                  <c:v>2011</c:v>
                </c:pt>
                <c:pt idx="1">
                  <c:v>2012</c:v>
                </c:pt>
                <c:pt idx="2">
                  <c:v>2013</c:v>
                </c:pt>
                <c:pt idx="3">
                  <c:v>2014</c:v>
                </c:pt>
                <c:pt idx="4">
                  <c:v>2015</c:v>
                </c:pt>
                <c:pt idx="5">
                  <c:v>2016</c:v>
                </c:pt>
                <c:pt idx="6">
                  <c:v>2017</c:v>
                </c:pt>
                <c:pt idx="7">
                  <c:v>2018</c:v>
                </c:pt>
              </c:numCache>
            </c:numRef>
          </c:cat>
          <c:val>
            <c:numRef>
              <c:f>分指数增长!$D$2:$D$9</c:f>
              <c:numCache>
                <c:formatCode>General</c:formatCode>
                <c:ptCount val="8"/>
                <c:pt idx="0">
                  <c:v>47.16</c:v>
                </c:pt>
                <c:pt idx="1">
                  <c:v>116.14</c:v>
                </c:pt>
                <c:pt idx="2">
                  <c:v>173.37</c:v>
                </c:pt>
                <c:pt idx="3">
                  <c:v>153.46</c:v>
                </c:pt>
                <c:pt idx="4">
                  <c:v>171.58</c:v>
                </c:pt>
                <c:pt idx="5">
                  <c:v>211.54</c:v>
                </c:pt>
                <c:pt idx="6">
                  <c:v>290.92</c:v>
                </c:pt>
                <c:pt idx="7">
                  <c:v>279.48</c:v>
                </c:pt>
              </c:numCache>
            </c:numRef>
          </c:val>
          <c:smooth val="0"/>
        </c:ser>
        <c:ser>
          <c:idx val="3"/>
          <c:order val="3"/>
          <c:tx>
            <c:strRef>
              <c:f>分指数增长!$E$1</c:f>
              <c:strCache>
                <c:ptCount val="1"/>
                <c:pt idx="0">
                  <c:v>数字化程度</c:v>
                </c:pt>
              </c:strCache>
            </c:strRef>
          </c:tx>
          <c:spPr>
            <a:ln w="15875" cap="rnd">
              <a:solidFill>
                <a:schemeClr val="tx1">
                  <a:lumMod val="65000"/>
                  <a:lumOff val="35000"/>
                </a:schemeClr>
              </a:solidFill>
              <a:prstDash val="lgDash"/>
              <a:round/>
            </a:ln>
            <a:effectLst/>
          </c:spPr>
          <c:marker>
            <c:symbol val="star"/>
            <c:size val="5"/>
            <c:spPr>
              <a:noFill/>
              <a:ln w="9525">
                <a:solidFill>
                  <a:schemeClr val="tx1">
                    <a:lumMod val="65000"/>
                    <a:lumOff val="35000"/>
                  </a:schemeClr>
                </a:solidFill>
              </a:ln>
              <a:effectLst/>
            </c:spPr>
          </c:marker>
          <c:dLbls>
            <c:delete val="1"/>
          </c:dLbls>
          <c:cat>
            <c:numRef>
              <c:f>分指数增长!$A$2:$A$9</c:f>
              <c:numCache>
                <c:formatCode>General</c:formatCode>
                <c:ptCount val="8"/>
                <c:pt idx="0">
                  <c:v>2011</c:v>
                </c:pt>
                <c:pt idx="1">
                  <c:v>2012</c:v>
                </c:pt>
                <c:pt idx="2">
                  <c:v>2013</c:v>
                </c:pt>
                <c:pt idx="3">
                  <c:v>2014</c:v>
                </c:pt>
                <c:pt idx="4">
                  <c:v>2015</c:v>
                </c:pt>
                <c:pt idx="5">
                  <c:v>2016</c:v>
                </c:pt>
                <c:pt idx="6">
                  <c:v>2017</c:v>
                </c:pt>
                <c:pt idx="7">
                  <c:v>2018</c:v>
                </c:pt>
              </c:numCache>
            </c:numRef>
          </c:cat>
          <c:val>
            <c:numRef>
              <c:f>分指数增长!$E$2:$E$9</c:f>
              <c:numCache>
                <c:formatCode>General</c:formatCode>
                <c:ptCount val="8"/>
                <c:pt idx="0">
                  <c:v>40.35</c:v>
                </c:pt>
                <c:pt idx="1">
                  <c:v>133.9</c:v>
                </c:pt>
                <c:pt idx="2">
                  <c:v>238.82</c:v>
                </c:pt>
                <c:pt idx="3">
                  <c:v>257.11</c:v>
                </c:pt>
                <c:pt idx="4">
                  <c:v>392.16</c:v>
                </c:pt>
                <c:pt idx="5">
                  <c:v>331.83</c:v>
                </c:pt>
                <c:pt idx="6">
                  <c:v>319.57</c:v>
                </c:pt>
                <c:pt idx="7">
                  <c:v>381.93</c:v>
                </c:pt>
              </c:numCache>
            </c:numRef>
          </c:val>
          <c:smooth val="0"/>
        </c:ser>
        <c:dLbls>
          <c:showLegendKey val="0"/>
          <c:showVal val="0"/>
          <c:showCatName val="0"/>
          <c:showSerName val="0"/>
          <c:showPercent val="0"/>
          <c:showBubbleSize val="0"/>
        </c:dLbls>
        <c:marker val="1"/>
        <c:smooth val="0"/>
        <c:axId val="61530384"/>
        <c:axId val="705924432"/>
      </c:lineChart>
      <c:catAx>
        <c:axId val="61530384"/>
        <c:scaling>
          <c:orientation val="minMax"/>
        </c:scaling>
        <c:delete val="0"/>
        <c:axPos val="b"/>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05924432"/>
        <c:crosses val="autoZero"/>
        <c:auto val="1"/>
        <c:lblAlgn val="ctr"/>
        <c:lblOffset val="100"/>
        <c:noMultiLvlLbl val="0"/>
      </c:catAx>
      <c:valAx>
        <c:axId val="705924432"/>
        <c:scaling>
          <c:orientation val="minMax"/>
        </c:scaling>
        <c:delete val="0"/>
        <c:axPos val="l"/>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数字普惠金融指数及分指数</a:t>
                </a:r>
                <a:endParaRPr lang="zh-CN" altLang="en-US"/>
              </a:p>
            </c:rich>
          </c:tx>
          <c:layout/>
          <c:overlay val="0"/>
          <c:spPr>
            <a:noFill/>
            <a:ln>
              <a:noFill/>
            </a:ln>
            <a:effectLst/>
          </c:spPr>
        </c:title>
        <c:numFmt formatCode="General" sourceLinked="1"/>
        <c:majorTickMark val="in"/>
        <c:minorTickMark val="none"/>
        <c:tickLblPos val="nextTo"/>
        <c:spPr>
          <a:noFill/>
          <a:ln>
            <a:solidFill>
              <a:schemeClr val="tx1">
                <a:lumMod val="65000"/>
                <a:lumOff val="35000"/>
              </a:schemeClr>
            </a:solid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5303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地区差距!$B$1</c:f>
              <c:strCache>
                <c:ptCount val="1"/>
                <c:pt idx="0">
                  <c:v>总指数</c:v>
                </c:pt>
              </c:strCache>
            </c:strRef>
          </c:tx>
          <c:spPr>
            <a:noFill/>
            <a:ln>
              <a:solidFill>
                <a:schemeClr val="tx1">
                  <a:lumMod val="65000"/>
                  <a:lumOff val="35000"/>
                </a:schemeClr>
              </a:solidFill>
            </a:ln>
            <a:effectLst/>
          </c:spPr>
          <c:invertIfNegative val="0"/>
          <c:dLbls>
            <c:delete val="1"/>
          </c:dLbls>
          <c:cat>
            <c:strRef>
              <c:f>地区差距!$A$2:$A$32</c:f>
              <c:strCache>
                <c:ptCount val="31"/>
                <c:pt idx="0">
                  <c:v>上海市</c:v>
                </c:pt>
                <c:pt idx="1">
                  <c:v>北京市</c:v>
                </c:pt>
                <c:pt idx="2">
                  <c:v>浙江省</c:v>
                </c:pt>
                <c:pt idx="3">
                  <c:v>福建省</c:v>
                </c:pt>
                <c:pt idx="4">
                  <c:v>江苏省</c:v>
                </c:pt>
                <c:pt idx="5">
                  <c:v>广东省</c:v>
                </c:pt>
                <c:pt idx="6">
                  <c:v>湖北省</c:v>
                </c:pt>
                <c:pt idx="7">
                  <c:v>天津市</c:v>
                </c:pt>
                <c:pt idx="8">
                  <c:v>海南省</c:v>
                </c:pt>
                <c:pt idx="9">
                  <c:v>安徽省</c:v>
                </c:pt>
                <c:pt idx="10">
                  <c:v>重庆市</c:v>
                </c:pt>
                <c:pt idx="11">
                  <c:v>山东省</c:v>
                </c:pt>
                <c:pt idx="12">
                  <c:v>江西省</c:v>
                </c:pt>
                <c:pt idx="13">
                  <c:v>陕西省</c:v>
                </c:pt>
                <c:pt idx="14">
                  <c:v>河南省</c:v>
                </c:pt>
                <c:pt idx="15">
                  <c:v>四川省</c:v>
                </c:pt>
                <c:pt idx="16">
                  <c:v>辽宁省</c:v>
                </c:pt>
                <c:pt idx="17">
                  <c:v>广西区</c:v>
                </c:pt>
                <c:pt idx="18">
                  <c:v>湖南省</c:v>
                </c:pt>
                <c:pt idx="19">
                  <c:v>云南省</c:v>
                </c:pt>
                <c:pt idx="20">
                  <c:v>山西省</c:v>
                </c:pt>
                <c:pt idx="21">
                  <c:v>河北省</c:v>
                </c:pt>
                <c:pt idx="22">
                  <c:v>贵州省</c:v>
                </c:pt>
                <c:pt idx="23">
                  <c:v>吉林省</c:v>
                </c:pt>
                <c:pt idx="24">
                  <c:v>黑龙江</c:v>
                </c:pt>
                <c:pt idx="25">
                  <c:v>西藏区</c:v>
                </c:pt>
                <c:pt idx="26">
                  <c:v>宁夏区</c:v>
                </c:pt>
                <c:pt idx="27">
                  <c:v>新疆区</c:v>
                </c:pt>
                <c:pt idx="28">
                  <c:v>内蒙古</c:v>
                </c:pt>
                <c:pt idx="29">
                  <c:v>甘肃省</c:v>
                </c:pt>
                <c:pt idx="30">
                  <c:v>青海省</c:v>
                </c:pt>
              </c:strCache>
            </c:strRef>
          </c:cat>
          <c:val>
            <c:numRef>
              <c:f>地区差距!$B$2:$B$32</c:f>
              <c:numCache>
                <c:formatCode>0.00</c:formatCode>
                <c:ptCount val="31"/>
                <c:pt idx="0">
                  <c:v>377.733749406315</c:v>
                </c:pt>
                <c:pt idx="1">
                  <c:v>368.536983429645</c:v>
                </c:pt>
                <c:pt idx="2">
                  <c:v>357.445177213005</c:v>
                </c:pt>
                <c:pt idx="3">
                  <c:v>334.435835390687</c:v>
                </c:pt>
                <c:pt idx="4">
                  <c:v>334.021395057742</c:v>
                </c:pt>
                <c:pt idx="5">
                  <c:v>331.917585520579</c:v>
                </c:pt>
                <c:pt idx="6">
                  <c:v>319.476863695357</c:v>
                </c:pt>
                <c:pt idx="7">
                  <c:v>316.884657371334</c:v>
                </c:pt>
                <c:pt idx="8">
                  <c:v>309.718109859278</c:v>
                </c:pt>
                <c:pt idx="9">
                  <c:v>303.830299363933</c:v>
                </c:pt>
                <c:pt idx="10">
                  <c:v>301.532031385904</c:v>
                </c:pt>
                <c:pt idx="11">
                  <c:v>301.13007904008</c:v>
                </c:pt>
                <c:pt idx="12">
                  <c:v>296.227694663353</c:v>
                </c:pt>
                <c:pt idx="13">
                  <c:v>295.947507927115</c:v>
                </c:pt>
                <c:pt idx="14">
                  <c:v>295.756397412612</c:v>
                </c:pt>
                <c:pt idx="15">
                  <c:v>294.304274841317</c:v>
                </c:pt>
                <c:pt idx="16">
                  <c:v>290.950599675849</c:v>
                </c:pt>
                <c:pt idx="17">
                  <c:v>289.248301956225</c:v>
                </c:pt>
                <c:pt idx="18">
                  <c:v>286.808800463165</c:v>
                </c:pt>
                <c:pt idx="19">
                  <c:v>285.790622834897</c:v>
                </c:pt>
                <c:pt idx="20">
                  <c:v>283.654240019122</c:v>
                </c:pt>
                <c:pt idx="21">
                  <c:v>282.772056786869</c:v>
                </c:pt>
                <c:pt idx="22">
                  <c:v>276.909706368283</c:v>
                </c:pt>
                <c:pt idx="23">
                  <c:v>276.075494283791</c:v>
                </c:pt>
                <c:pt idx="24">
                  <c:v>274.734733057963</c:v>
                </c:pt>
                <c:pt idx="25">
                  <c:v>274.334403048877</c:v>
                </c:pt>
                <c:pt idx="26">
                  <c:v>272.923426646369</c:v>
                </c:pt>
                <c:pt idx="27">
                  <c:v>271.83971090731</c:v>
                </c:pt>
                <c:pt idx="28">
                  <c:v>271.566607930094</c:v>
                </c:pt>
                <c:pt idx="29">
                  <c:v>266.82297329882</c:v>
                </c:pt>
                <c:pt idx="30">
                  <c:v>263.123856684434</c:v>
                </c:pt>
              </c:numCache>
            </c:numRef>
          </c:val>
        </c:ser>
        <c:dLbls>
          <c:showLegendKey val="0"/>
          <c:showVal val="0"/>
          <c:showCatName val="0"/>
          <c:showSerName val="0"/>
          <c:showPercent val="0"/>
          <c:showBubbleSize val="0"/>
        </c:dLbls>
        <c:gapWidth val="150"/>
        <c:axId val="705926672"/>
        <c:axId val="705927232"/>
      </c:barChart>
      <c:catAx>
        <c:axId val="705926672"/>
        <c:scaling>
          <c:orientation val="minMax"/>
        </c:scaling>
        <c:delete val="0"/>
        <c:axPos val="b"/>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05927232"/>
        <c:crosses val="autoZero"/>
        <c:auto val="1"/>
        <c:lblAlgn val="ctr"/>
        <c:lblOffset val="100"/>
        <c:tickLblSkip val="1"/>
        <c:noMultiLvlLbl val="0"/>
      </c:catAx>
      <c:valAx>
        <c:axId val="705927232"/>
        <c:scaling>
          <c:orientation val="minMax"/>
          <c:min val="200"/>
        </c:scaling>
        <c:delete val="0"/>
        <c:axPos val="l"/>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数字普惠金融指数</a:t>
                </a:r>
                <a:endParaRPr lang="zh-CN" altLang="en-US"/>
              </a:p>
            </c:rich>
          </c:tx>
          <c:layout/>
          <c:overlay val="0"/>
          <c:spPr>
            <a:noFill/>
            <a:ln>
              <a:noFill/>
            </a:ln>
            <a:effectLst/>
          </c:spPr>
        </c:title>
        <c:numFmt formatCode="#,##0_);[Red]\(#,##0\)" sourceLinked="0"/>
        <c:majorTickMark val="in"/>
        <c:minorTickMark val="none"/>
        <c:tickLblPos val="nextTo"/>
        <c:spPr>
          <a:noFill/>
          <a:ln>
            <a:solidFill>
              <a:schemeClr val="tx1">
                <a:lumMod val="65000"/>
                <a:lumOff val="35000"/>
              </a:schemeClr>
            </a:solid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0592667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收敛1省!$B$15</c:f>
              <c:strCache>
                <c:ptCount val="1"/>
                <c:pt idx="0">
                  <c:v>省</c:v>
                </c:pt>
              </c:strCache>
            </c:strRef>
          </c:tx>
          <c:spPr>
            <a:noFill/>
            <a:ln>
              <a:solidFill>
                <a:schemeClr val="tx1">
                  <a:lumMod val="65000"/>
                  <a:lumOff val="35000"/>
                </a:schemeClr>
              </a:solidFill>
            </a:ln>
            <a:effectLst/>
          </c:spPr>
          <c:invertIfNegative val="0"/>
          <c:dLbls>
            <c:delete val="1"/>
          </c:dLbls>
          <c:cat>
            <c:numRef>
              <c:f>收敛1省!$A$16:$A$23</c:f>
              <c:numCache>
                <c:formatCode>General</c:formatCode>
                <c:ptCount val="8"/>
                <c:pt idx="0">
                  <c:v>2011</c:v>
                </c:pt>
                <c:pt idx="1">
                  <c:v>2012</c:v>
                </c:pt>
                <c:pt idx="2">
                  <c:v>2013</c:v>
                </c:pt>
                <c:pt idx="3">
                  <c:v>2014</c:v>
                </c:pt>
                <c:pt idx="4">
                  <c:v>2015</c:v>
                </c:pt>
                <c:pt idx="5">
                  <c:v>2016</c:v>
                </c:pt>
                <c:pt idx="6">
                  <c:v>2017</c:v>
                </c:pt>
                <c:pt idx="7">
                  <c:v>2018</c:v>
                </c:pt>
              </c:numCache>
            </c:numRef>
          </c:cat>
          <c:val>
            <c:numRef>
              <c:f>收敛1省!$B$16:$B$23</c:f>
              <c:numCache>
                <c:formatCode>0.00</c:formatCode>
                <c:ptCount val="8"/>
                <c:pt idx="0">
                  <c:v>0.442370196141586</c:v>
                </c:pt>
                <c:pt idx="1">
                  <c:v>0.21085949084168</c:v>
                </c:pt>
                <c:pt idx="2">
                  <c:v>0.157891981686494</c:v>
                </c:pt>
                <c:pt idx="3">
                  <c:v>0.122673013878312</c:v>
                </c:pt>
                <c:pt idx="4">
                  <c:v>0.0979764744962396</c:v>
                </c:pt>
                <c:pt idx="5">
                  <c:v>0.0870362556180883</c:v>
                </c:pt>
                <c:pt idx="6">
                  <c:v>0.0832985494899517</c:v>
                </c:pt>
                <c:pt idx="7">
                  <c:v>0.0933584420782758</c:v>
                </c:pt>
              </c:numCache>
            </c:numRef>
          </c:val>
        </c:ser>
        <c:ser>
          <c:idx val="1"/>
          <c:order val="1"/>
          <c:tx>
            <c:strRef>
              <c:f>收敛1省!$C$15</c:f>
              <c:strCache>
                <c:ptCount val="1"/>
                <c:pt idx="0">
                  <c:v>城市</c:v>
                </c:pt>
              </c:strCache>
            </c:strRef>
          </c:tx>
          <c:spPr>
            <a:solidFill>
              <a:schemeClr val="tx1">
                <a:lumMod val="65000"/>
                <a:lumOff val="35000"/>
              </a:schemeClr>
            </a:solidFill>
            <a:ln>
              <a:solidFill>
                <a:schemeClr val="tx1">
                  <a:lumMod val="65000"/>
                  <a:lumOff val="35000"/>
                </a:schemeClr>
              </a:solidFill>
            </a:ln>
            <a:effectLst/>
          </c:spPr>
          <c:invertIfNegative val="0"/>
          <c:dLbls>
            <c:delete val="1"/>
          </c:dLbls>
          <c:cat>
            <c:numRef>
              <c:f>收敛1省!$A$16:$A$23</c:f>
              <c:numCache>
                <c:formatCode>General</c:formatCode>
                <c:ptCount val="8"/>
                <c:pt idx="0">
                  <c:v>2011</c:v>
                </c:pt>
                <c:pt idx="1">
                  <c:v>2012</c:v>
                </c:pt>
                <c:pt idx="2">
                  <c:v>2013</c:v>
                </c:pt>
                <c:pt idx="3">
                  <c:v>2014</c:v>
                </c:pt>
                <c:pt idx="4">
                  <c:v>2015</c:v>
                </c:pt>
                <c:pt idx="5">
                  <c:v>2016</c:v>
                </c:pt>
                <c:pt idx="6">
                  <c:v>2017</c:v>
                </c:pt>
                <c:pt idx="7">
                  <c:v>2018</c:v>
                </c:pt>
              </c:numCache>
            </c:numRef>
          </c:cat>
          <c:val>
            <c:numRef>
              <c:f>收敛1省!$C$16:$C$23</c:f>
              <c:numCache>
                <c:formatCode>0.00</c:formatCode>
                <c:ptCount val="8"/>
                <c:pt idx="0">
                  <c:v>0.338724938824584</c:v>
                </c:pt>
                <c:pt idx="1">
                  <c:v>0.221537750547073</c:v>
                </c:pt>
                <c:pt idx="2">
                  <c:v>0.169065994456581</c:v>
                </c:pt>
                <c:pt idx="3">
                  <c:v>0.127276052176274</c:v>
                </c:pt>
                <c:pt idx="4">
                  <c:v>0.111431668235456</c:v>
                </c:pt>
                <c:pt idx="5">
                  <c:v>0.0981714827424263</c:v>
                </c:pt>
                <c:pt idx="6">
                  <c:v>0.0942499375905078</c:v>
                </c:pt>
                <c:pt idx="7">
                  <c:v>0.097409749863371</c:v>
                </c:pt>
              </c:numCache>
            </c:numRef>
          </c:val>
        </c:ser>
        <c:dLbls>
          <c:showLegendKey val="0"/>
          <c:showVal val="0"/>
          <c:showCatName val="0"/>
          <c:showSerName val="0"/>
          <c:showPercent val="0"/>
          <c:showBubbleSize val="0"/>
        </c:dLbls>
        <c:gapWidth val="150"/>
        <c:axId val="948004928"/>
        <c:axId val="948005488"/>
      </c:barChart>
      <c:catAx>
        <c:axId val="948004928"/>
        <c:scaling>
          <c:orientation val="minMax"/>
        </c:scaling>
        <c:delete val="0"/>
        <c:axPos val="b"/>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48005488"/>
        <c:crosses val="autoZero"/>
        <c:auto val="1"/>
        <c:lblAlgn val="ctr"/>
        <c:lblOffset val="100"/>
        <c:noMultiLvlLbl val="0"/>
      </c:catAx>
      <c:valAx>
        <c:axId val="948005488"/>
        <c:scaling>
          <c:orientation val="minMax"/>
        </c:scaling>
        <c:delete val="0"/>
        <c:axPos val="l"/>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l-GR" altLang="zh-CN"/>
                  <a:t>σ</a:t>
                </a:r>
                <a:r>
                  <a:rPr lang="zh-CN" altLang="en-US"/>
                  <a:t>收敛系数</a:t>
                </a:r>
                <a:endParaRPr lang="zh-CN" altLang="en-US"/>
              </a:p>
            </c:rich>
          </c:tx>
          <c:layout/>
          <c:overlay val="0"/>
          <c:spPr>
            <a:noFill/>
            <a:ln>
              <a:noFill/>
            </a:ln>
            <a:effectLst/>
          </c:spPr>
        </c:title>
        <c:numFmt formatCode="0.00" sourceLinked="1"/>
        <c:majorTickMark val="in"/>
        <c:minorTickMark val="none"/>
        <c:tickLblPos val="nextTo"/>
        <c:spPr>
          <a:noFill/>
          <a:ln>
            <a:solidFill>
              <a:schemeClr val="tx1">
                <a:lumMod val="65000"/>
                <a:lumOff val="35000"/>
              </a:schemeClr>
            </a:solid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480049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Alibaba</Company>
  <Pages>21</Pages>
  <Words>3679</Words>
  <Characters>20976</Characters>
  <Lines>174</Lines>
  <Paragraphs>49</Paragraphs>
  <TotalTime>5</TotalTime>
  <ScaleCrop>false</ScaleCrop>
  <LinksUpToDate>false</LinksUpToDate>
  <CharactersWithSpaces>24606</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2019-07-21T15:45:00Z</dcterms:created>
  <dc:creator>Suoyf</dc:creator>
  <cp:lastModifiedBy>T^T</cp:lastModifiedBy>
  <cp:lastPrinted>2019-07-16T14:21:00Z</cp:lastPrinted>
  <dcterms:modified xsi:type="dcterms:W3CDTF">2023-05-08T17:57:04Z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C63A4833F24FA13970C758645ADE2881_42</vt:lpwstr>
  </property>
</Properties>
</file>