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B68" w:rsidRPr="005D7B68" w:rsidRDefault="005D7B68" w:rsidP="005D7B68">
      <w:pPr>
        <w:rPr>
          <w:rFonts w:ascii="Songti SC" w:eastAsia="Songti SC" w:hAnsi="Songti SC" w:cs="Times New Roman"/>
        </w:rPr>
      </w:pPr>
      <w:r w:rsidRPr="005D7B68">
        <w:rPr>
          <w:rFonts w:ascii="Songti SC" w:eastAsia="Songti SC" w:hAnsi="Songti SC" w:cs="Times New Roman" w:hint="eastAsia"/>
        </w:rPr>
        <w:t>二、B-score的构建及数据来源</w:t>
      </w:r>
    </w:p>
    <w:p w:rsidR="00CC7C01" w:rsidRDefault="005D7B68">
      <w:pPr>
        <w:rPr>
          <w:rFonts w:ascii="Songti SC" w:eastAsia="Songti SC" w:hAnsi="Songti SC"/>
        </w:rPr>
      </w:pPr>
      <w:r w:rsidRPr="005D7B68">
        <w:rPr>
          <w:rFonts w:ascii="Songti SC" w:eastAsia="Songti SC" w:hAnsi="Songti SC" w:hint="eastAsia"/>
        </w:rPr>
        <w:t>我们采用</w:t>
      </w:r>
      <w:r>
        <w:rPr>
          <w:rFonts w:ascii="Songti SC" w:eastAsia="Songti SC" w:hAnsi="Songti SC" w:hint="eastAsia"/>
        </w:rPr>
        <w:t>Barra模型中杠杆指标的倒数作为Safety</w:t>
      </w:r>
      <w:r w:rsidR="003178C6">
        <w:rPr>
          <w:rFonts w:ascii="Songti SC" w:eastAsia="Songti SC" w:hAnsi="Songti SC" w:hint="eastAsia"/>
        </w:rPr>
        <w:t>指标</w:t>
      </w:r>
      <w:r>
        <w:rPr>
          <w:rFonts w:ascii="Songti SC" w:eastAsia="Songti SC" w:hAnsi="Songti SC" w:hint="eastAsia"/>
        </w:rPr>
        <w:t>，当公司杠杆较高时，倾向于认为该公司基本面风险较高。Barra模型中杠杆指标的构建由三部分组成，分别为市值杠杆率、账面价值杠杆率和资产负债率。其中</w:t>
      </w:r>
    </w:p>
    <w:p w:rsidR="005D7B68" w:rsidRPr="005D7B68" w:rsidRDefault="005D7B68">
      <w:pPr>
        <w:rPr>
          <w:rFonts w:ascii="Songti SC" w:eastAsia="Songti SC" w:hAnsi="Songti SC"/>
        </w:rPr>
      </w:pPr>
      <m:oMathPara>
        <m:oMath>
          <m:r>
            <m:rPr>
              <m:sty m:val="p"/>
            </m:rPr>
            <w:rPr>
              <w:rFonts w:ascii="Cambria Math" w:eastAsia="Songti SC" w:hAnsi="Cambria Math" w:hint="eastAsia"/>
            </w:rPr>
            <m:t>市值杠杆率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=</m:t>
          </m:r>
          <m:f>
            <m:fPr>
              <m:ctrlPr>
                <w:rPr>
                  <w:rFonts w:ascii="Cambria Math" w:eastAsia="Songti SC" w:hAnsi="Cambria Math"/>
                </w:rPr>
              </m:ctrlPr>
            </m:fPr>
            <m:num>
              <m:r>
                <w:rPr>
                  <w:rFonts w:ascii="Cambria Math" w:eastAsia="Songti SC" w:hAnsi="Cambria Math" w:hint="eastAsia"/>
                </w:rPr>
                <m:t>log</m:t>
              </m:r>
              <m:r>
                <w:rPr>
                  <w:rFonts w:ascii="Cambria Math" w:eastAsia="Songti SC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Songti SC" w:hAnsi="Cambria Math" w:hint="eastAsia"/>
                </w:rPr>
                <m:t>普通股市值</m:t>
              </m:r>
              <m:r>
                <w:rPr>
                  <w:rFonts w:ascii="Cambria Math" w:eastAsia="Songti SC" w:hAnsi="Cambria Math" w:hint="eastAsia"/>
                </w:rPr>
                <m:t>)</m:t>
              </m:r>
              <m:r>
                <w:rPr>
                  <w:rFonts w:ascii="Cambria Math" w:eastAsia="Songti SC" w:hAnsi="Cambria Math"/>
                </w:rPr>
                <m:t>+</m:t>
              </m:r>
              <m:r>
                <w:rPr>
                  <w:rFonts w:ascii="Cambria Math" w:eastAsia="Songti SC" w:hAnsi="Cambria Math" w:hint="eastAsia"/>
                </w:rPr>
                <m:t>优先股</m:t>
              </m:r>
              <m:r>
                <w:rPr>
                  <w:rFonts w:ascii="Cambria Math" w:eastAsia="Songti SC" w:hAnsi="Cambria Math" w:hint="eastAsia"/>
                </w:rPr>
                <m:t>+</m:t>
              </m:r>
              <m:r>
                <w:rPr>
                  <w:rFonts w:ascii="Cambria Math" w:eastAsia="Songti SC" w:hAnsi="Cambria Math" w:hint="eastAsia"/>
                </w:rPr>
                <m:t>长期负债</m:t>
              </m:r>
            </m:num>
            <m:den>
              <m:r>
                <w:rPr>
                  <w:rFonts w:ascii="Cambria Math" w:eastAsia="Songti SC" w:hAnsi="Cambria Math" w:hint="eastAsia"/>
                </w:rPr>
                <m:t>log</m:t>
              </m:r>
              <m:r>
                <w:rPr>
                  <w:rFonts w:ascii="Cambria Math" w:eastAsia="Songti SC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Songti SC" w:hAnsi="Cambria Math" w:hint="eastAsia"/>
                </w:rPr>
                <m:t>普通股市值</m:t>
              </m:r>
              <m:r>
                <w:rPr>
                  <w:rFonts w:ascii="Cambria Math" w:eastAsia="Songti SC" w:hAnsi="Cambria Math" w:hint="eastAsia"/>
                </w:rPr>
                <m:t>)</m:t>
              </m:r>
            </m:den>
          </m:f>
        </m:oMath>
      </m:oMathPara>
    </w:p>
    <w:p w:rsidR="005D7B68" w:rsidRPr="009C75B7" w:rsidRDefault="005D7B68">
      <w:pPr>
        <w:rPr>
          <w:rFonts w:ascii="Songti SC" w:eastAsia="Songti SC" w:hAnsi="Songti SC"/>
        </w:rPr>
      </w:pPr>
      <m:oMathPara>
        <m:oMath>
          <m:r>
            <m:rPr>
              <m:sty m:val="p"/>
            </m:rPr>
            <w:rPr>
              <w:rFonts w:ascii="Cambria Math" w:eastAsia="Songti SC" w:hAnsi="Cambria Math" w:hint="eastAsia"/>
            </w:rPr>
            <m:t>账面价值杠杆率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=</m:t>
          </m:r>
          <m:f>
            <m:fPr>
              <m:ctrlPr>
                <w:rPr>
                  <w:rFonts w:ascii="Cambria Math" w:eastAsia="Songti SC" w:hAnsi="Cambria Math"/>
                </w:rPr>
              </m:ctrlPr>
            </m:fPr>
            <m:num>
              <m:r>
                <w:rPr>
                  <w:rFonts w:ascii="Cambria Math" w:eastAsia="Songti SC" w:hAnsi="Cambria Math" w:hint="eastAsia"/>
                </w:rPr>
                <m:t>log</m:t>
              </m:r>
              <m:r>
                <w:rPr>
                  <w:rFonts w:ascii="Cambria Math" w:eastAsia="Songti SC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Songti SC" w:hAnsi="Cambria Math" w:hint="eastAsia"/>
                </w:rPr>
                <m:t>普通股账面价值</m:t>
              </m:r>
              <m:r>
                <w:rPr>
                  <w:rFonts w:ascii="Cambria Math" w:eastAsia="Songti SC" w:hAnsi="Cambria Math" w:hint="eastAsia"/>
                </w:rPr>
                <m:t>)</m:t>
              </m:r>
              <m:r>
                <w:rPr>
                  <w:rFonts w:ascii="Cambria Math" w:eastAsia="Songti SC" w:hAnsi="Cambria Math"/>
                </w:rPr>
                <m:t>+</m:t>
              </m:r>
              <m:r>
                <w:rPr>
                  <w:rFonts w:ascii="Cambria Math" w:eastAsia="Songti SC" w:hAnsi="Cambria Math" w:hint="eastAsia"/>
                </w:rPr>
                <m:t>优先股</m:t>
              </m:r>
              <m:r>
                <w:rPr>
                  <w:rFonts w:ascii="Cambria Math" w:eastAsia="Songti SC" w:hAnsi="Cambria Math" w:hint="eastAsia"/>
                </w:rPr>
                <m:t>+</m:t>
              </m:r>
              <m:r>
                <w:rPr>
                  <w:rFonts w:ascii="Cambria Math" w:eastAsia="Songti SC" w:hAnsi="Cambria Math" w:hint="eastAsia"/>
                </w:rPr>
                <m:t>长期负债</m:t>
              </m:r>
            </m:num>
            <m:den>
              <m:r>
                <w:rPr>
                  <w:rFonts w:ascii="Cambria Math" w:eastAsia="Songti SC" w:hAnsi="Cambria Math" w:hint="eastAsia"/>
                </w:rPr>
                <m:t>log</m:t>
              </m:r>
              <m:r>
                <w:rPr>
                  <w:rFonts w:ascii="Cambria Math" w:eastAsia="Songti SC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Songti SC" w:hAnsi="Cambria Math" w:hint="eastAsia"/>
                </w:rPr>
                <m:t>普通股账面价值</m:t>
              </m:r>
              <m:r>
                <w:rPr>
                  <w:rFonts w:ascii="Cambria Math" w:eastAsia="Songti SC" w:hAnsi="Cambria Math" w:hint="eastAsia"/>
                </w:rPr>
                <m:t>)</m:t>
              </m:r>
            </m:den>
          </m:f>
        </m:oMath>
      </m:oMathPara>
    </w:p>
    <w:p w:rsidR="009C75B7" w:rsidRPr="005D7B68" w:rsidRDefault="009C75B7">
      <w:pPr>
        <w:rPr>
          <w:rFonts w:ascii="Songti SC" w:eastAsia="Songti SC" w:hAnsi="Songti SC"/>
        </w:rPr>
      </w:pPr>
      <w:r w:rsidRPr="009C75B7">
        <w:rPr>
          <w:rFonts w:ascii="Songti SC" w:eastAsia="Songti SC" w:hAnsi="Songti SC"/>
        </w:rPr>
        <w:t>普通股市场价值用上一个交易日的股票收盘价计算</w:t>
      </w:r>
      <w:r>
        <w:rPr>
          <w:rFonts w:ascii="Songti SC" w:eastAsia="Songti SC" w:hAnsi="Songti SC" w:hint="eastAsia"/>
        </w:rPr>
        <w:t>，而普通股账面价值的计算公式为</w:t>
      </w:r>
    </w:p>
    <w:p w:rsidR="009C75B7" w:rsidRDefault="009C75B7">
      <w:pPr>
        <w:rPr>
          <w:rFonts w:ascii="Songti SC" w:eastAsia="Songti SC" w:hAnsi="Songti SC"/>
        </w:rPr>
      </w:pPr>
      <m:oMathPara>
        <m:oMath>
          <m:r>
            <m:rPr>
              <m:sty m:val="p"/>
            </m:rPr>
            <w:rPr>
              <w:rFonts w:ascii="Cambria Math" w:eastAsia="Songti SC" w:hAnsi="Cambria Math"/>
            </w:rPr>
            <m:t>普通股账面价值</m:t>
          </m:r>
          <m:r>
            <m:rPr>
              <m:sty m:val="p"/>
            </m:rPr>
            <w:rPr>
              <w:rFonts w:ascii="Cambria Math" w:eastAsia="Songti SC" w:hAnsi="Cambria Math"/>
            </w:rPr>
            <m:t>=</m:t>
          </m:r>
          <m:r>
            <m:rPr>
              <m:sty m:val="p"/>
            </m:rPr>
            <w:rPr>
              <w:rFonts w:ascii="Cambria Math" w:eastAsia="Songti SC" w:hAnsi="Cambria Math"/>
            </w:rPr>
            <m:t>所有者权益总计</m:t>
          </m:r>
          <m:r>
            <m:rPr>
              <m:sty m:val="p"/>
            </m:rPr>
            <w:rPr>
              <w:rFonts w:ascii="Cambria Math" w:eastAsia="Songti SC" w:hAnsi="Cambria Math"/>
            </w:rPr>
            <m:t>-</m:t>
          </m:r>
          <m:r>
            <m:rPr>
              <m:sty m:val="p"/>
            </m:rPr>
            <w:rPr>
              <w:rFonts w:ascii="Cambria Math" w:eastAsia="Songti SC" w:hAnsi="Cambria Math"/>
            </w:rPr>
            <m:t>优先股</m:t>
          </m:r>
        </m:oMath>
      </m:oMathPara>
    </w:p>
    <w:p w:rsidR="005D7B68" w:rsidRDefault="005D7B68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三部分指标以一定权重相加得到杠杆指标，公式如下</w:t>
      </w:r>
    </w:p>
    <w:p w:rsidR="005D7B68" w:rsidRPr="005D7B68" w:rsidRDefault="005D7B68">
      <w:pPr>
        <w:rPr>
          <w:rFonts w:ascii="Songti SC" w:eastAsia="Songti SC" w:hAnsi="Songti SC"/>
        </w:rPr>
      </w:pPr>
      <m:oMathPara>
        <m:oMath>
          <m:r>
            <m:rPr>
              <m:sty m:val="p"/>
            </m:rPr>
            <w:rPr>
              <w:rFonts w:ascii="Cambria Math" w:eastAsia="Songti SC" w:hAnsi="Cambria Math" w:hint="eastAsia"/>
            </w:rPr>
            <m:t>杠杆率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=</m:t>
          </m:r>
          <m:r>
            <m:rPr>
              <m:sty m:val="p"/>
            </m:rPr>
            <w:rPr>
              <w:rFonts w:ascii="Cambria Math" w:eastAsia="Songti SC" w:hAnsi="Cambria Math"/>
            </w:rPr>
            <m:t>0.38×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市值杠杆率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+</m:t>
          </m:r>
          <m:r>
            <m:rPr>
              <m:sty m:val="p"/>
            </m:rPr>
            <w:rPr>
              <w:rFonts w:ascii="Cambria Math" w:eastAsia="Songti SC" w:hAnsi="Cambria Math"/>
            </w:rPr>
            <m:t>0.35×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资产负债率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+</m:t>
          </m:r>
          <m:r>
            <m:rPr>
              <m:sty m:val="p"/>
            </m:rPr>
            <w:rPr>
              <w:rFonts w:ascii="Cambria Math" w:eastAsia="Songti SC" w:hAnsi="Cambria Math"/>
            </w:rPr>
            <m:t>0.27×</m:t>
          </m:r>
          <m:r>
            <m:rPr>
              <m:sty m:val="p"/>
            </m:rPr>
            <w:rPr>
              <w:rFonts w:ascii="Cambria Math" w:eastAsia="Songti SC" w:hAnsi="Cambria Math" w:hint="eastAsia"/>
            </w:rPr>
            <m:t>账面价值杠杆率</m:t>
          </m:r>
        </m:oMath>
      </m:oMathPara>
    </w:p>
    <w:p w:rsidR="005D7B68" w:rsidRDefault="00002C5B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在企业研究中，市盈率</w:t>
      </w:r>
      <w:r w:rsidR="005D7B68" w:rsidRPr="005D7B68">
        <w:rPr>
          <w:rFonts w:ascii="Songti SC" w:eastAsia="Songti SC" w:hAnsi="Songti SC"/>
        </w:rPr>
        <w:t>PE</w:t>
      </w:r>
      <w:r>
        <w:rPr>
          <w:rFonts w:ascii="Songti SC" w:eastAsia="Songti SC" w:hAnsi="Songti SC" w:hint="eastAsia"/>
        </w:rPr>
        <w:t>是常用的估值指标之一。</w:t>
      </w:r>
      <w:r w:rsidRPr="00002C5B">
        <w:rPr>
          <w:rFonts w:ascii="Songti SC" w:eastAsia="Songti SC" w:hAnsi="Songti SC"/>
        </w:rPr>
        <w:t>单独看 PE 可以帮助判断股票是否被高估或低估，但它忽略了公司未来增长潜力。</w:t>
      </w:r>
      <w:r>
        <w:rPr>
          <w:rFonts w:ascii="Songti SC" w:eastAsia="Songti SC" w:hAnsi="Songti SC" w:hint="eastAsia"/>
        </w:rPr>
        <w:t>例如，</w:t>
      </w:r>
      <w:r w:rsidRPr="00002C5B">
        <w:rPr>
          <w:rFonts w:ascii="Songti SC" w:eastAsia="Songti SC" w:hAnsi="Songti SC"/>
        </w:rPr>
        <w:t>PE 可能对增长较快的公司不公平，因为它不会考虑到这些公司未来的盈利增长潜力。相反，成长型公司可能有较高的PE，但由于其增长预期较高，实际价值可能被低估。</w:t>
      </w:r>
      <w:r>
        <w:rPr>
          <w:rFonts w:ascii="Songti SC" w:eastAsia="Songti SC" w:hAnsi="Songti SC" w:hint="eastAsia"/>
        </w:rPr>
        <w:t>因此，我们结合EPS增长率，采用更为综合的PEG指标来表示Cheapness指标。</w:t>
      </w:r>
    </w:p>
    <w:p w:rsidR="009C75B7" w:rsidRDefault="00002C5B">
      <w:pPr>
        <w:rPr>
          <w:rFonts w:ascii="Songti SC" w:eastAsia="Songti SC" w:hAnsi="Songti SC" w:hint="eastAsia"/>
        </w:rPr>
      </w:pPr>
      <m:oMathPara>
        <m:oMath>
          <m:r>
            <m:rPr>
              <m:sty m:val="p"/>
            </m:rPr>
            <w:rPr>
              <w:rFonts w:ascii="Cambria Math" w:eastAsia="Songti SC" w:hAnsi="Cambria Math" w:hint="eastAsia"/>
            </w:rPr>
            <m:t>PEG</m:t>
          </m:r>
          <m:r>
            <m:rPr>
              <m:sty m:val="p"/>
            </m:rPr>
            <w:rPr>
              <w:rFonts w:ascii="Cambria Math" w:eastAsia="Songti SC" w:hAnsi="Cambria Math"/>
            </w:rPr>
            <m:t>=</m:t>
          </m:r>
          <m:f>
            <m:fPr>
              <m:ctrlPr>
                <w:rPr>
                  <w:rFonts w:ascii="Cambria Math" w:eastAsia="Songti SC" w:hAnsi="Cambria Math"/>
                </w:rPr>
              </m:ctrlPr>
            </m:fPr>
            <m:num>
              <m:r>
                <w:rPr>
                  <w:rFonts w:ascii="Cambria Math" w:eastAsia="Songti SC" w:hAnsi="Cambria Math" w:hint="eastAsia"/>
                </w:rPr>
                <m:t>PE</m:t>
              </m:r>
            </m:num>
            <m:den>
              <m:r>
                <w:rPr>
                  <w:rFonts w:ascii="Cambria Math" w:eastAsia="Songti SC" w:hAnsi="Cambria Math" w:hint="eastAsia"/>
                </w:rPr>
                <m:t>EPS</m:t>
              </m:r>
              <m:r>
                <w:rPr>
                  <w:rFonts w:ascii="Cambria Math" w:eastAsia="Songti SC" w:hAnsi="Cambria Math" w:hint="eastAsia"/>
                </w:rPr>
                <m:t>增长率</m:t>
              </m:r>
            </m:den>
          </m:f>
        </m:oMath>
      </m:oMathPara>
    </w:p>
    <w:p w:rsidR="00002C5B" w:rsidRDefault="00002C5B">
      <w:pPr>
        <w:rPr>
          <w:rFonts w:ascii="Songti SC" w:eastAsia="Songti SC" w:hAnsi="Songti SC"/>
        </w:rPr>
      </w:pPr>
      <w:r w:rsidRPr="00002C5B">
        <w:rPr>
          <w:rFonts w:ascii="Songti SC" w:eastAsia="Songti SC" w:hAnsi="Songti SC"/>
        </w:rPr>
        <w:t>一般来说，PEG 值为 1 被认为是"合理估值"的基准。如果 PEG 大于 1，可能意味着股票价格过高，相比其增长潜力显得过于昂贵。</w:t>
      </w:r>
    </w:p>
    <w:p w:rsidR="003178C6" w:rsidRDefault="003178C6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质量指标（Quality）常用来衡量</w:t>
      </w:r>
      <w:r w:rsidRPr="003178C6">
        <w:rPr>
          <w:rFonts w:ascii="Songti SC" w:eastAsia="Songti SC" w:hAnsi="Songti SC"/>
        </w:rPr>
        <w:t>衡量公司的财务健康状况和经营质量。</w:t>
      </w:r>
      <w:r>
        <w:rPr>
          <w:rFonts w:ascii="Songti SC" w:eastAsia="Songti SC" w:hAnsi="Songti SC" w:hint="eastAsia"/>
        </w:rPr>
        <w:t>优秀的</w:t>
      </w:r>
      <w:r w:rsidRPr="003178C6">
        <w:rPr>
          <w:rFonts w:ascii="Songti SC" w:eastAsia="Songti SC" w:hAnsi="Songti SC"/>
        </w:rPr>
        <w:t>质量因子</w:t>
      </w:r>
      <w:r>
        <w:rPr>
          <w:rFonts w:ascii="Songti SC" w:eastAsia="Songti SC" w:hAnsi="Songti SC" w:hint="eastAsia"/>
        </w:rPr>
        <w:t>能够</w:t>
      </w:r>
      <w:r w:rsidRPr="003178C6">
        <w:rPr>
          <w:rFonts w:ascii="Songti SC" w:eastAsia="Songti SC" w:hAnsi="Songti SC"/>
        </w:rPr>
        <w:t>筛选出那些具备良好盈利能力、稳健财务状况和持续增长潜力的公司，</w:t>
      </w:r>
      <w:r>
        <w:rPr>
          <w:rFonts w:ascii="Songti SC" w:eastAsia="Songti SC" w:hAnsi="Songti SC" w:hint="eastAsia"/>
        </w:rPr>
        <w:t>从而</w:t>
      </w:r>
      <w:r w:rsidRPr="003178C6">
        <w:rPr>
          <w:rFonts w:ascii="Songti SC" w:eastAsia="Songti SC" w:hAnsi="Songti SC"/>
        </w:rPr>
        <w:t>选出优质股票进行投资。净利润除以营业利润揭示出经营利润与最终盈利之间的差异。</w:t>
      </w:r>
      <w:r>
        <w:rPr>
          <w:rFonts w:ascii="Songti SC" w:eastAsia="Songti SC" w:hAnsi="Songti SC" w:hint="eastAsia"/>
        </w:rPr>
        <w:t>这一指标能够表示</w:t>
      </w:r>
      <w:r w:rsidRPr="003178C6">
        <w:rPr>
          <w:rFonts w:ascii="Songti SC" w:eastAsia="Songti SC" w:hAnsi="Songti SC"/>
        </w:rPr>
        <w:t>公</w:t>
      </w:r>
      <w:r w:rsidRPr="003178C6">
        <w:rPr>
          <w:rFonts w:ascii="Songti SC" w:eastAsia="Songti SC" w:hAnsi="Songti SC"/>
        </w:rPr>
        <w:lastRenderedPageBreak/>
        <w:t>司的非经营性费用（如利息费用、税费、投资收益等）对其整体盈利能力的影响。</w:t>
      </w:r>
    </w:p>
    <w:p w:rsidR="003178C6" w:rsidRPr="003178C6" w:rsidRDefault="003178C6">
      <w:pPr>
        <w:rPr>
          <w:rFonts w:ascii="Songti SC" w:eastAsia="Songti SC" w:hAnsi="Songti SC"/>
        </w:rPr>
      </w:pPr>
      <m:oMathPara>
        <m:oMath>
          <m:r>
            <m:rPr>
              <m:sty m:val="p"/>
            </m:rPr>
            <w:rPr>
              <w:rFonts w:ascii="Cambria Math" w:eastAsia="Songti SC" w:hAnsi="Cambria Math" w:hint="eastAsia"/>
            </w:rPr>
            <m:t>Quality</m:t>
          </m:r>
          <m:r>
            <m:rPr>
              <m:sty m:val="p"/>
            </m:rPr>
            <w:rPr>
              <w:rFonts w:ascii="Cambria Math" w:eastAsia="Songti SC" w:hAnsi="Cambria Math"/>
            </w:rPr>
            <m:t>=</m:t>
          </m:r>
          <m:f>
            <m:fPr>
              <m:ctrlPr>
                <w:rPr>
                  <w:rFonts w:ascii="Cambria Math" w:eastAsia="Songti SC" w:hAnsi="Cambria Math"/>
                </w:rPr>
              </m:ctrlPr>
            </m:fPr>
            <m:num>
              <m:r>
                <w:rPr>
                  <w:rFonts w:ascii="Cambria Math" w:eastAsia="Songti SC" w:hAnsi="Cambria Math" w:hint="eastAsia"/>
                </w:rPr>
                <m:t>净利润</m:t>
              </m:r>
            </m:num>
            <m:den>
              <m:r>
                <w:rPr>
                  <w:rFonts w:ascii="Cambria Math" w:eastAsia="Songti SC" w:hAnsi="Cambria Math" w:hint="eastAsia"/>
                </w:rPr>
                <m:t>营业利润</m:t>
              </m:r>
            </m:den>
          </m:f>
        </m:oMath>
      </m:oMathPara>
    </w:p>
    <w:p w:rsidR="004E7FAF" w:rsidRDefault="004E7FAF">
      <w:pPr>
        <w:rPr>
          <w:rFonts w:ascii="Songti SC" w:eastAsia="Songti SC" w:hAnsi="Songti SC" w:hint="eastAsia"/>
        </w:rPr>
      </w:pPr>
      <w:r w:rsidRPr="004E7FAF">
        <w:rPr>
          <w:rFonts w:ascii="Songti SC" w:eastAsia="Songti SC" w:hAnsi="Songti SC"/>
        </w:rPr>
        <w:t>使用 CSMAR 数据库，时间范围选取 2014-2023 年的全市场股票财务数据。</w:t>
      </w:r>
      <w:r>
        <w:rPr>
          <w:rFonts w:ascii="Songti SC" w:eastAsia="Songti SC" w:hAnsi="Songti SC" w:hint="eastAsia"/>
        </w:rPr>
        <w:t>构建Safety</w:t>
      </w:r>
      <w:r>
        <w:rPr>
          <w:rFonts w:ascii="Songti SC" w:eastAsia="Songti SC" w:hAnsi="Songti SC"/>
        </w:rPr>
        <w:t>, Cheapness</w:t>
      </w:r>
      <w:r>
        <w:rPr>
          <w:rFonts w:ascii="Songti SC" w:eastAsia="Songti SC" w:hAnsi="Songti SC" w:hint="eastAsia"/>
        </w:rPr>
        <w:t>和Quality三个指标</w:t>
      </w:r>
      <w:r w:rsidRPr="004E7FAF">
        <w:rPr>
          <w:rFonts w:ascii="Songti SC" w:eastAsia="Songti SC" w:hAnsi="Songti SC"/>
        </w:rPr>
        <w:t>需要的原始数据包括：营业利润（OP）、优先股（PS）、月收盘价（MCP）、市盈率（P/E）、长期负债合计（LTD）、负债合计（TD）、净利润（NP）、所有者权益合计（TE）、利润总额（PBT）、资产总计（TA）</w:t>
      </w:r>
      <w:r>
        <w:rPr>
          <w:rFonts w:ascii="Songti SC" w:eastAsia="Songti SC" w:hAnsi="Songti SC" w:hint="eastAsia"/>
        </w:rPr>
        <w:t>。</w:t>
      </w:r>
    </w:p>
    <w:p w:rsidR="003178C6" w:rsidRDefault="004E7FAF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对这些</w:t>
      </w:r>
      <w:r w:rsidR="002B0F99">
        <w:rPr>
          <w:rFonts w:ascii="Songti SC" w:eastAsia="Songti SC" w:hAnsi="Songti SC" w:hint="eastAsia"/>
        </w:rPr>
        <w:t>变量进行描述性统计，如下表所示。</w:t>
      </w:r>
    </w:p>
    <w:p w:rsidR="00FE758D" w:rsidRPr="00FE758D" w:rsidRDefault="004E7FAF" w:rsidP="00FE758D">
      <w:pPr>
        <w:jc w:val="center"/>
        <w:rPr>
          <w:rFonts w:ascii="Songti SC" w:eastAsia="Songti SC" w:hAnsi="Songti SC"/>
        </w:rPr>
      </w:pPr>
      <w:r>
        <w:rPr>
          <w:rFonts w:ascii="宋体" w:hAnsi="宋体" w:cs="宋体" w:hint="eastAsia"/>
          <w:szCs w:val="21"/>
        </w:rPr>
        <w:t xml:space="preserve"> </w:t>
      </w:r>
      <w:r w:rsidR="00FE758D" w:rsidRPr="00FE758D">
        <w:rPr>
          <w:rFonts w:ascii="宋体" w:hAnsi="宋体" w:cs="宋体" w:hint="eastAsia"/>
          <w:szCs w:val="21"/>
        </w:rPr>
        <w:t>表</w:t>
      </w:r>
      <w:r w:rsidR="00FE758D" w:rsidRPr="00FE758D">
        <w:rPr>
          <w:rFonts w:ascii="宋体" w:hAnsi="宋体" w:cs="宋体" w:hint="eastAsia"/>
          <w:szCs w:val="21"/>
        </w:rPr>
        <w:t xml:space="preserve">1 </w:t>
      </w:r>
      <w:r w:rsidR="00FE758D" w:rsidRPr="00FE758D">
        <w:rPr>
          <w:rFonts w:ascii="宋体" w:hAnsi="宋体" w:cs="宋体" w:hint="eastAsia"/>
          <w:szCs w:val="21"/>
        </w:rPr>
        <w:t>描述性统计</w:t>
      </w:r>
    </w:p>
    <w:tbl>
      <w:tblPr>
        <w:tblW w:w="5466" w:type="pct"/>
        <w:tblInd w:w="-426" w:type="dxa"/>
        <w:tblLayout w:type="fixed"/>
        <w:tblLook w:val="0000" w:firstRow="0" w:lastRow="0" w:firstColumn="0" w:lastColumn="0" w:noHBand="0" w:noVBand="0"/>
      </w:tblPr>
      <w:tblGrid>
        <w:gridCol w:w="851"/>
        <w:gridCol w:w="1700"/>
        <w:gridCol w:w="1702"/>
        <w:gridCol w:w="140"/>
        <w:gridCol w:w="1387"/>
        <w:gridCol w:w="1472"/>
        <w:gridCol w:w="1822"/>
      </w:tblGrid>
      <w:tr w:rsidR="009C75B7" w:rsidRPr="00D260E6" w:rsidTr="00FE758D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D260E6" w:rsidRDefault="009C75B7" w:rsidP="009C75B7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 xml:space="preserve">Panel A 描述性统计　</w:t>
            </w:r>
          </w:p>
        </w:tc>
      </w:tr>
      <w:tr w:rsidR="00FE758D" w:rsidRPr="00D260E6" w:rsidTr="00FE758D">
        <w:trPr>
          <w:trHeight w:val="300"/>
        </w:trPr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变量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均值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标准差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p25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p50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C75B7" w:rsidRPr="00FE758D" w:rsidRDefault="009C75B7" w:rsidP="009C75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p75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bCs/>
                <w:sz w:val="20"/>
                <w:szCs w:val="20"/>
              </w:rPr>
              <w:t>OP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sz w:val="20"/>
                <w:szCs w:val="20"/>
              </w:rPr>
              <w:t>779707433.96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sz w:val="20"/>
                <w:szCs w:val="20"/>
              </w:rPr>
              <w:t>7721626371.66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sz w:val="20"/>
                <w:szCs w:val="20"/>
              </w:rPr>
              <w:t>10423186.31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sz w:val="20"/>
                <w:szCs w:val="20"/>
              </w:rPr>
              <w:t>63166709.34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sz w:val="20"/>
                <w:szCs w:val="20"/>
              </w:rPr>
              <w:t>232038206.96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widowControl/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59379264918.43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825166840498.16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1729924300.78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3751028258.93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9931629186.02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MCP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widowControl/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19.89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11.88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21.78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238.03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6052.22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22.00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40.85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87.66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LTD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49817497395.76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767396332569.52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1031595001.14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2684242266.91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7409699336.19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TD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66103119113.31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910132147550.54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1261941399.36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3061096031.96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8568625936.38</w:t>
            </w:r>
          </w:p>
        </w:tc>
      </w:tr>
      <w:tr w:rsidR="00FE758D" w:rsidRPr="00D260E6" w:rsidTr="00FE758D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731739070.68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7189552923.86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10345585.71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60843898.35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223110889.96</w:t>
            </w:r>
          </w:p>
        </w:tc>
      </w:tr>
      <w:tr w:rsidR="00FE758D" w:rsidRPr="00D260E6" w:rsidTr="00FE758D">
        <w:trPr>
          <w:trHeight w:val="300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50906165517.58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765631657920.86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1478259866.87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3182944612.12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8258980508.59</w:t>
            </w:r>
          </w:p>
        </w:tc>
      </w:tr>
      <w:tr w:rsidR="00FE758D" w:rsidRPr="00D260E6" w:rsidTr="00FE758D">
        <w:trPr>
          <w:trHeight w:val="300"/>
        </w:trPr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PBT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782210573.13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7726739015.91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11058658.76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642</w:t>
            </w:r>
            <w:bookmarkStart w:id="0" w:name="_GoBack"/>
            <w:bookmarkEnd w:id="0"/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95001.64</w:t>
            </w: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234649236.99</w:t>
            </w:r>
          </w:p>
        </w:tc>
      </w:tr>
      <w:tr w:rsidR="00FE758D" w:rsidRPr="00D260E6" w:rsidTr="00FE758D">
        <w:trPr>
          <w:trHeight w:val="300"/>
        </w:trPr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758D" w:rsidRPr="00FE758D" w:rsidRDefault="00FE758D" w:rsidP="00FE75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58D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69570085192.76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935021445206.71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1732144782.68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3753904593.45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FE758D" w:rsidRDefault="00FE758D" w:rsidP="00FE758D">
            <w:pPr>
              <w:jc w:val="center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</w:pPr>
            <w:r w:rsidRPr="00FE758D">
              <w:rPr>
                <w:rFonts w:ascii="Times New Roman" w:eastAsia="Songti SC" w:hAnsi="Times New Roman" w:cs="Times New Roman"/>
                <w:color w:val="000000"/>
                <w:sz w:val="20"/>
                <w:szCs w:val="20"/>
              </w:rPr>
              <w:t>9962668000.00</w:t>
            </w:r>
          </w:p>
        </w:tc>
      </w:tr>
    </w:tbl>
    <w:p w:rsidR="00FE758D" w:rsidRDefault="00FE758D">
      <w:pPr>
        <w:rPr>
          <w:color w:val="222222"/>
          <w:szCs w:val="21"/>
          <w:shd w:val="clear" w:color="auto" w:fill="FFFFFF"/>
        </w:rPr>
      </w:pPr>
    </w:p>
    <w:p w:rsidR="002B0F99" w:rsidRDefault="00FE758D" w:rsidP="00FE758D">
      <w:pPr>
        <w:jc w:val="center"/>
        <w:rPr>
          <w:rFonts w:ascii="Songti SC" w:eastAsia="Songti SC" w:hAnsi="Songti SC"/>
        </w:rPr>
      </w:pPr>
      <w:r w:rsidRPr="00D260E6">
        <w:rPr>
          <w:rFonts w:hint="eastAsia"/>
          <w:color w:val="222222"/>
          <w:szCs w:val="21"/>
          <w:shd w:val="clear" w:color="auto" w:fill="FFFFFF"/>
        </w:rPr>
        <w:t>Panel B相关性矩阵</w:t>
      </w:r>
    </w:p>
    <w:tbl>
      <w:tblPr>
        <w:tblW w:w="5513" w:type="pct"/>
        <w:jc w:val="center"/>
        <w:tblLook w:val="0000" w:firstRow="0" w:lastRow="0" w:firstColumn="0" w:lastColumn="0" w:noHBand="0" w:noVBand="0"/>
      </w:tblPr>
      <w:tblGrid>
        <w:gridCol w:w="1843"/>
        <w:gridCol w:w="1843"/>
        <w:gridCol w:w="1893"/>
        <w:gridCol w:w="1739"/>
        <w:gridCol w:w="1834"/>
      </w:tblGrid>
      <w:tr w:rsidR="00FE758D" w:rsidRPr="00D260E6" w:rsidTr="00FE758D">
        <w:trPr>
          <w:trHeight w:val="285"/>
          <w:jc w:val="center"/>
        </w:trPr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 xml:space="preserve">　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B-score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Safety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Cheapness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Quality</w:t>
            </w:r>
          </w:p>
        </w:tc>
      </w:tr>
      <w:tr w:rsidR="00FE758D" w:rsidRPr="00D260E6" w:rsidTr="00FE758D">
        <w:trPr>
          <w:trHeight w:val="285"/>
          <w:jc w:val="center"/>
        </w:trPr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B-score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1.00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0.</w:t>
            </w:r>
            <w:r>
              <w:rPr>
                <w:szCs w:val="21"/>
              </w:rPr>
              <w:t>69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0.</w:t>
            </w:r>
            <w:r>
              <w:rPr>
                <w:szCs w:val="21"/>
              </w:rPr>
              <w:t>53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0.6</w:t>
            </w:r>
            <w:r>
              <w:rPr>
                <w:szCs w:val="21"/>
              </w:rPr>
              <w:t>4</w:t>
            </w:r>
          </w:p>
        </w:tc>
      </w:tr>
      <w:tr w:rsidR="00FE758D" w:rsidRPr="00D260E6" w:rsidTr="00FE758D">
        <w:trPr>
          <w:trHeight w:val="285"/>
          <w:jc w:val="center"/>
        </w:trPr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Safety</w:t>
            </w: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1.00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 w:rsidRPr="00D260E6">
              <w:rPr>
                <w:szCs w:val="21"/>
              </w:rPr>
              <w:t>0.0</w:t>
            </w:r>
            <w:r>
              <w:rPr>
                <w:szCs w:val="21"/>
              </w:rPr>
              <w:t>2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0.</w:t>
            </w:r>
            <w:r>
              <w:rPr>
                <w:szCs w:val="21"/>
              </w:rPr>
              <w:t>5</w:t>
            </w:r>
            <w:r w:rsidRPr="00D260E6">
              <w:rPr>
                <w:szCs w:val="21"/>
              </w:rPr>
              <w:t>6</w:t>
            </w:r>
          </w:p>
        </w:tc>
      </w:tr>
      <w:tr w:rsidR="00FE758D" w:rsidRPr="00D260E6" w:rsidTr="00FE758D">
        <w:trPr>
          <w:trHeight w:val="285"/>
          <w:jc w:val="center"/>
        </w:trPr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Cheapness</w:t>
            </w: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1.00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0.</w:t>
            </w:r>
            <w:r>
              <w:rPr>
                <w:szCs w:val="21"/>
              </w:rPr>
              <w:t>0</w:t>
            </w:r>
            <w:r w:rsidR="00970875">
              <w:rPr>
                <w:szCs w:val="21"/>
              </w:rPr>
              <w:t>1</w:t>
            </w:r>
          </w:p>
        </w:tc>
      </w:tr>
      <w:tr w:rsidR="00FE758D" w:rsidRPr="00D260E6" w:rsidTr="00FE758D">
        <w:trPr>
          <w:trHeight w:val="285"/>
          <w:jc w:val="center"/>
        </w:trPr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Quality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58D" w:rsidRPr="00D260E6" w:rsidRDefault="00FE758D" w:rsidP="00B52B42">
            <w:pPr>
              <w:jc w:val="center"/>
              <w:rPr>
                <w:szCs w:val="21"/>
              </w:rPr>
            </w:pPr>
            <w:r w:rsidRPr="00D260E6">
              <w:rPr>
                <w:szCs w:val="21"/>
              </w:rPr>
              <w:t>1.00</w:t>
            </w:r>
          </w:p>
        </w:tc>
      </w:tr>
    </w:tbl>
    <w:p w:rsidR="00FE758D" w:rsidRPr="005D7B68" w:rsidRDefault="00FE758D">
      <w:pPr>
        <w:rPr>
          <w:rFonts w:ascii="Songti SC" w:eastAsia="Songti SC" w:hAnsi="Songti SC"/>
        </w:rPr>
      </w:pPr>
    </w:p>
    <w:sectPr w:rsidR="00FE758D" w:rsidRPr="005D7B68" w:rsidSect="00C70B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8"/>
    <w:rsid w:val="00002C5B"/>
    <w:rsid w:val="002B0F99"/>
    <w:rsid w:val="003178C6"/>
    <w:rsid w:val="003315E4"/>
    <w:rsid w:val="004E7FAF"/>
    <w:rsid w:val="005D7B68"/>
    <w:rsid w:val="00970875"/>
    <w:rsid w:val="009C75B7"/>
    <w:rsid w:val="00C32F2C"/>
    <w:rsid w:val="00C70B1B"/>
    <w:rsid w:val="00CC7C01"/>
    <w:rsid w:val="00EC792A"/>
    <w:rsid w:val="00F21E11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0E6FF"/>
  <w15:chartTrackingRefBased/>
  <w15:docId w15:val="{7BCAE64B-9E38-1C44-9435-A76840B6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B68"/>
    <w:rPr>
      <w:color w:val="808080"/>
    </w:rPr>
  </w:style>
  <w:style w:type="table" w:styleId="a4">
    <w:name w:val="Table Grid"/>
    <w:basedOn w:val="a1"/>
    <w:uiPriority w:val="39"/>
    <w:rsid w:val="002B0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2024-12-17T16:18:00Z</dcterms:created>
  <dcterms:modified xsi:type="dcterms:W3CDTF">2024-12-17T17:04:00Z</dcterms:modified>
</cp:coreProperties>
</file>