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20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3"/>
          <w:sz w:val="44"/>
          <w:szCs w:val="44"/>
          <w:rtl w:val="0"/>
        </w:rPr>
        <w:t xml:space="preserve">NICATRADE INTERNATIONAL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b7860b" w:space="8" w:sz="8" w:val="single"/>
        </w:pBdr>
        <w:spacing w:after="100" w:before="20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Informe Ejecutivo de Operación de Importación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b7860b" w:space="8" w:sz="8" w:val="single"/>
        </w:pBdr>
        <w:spacing w:after="100" w:before="20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b7860b" w:space="8" w:sz="8" w:val="single"/>
        </w:pBdr>
        <w:spacing w:after="100" w:before="20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rtl w:val="0"/>
        </w:rPr>
        <w:t xml:space="preserve">Operación de Importación: México → Nicaragua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90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1f2933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3"/>
          <w:sz w:val="21"/>
          <w:szCs w:val="21"/>
          <w:rtl w:val="0"/>
        </w:rPr>
        <w:t xml:space="preserve">Integrantes del equipo:</w:t>
      </w:r>
    </w:p>
    <w:p w:rsidR="00000000" w:rsidDel="00000000" w:rsidP="00000000" w:rsidRDefault="00000000" w:rsidRPr="00000000" w14:paraId="00000006">
      <w:pPr>
        <w:spacing w:after="40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1f29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1f2933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3"/>
          <w:sz w:val="21"/>
          <w:szCs w:val="21"/>
          <w:rtl w:val="0"/>
        </w:rPr>
        <w:t xml:space="preserve">Diego Alejandro García Delgado</w:t>
      </w:r>
    </w:p>
    <w:p w:rsidR="00000000" w:rsidDel="00000000" w:rsidP="00000000" w:rsidRDefault="00000000" w:rsidRPr="00000000" w14:paraId="00000008">
      <w:pPr>
        <w:spacing w:after="40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1f2933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3"/>
          <w:sz w:val="21"/>
          <w:szCs w:val="21"/>
          <w:rtl w:val="0"/>
        </w:rPr>
        <w:t xml:space="preserve">Alisson Paola Balmaceda Arce</w:t>
      </w:r>
    </w:p>
    <w:p w:rsidR="00000000" w:rsidDel="00000000" w:rsidP="00000000" w:rsidRDefault="00000000" w:rsidRPr="00000000" w14:paraId="00000009">
      <w:pPr>
        <w:spacing w:after="40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1f29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0" w:line="240" w:lineRule="auto"/>
        <w:jc w:val="center"/>
        <w:rPr>
          <w:rFonts w:ascii="Times New Roman" w:cs="Times New Roman" w:eastAsia="Times New Roman" w:hAnsi="Times New Roman"/>
          <w:color w:val="1f29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0" w:line="240" w:lineRule="auto"/>
        <w:jc w:val="center"/>
        <w:rPr>
          <w:rFonts w:ascii="Times New Roman" w:cs="Times New Roman" w:eastAsia="Times New Roman" w:hAnsi="Times New Roman"/>
          <w:color w:val="1f29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7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Universidad Americana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Facultad de Ingeniería y Arquitectura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Negocios Internacionales / Tecnologías de Gestión de Información</w:t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Fecha: 17 de septiembre 2026</w:t>
      </w:r>
    </w:p>
    <w:p w:rsidR="00000000" w:rsidDel="00000000" w:rsidP="00000000" w:rsidRDefault="00000000" w:rsidRPr="00000000" w14:paraId="00000011">
      <w:pPr>
        <w:spacing w:before="200" w:line="240" w:lineRule="auto"/>
        <w:jc w:val="center"/>
        <w:rPr>
          <w:rFonts w:ascii="Times New Roman" w:cs="Times New Roman" w:eastAsia="Times New Roman" w:hAnsi="Times New Roman"/>
          <w:color w:val="6b72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00" w:line="240" w:lineRule="auto"/>
        <w:jc w:val="center"/>
        <w:rPr>
          <w:rFonts w:ascii="Times New Roman" w:cs="Times New Roman" w:eastAsia="Times New Roman" w:hAnsi="Times New Roman"/>
          <w:color w:val="6b72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00" w:line="240" w:lineRule="auto"/>
        <w:jc w:val="center"/>
        <w:rPr>
          <w:rFonts w:ascii="Times New Roman" w:cs="Times New Roman" w:eastAsia="Times New Roman" w:hAnsi="Times New Roman"/>
          <w:color w:val="6b72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00" w:line="240" w:lineRule="auto"/>
        <w:jc w:val="center"/>
        <w:rPr>
          <w:rFonts w:ascii="Times New Roman" w:cs="Times New Roman" w:eastAsia="Times New Roman" w:hAnsi="Times New Roman"/>
          <w:color w:val="6b72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00" w:line="240" w:lineRule="auto"/>
        <w:jc w:val="center"/>
        <w:rPr>
          <w:rFonts w:ascii="Times New Roman" w:cs="Times New Roman" w:eastAsia="Times New Roman" w:hAnsi="Times New Roman"/>
          <w:color w:val="6b72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00" w:line="240" w:lineRule="auto"/>
        <w:jc w:val="center"/>
        <w:rPr>
          <w:rFonts w:ascii="Times New Roman" w:cs="Times New Roman" w:eastAsia="Times New Roman" w:hAnsi="Times New Roman"/>
          <w:color w:val="6b72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00" w:line="240" w:lineRule="auto"/>
        <w:jc w:val="center"/>
        <w:rPr>
          <w:rFonts w:ascii="Times New Roman" w:cs="Times New Roman" w:eastAsia="Times New Roman" w:hAnsi="Times New Roman"/>
          <w:color w:val="6b72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00" w:line="240" w:lineRule="auto"/>
        <w:jc w:val="center"/>
        <w:rPr>
          <w:rFonts w:ascii="Times New Roman" w:cs="Times New Roman" w:eastAsia="Times New Roman" w:hAnsi="Times New Roman"/>
          <w:color w:val="6b72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00" w:line="240" w:lineRule="auto"/>
        <w:jc w:val="left"/>
        <w:rPr>
          <w:rFonts w:ascii="Times New Roman" w:cs="Times New Roman" w:eastAsia="Times New Roman" w:hAnsi="Times New Roman"/>
          <w:color w:val="6b72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before="20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 de la operación</w:t>
      </w:r>
    </w:p>
    <w:p w:rsidR="00000000" w:rsidDel="00000000" w:rsidP="00000000" w:rsidRDefault="00000000" w:rsidRPr="00000000" w14:paraId="0000001B">
      <w:pPr>
        <w:spacing w:before="200" w:line="240" w:lineRule="auto"/>
        <w:ind w:left="0" w:firstLine="0"/>
        <w:rPr>
          <w:rFonts w:ascii="Times New Roman" w:cs="Times New Roman" w:eastAsia="Times New Roman" w:hAnsi="Times New Roman"/>
          <w:color w:val="1f29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933"/>
          <w:sz w:val="24"/>
          <w:szCs w:val="24"/>
          <w:rtl w:val="0"/>
        </w:rPr>
        <w:t xml:space="preserve">NicaTrade International es una empresa nicaragüense dedicada a la importación y exportación de productos alimenticios y de consumo hacia diferentes mercados de Centroamérica. En el marco de su proceso de transformación digital, el equipo de gestión de información analizó una operación de importación correspondiente a un lote de mercancía proveniente principalmente de México, con destino final Nicaragua.</w:t>
      </w:r>
    </w:p>
    <w:p w:rsidR="00000000" w:rsidDel="00000000" w:rsidP="00000000" w:rsidRDefault="00000000" w:rsidRPr="00000000" w14:paraId="0000001C">
      <w:pPr>
        <w:spacing w:before="200" w:line="240" w:lineRule="auto"/>
        <w:rPr>
          <w:rFonts w:ascii="Times New Roman" w:cs="Times New Roman" w:eastAsia="Times New Roman" w:hAnsi="Times New Roman"/>
          <w:color w:val="1f2933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20" w:tblpY="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50"/>
        <w:tblGridChange w:id="0">
          <w:tblGrid>
            <w:gridCol w:w="2800"/>
            <w:gridCol w:w="6550"/>
          </w:tblGrid>
        </w:tblGridChange>
      </w:tblGrid>
      <w:tr>
        <w:trPr>
          <w:cantSplit w:val="0"/>
          <w:trHeight w:val="409.98046875" w:hRule="atLeast"/>
          <w:tblHeader w:val="0"/>
        </w:trPr>
        <w:tc>
          <w:tcPr>
            <w:shd w:fill="1f293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933"/>
                <w:sz w:val="20"/>
                <w:szCs w:val="20"/>
                <w:rtl w:val="0"/>
              </w:rPr>
              <w:t xml:space="preserve">NicaTrade International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operación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1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933"/>
                <w:sz w:val="20"/>
                <w:szCs w:val="20"/>
                <w:rtl w:val="0"/>
              </w:rPr>
              <w:t xml:space="preserve">Importación internacional de productos de consumo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País de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933"/>
                <w:sz w:val="20"/>
                <w:szCs w:val="20"/>
                <w:rtl w:val="0"/>
              </w:rPr>
              <w:t xml:space="preserve">México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País de 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1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933"/>
                <w:sz w:val="20"/>
                <w:szCs w:val="20"/>
                <w:rtl w:val="0"/>
              </w:rPr>
              <w:t xml:space="preserve">Nicaragua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Productos registrados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933"/>
                <w:sz w:val="20"/>
                <w:szCs w:val="20"/>
                <w:rtl w:val="0"/>
              </w:rPr>
              <w:t xml:space="preserve">50 productos, distribuidos en 7 categorías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numPr>
          <w:ilvl w:val="0"/>
          <w:numId w:val="2"/>
        </w:numPr>
        <w:spacing w:before="20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Productos Importados </w:t>
      </w:r>
    </w:p>
    <w:p w:rsidR="00000000" w:rsidDel="00000000" w:rsidP="00000000" w:rsidRDefault="00000000" w:rsidRPr="00000000" w14:paraId="00000028">
      <w:pPr>
        <w:spacing w:before="20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933"/>
          <w:sz w:val="24"/>
          <w:szCs w:val="24"/>
          <w:rtl w:val="0"/>
        </w:rPr>
        <w:t xml:space="preserve">El lote analizado incluye 50 productos agrupados en siete categorías: Alimentos, Bebidas, Limpieza, Hogar, Oficina, Tecnología y Accesorios. La mayoría de los productos proviene directamente de México; cuatro artículos de la categoría Accesorios (gorras, paraguas y lentes de sol) provienen de otros países de la región (Guatemala, Costa Rica y El Salvador), por lo que se consolidaron en la misma operación logística.</w:t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75"/>
        <w:gridCol w:w="2337"/>
        <w:gridCol w:w="2338"/>
        <w:tblGridChange w:id="0">
          <w:tblGrid>
            <w:gridCol w:w="4675"/>
            <w:gridCol w:w="2337"/>
            <w:gridCol w:w="2338"/>
          </w:tblGrid>
        </w:tblGridChange>
      </w:tblGrid>
      <w:tr>
        <w:trPr>
          <w:cantSplit w:val="0"/>
          <w:tblHeader w:val="0"/>
        </w:trPr>
        <w:tc>
          <w:tcPr>
            <w:shd w:fill="1f293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Importe (US$)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% del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1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933"/>
                <w:sz w:val="20"/>
                <w:szCs w:val="20"/>
                <w:rtl w:val="0"/>
              </w:rPr>
              <w:t xml:space="preserve">Accesorios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1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933"/>
                <w:sz w:val="20"/>
                <w:szCs w:val="20"/>
                <w:rtl w:val="0"/>
              </w:rPr>
              <w:t xml:space="preserve">US$ 9,642.00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1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933"/>
                <w:sz w:val="20"/>
                <w:szCs w:val="20"/>
                <w:rtl w:val="0"/>
              </w:rPr>
              <w:t xml:space="preserve">23.9%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933"/>
                <w:sz w:val="20"/>
                <w:szCs w:val="20"/>
                <w:rtl w:val="0"/>
              </w:rPr>
              <w:t xml:space="preserve">Alimentos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933"/>
                <w:sz w:val="20"/>
                <w:szCs w:val="20"/>
                <w:rtl w:val="0"/>
              </w:rPr>
              <w:t xml:space="preserve">US$ 9,464.00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933"/>
                <w:sz w:val="20"/>
                <w:szCs w:val="20"/>
                <w:rtl w:val="0"/>
              </w:rPr>
              <w:t xml:space="preserve">23.4%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1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933"/>
                <w:sz w:val="20"/>
                <w:szCs w:val="20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1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933"/>
                <w:sz w:val="20"/>
                <w:szCs w:val="20"/>
                <w:rtl w:val="0"/>
              </w:rPr>
              <w:t xml:space="preserve">US$ 6,403.75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1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933"/>
                <w:sz w:val="20"/>
                <w:szCs w:val="20"/>
                <w:rtl w:val="0"/>
              </w:rPr>
              <w:t xml:space="preserve">15.9%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933"/>
                <w:sz w:val="20"/>
                <w:szCs w:val="20"/>
                <w:rtl w:val="0"/>
              </w:rPr>
              <w:t xml:space="preserve">Hogar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933"/>
                <w:sz w:val="20"/>
                <w:szCs w:val="20"/>
                <w:rtl w:val="0"/>
              </w:rPr>
              <w:t xml:space="preserve">US$ 4,945.50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933"/>
                <w:sz w:val="20"/>
                <w:szCs w:val="20"/>
                <w:rtl w:val="0"/>
              </w:rPr>
              <w:t xml:space="preserve">12.3%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1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933"/>
                <w:sz w:val="20"/>
                <w:szCs w:val="20"/>
                <w:rtl w:val="0"/>
              </w:rPr>
              <w:t xml:space="preserve">Oficina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1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933"/>
                <w:sz w:val="20"/>
                <w:szCs w:val="20"/>
                <w:rtl w:val="0"/>
              </w:rPr>
              <w:t xml:space="preserve">US$ 3,803.50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1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933"/>
                <w:sz w:val="20"/>
                <w:szCs w:val="20"/>
                <w:rtl w:val="0"/>
              </w:rPr>
              <w:t xml:space="preserve">9.4%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933"/>
                <w:sz w:val="20"/>
                <w:szCs w:val="20"/>
                <w:rtl w:val="0"/>
              </w:rPr>
              <w:t xml:space="preserve">Limpieza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933"/>
                <w:sz w:val="20"/>
                <w:szCs w:val="20"/>
                <w:rtl w:val="0"/>
              </w:rPr>
              <w:t xml:space="preserve">US$ 3,438.50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933"/>
                <w:sz w:val="20"/>
                <w:szCs w:val="20"/>
                <w:rtl w:val="0"/>
              </w:rPr>
              <w:t xml:space="preserve">8.5%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1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933"/>
                <w:sz w:val="20"/>
                <w:szCs w:val="20"/>
                <w:rtl w:val="0"/>
              </w:rPr>
              <w:t xml:space="preserve">Bebidas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1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933"/>
                <w:sz w:val="20"/>
                <w:szCs w:val="20"/>
                <w:rtl w:val="0"/>
              </w:rPr>
              <w:t xml:space="preserve">US$ 2,661.75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1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933"/>
                <w:sz w:val="20"/>
                <w:szCs w:val="20"/>
                <w:rtl w:val="0"/>
              </w:rPr>
              <w:t xml:space="preserve">6.6%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numPr>
          <w:ilvl w:val="0"/>
          <w:numId w:val="2"/>
        </w:numPr>
        <w:spacing w:before="20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3"/>
          <w:sz w:val="24"/>
          <w:szCs w:val="24"/>
          <w:rtl w:val="0"/>
        </w:rPr>
        <w:t xml:space="preserve">Resultados del análisis del Excel</w:t>
      </w:r>
    </w:p>
    <w:p w:rsidR="00000000" w:rsidDel="00000000" w:rsidP="00000000" w:rsidRDefault="00000000" w:rsidRPr="00000000" w14:paraId="00000043">
      <w:pPr>
        <w:spacing w:before="20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1f29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933"/>
          <w:sz w:val="24"/>
          <w:szCs w:val="24"/>
          <w:rtl w:val="0"/>
        </w:rPr>
        <w:t xml:space="preserve">A partir del procesamiento de los datos en la hoja de cálculo se obtuvieron los siguientes resultados: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6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933"/>
          <w:sz w:val="24"/>
          <w:szCs w:val="24"/>
          <w:rtl w:val="0"/>
        </w:rPr>
        <w:t xml:space="preserve">Importe total de la operación: US$ 40,359.00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6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933"/>
          <w:sz w:val="24"/>
          <w:szCs w:val="24"/>
          <w:rtl w:val="0"/>
        </w:rPr>
        <w:t xml:space="preserve">Importe correspondiente a productos de origen mexicano: US$ 36,919.50 (91.5% del total)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6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933"/>
          <w:sz w:val="24"/>
          <w:szCs w:val="24"/>
          <w:rtl w:val="0"/>
        </w:rPr>
        <w:t xml:space="preserve">Precio unitario promedio de los productos: US$ 7.74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6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933"/>
          <w:sz w:val="24"/>
          <w:szCs w:val="24"/>
          <w:rtl w:val="0"/>
        </w:rPr>
        <w:t xml:space="preserve">Cantidad de productos registrados: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6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933"/>
          <w:sz w:val="24"/>
          <w:szCs w:val="24"/>
          <w:rtl w:val="0"/>
        </w:rPr>
        <w:t xml:space="preserve">Producto con mayor importe: Mochilas (US$ 1,912.50)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6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933"/>
          <w:sz w:val="24"/>
          <w:szCs w:val="24"/>
          <w:rtl w:val="0"/>
        </w:rPr>
        <w:t xml:space="preserve">Productos clasificados como "Importe Alto" (superior a US$ 1,000): 11 de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300" w:lineRule="auto"/>
        <w:jc w:val="both"/>
        <w:rPr>
          <w:rFonts w:ascii="Times New Roman" w:cs="Times New Roman" w:eastAsia="Times New Roman" w:hAnsi="Times New Roman"/>
          <w:color w:val="1f29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933"/>
          <w:sz w:val="24"/>
          <w:szCs w:val="24"/>
          <w:rtl w:val="0"/>
        </w:rPr>
        <w:t xml:space="preserve">La categoría de Accesorios concentra el mayor importe (US$ 9,642.00), seguida muy de cerca por Alimentos (US$ 9,464.00), lo que indica que, si bien los alimentos representan el mayor volumen de unidades, los accesorios tienen un precio unitario más alto y por tanto un peso económico similar dentro de la operación.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160" w:line="30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1f29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3"/>
          <w:sz w:val="24"/>
          <w:szCs w:val="24"/>
          <w:rtl w:val="0"/>
        </w:rPr>
        <w:t xml:space="preserve">Conclusión </w:t>
      </w:r>
    </w:p>
    <w:p w:rsidR="00000000" w:rsidDel="00000000" w:rsidP="00000000" w:rsidRDefault="00000000" w:rsidRPr="00000000" w14:paraId="0000004D">
      <w:pPr>
        <w:spacing w:after="1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933"/>
          <w:sz w:val="24"/>
          <w:szCs w:val="24"/>
          <w:rtl w:val="0"/>
        </w:rPr>
        <w:t xml:space="preserve">Organizar y analizar correctamente la información de una operación internacional antes de ejecutarla permite a la empresa dimensionar con precisión el capital requerido, identificar los productos que concentran el mayor gasto y, por tanto, priorizar su control de calidad y logística. Asimismo, contar con datos procesados y no sólo almacenados facilita la negociación con proveedores, la previsión de costos aduaneros y de transporte, y la toma de decisiones basadas en evidencia en lugar de estimaciones. Para Nica Trade International, este ejercicio confirma que la gestión digital de la información no es un paso posterior a la operación comercial, sino una condición previa para ejecutarla de forma eficiente y con menor riesgo.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300" w:lineRule="auto"/>
        <w:jc w:val="both"/>
        <w:rPr>
          <w:rFonts w:ascii="Times New Roman" w:cs="Times New Roman" w:eastAsia="Times New Roman" w:hAnsi="Times New Roman"/>
          <w:b w:val="1"/>
          <w:bCs w:val="1"/>
          <w:color w:val="1f29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300" w:lineRule="auto"/>
        <w:jc w:val="both"/>
        <w:rPr>
          <w:rFonts w:ascii="Times New Roman" w:cs="Times New Roman" w:eastAsia="Times New Roman" w:hAnsi="Times New Roman"/>
          <w:color w:val="1f29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200" w:line="240" w:lineRule="auto"/>
        <w:rPr>
          <w:rFonts w:ascii="Times New Roman" w:cs="Times New Roman" w:eastAsia="Times New Roman" w:hAnsi="Times New Roman"/>
          <w:b w:val="1"/>
          <w:bCs w:val="1"/>
          <w:color w:val="1f29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