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rFonts w:ascii="Arial" w:cs="Arial" w:eastAsia="Arial" w:hAnsi="Arial"/>
          <w:color w:val="555555"/>
          <w:sz w:val="24"/>
          <w:szCs w:val="24"/>
        </w:rPr>
        <w:t xml:space="preserve">PROPOSAL IN RESPONSE TO</w:t>
      </w:r>
    </w:p>
    <w:p>
      <w:pPr>
        <w:spacing w:before="80" w:after="100"/>
        <w:jc w:val="center"/>
      </w:pPr>
      <w:r>
        <w:rPr>
          <w:rFonts w:ascii="Arial" w:cs="Arial" w:eastAsia="Arial" w:hAnsi="Arial"/>
          <w:b/>
          <w:bCs/>
          <w:color w:val="1E4D2B"/>
          <w:sz w:val="48"/>
          <w:szCs w:val="48"/>
        </w:rPr>
        <w:t xml:space="preserve">Request for Proposal</w:t>
      </w:r>
    </w:p>
    <w:p>
      <w:pPr>
        <w:spacing w:before="60" w:after="60"/>
        <w:jc w:val="center"/>
      </w:pPr>
      <w:r>
        <w:rPr>
          <w:rFonts w:ascii="Arial" w:cs="Arial" w:eastAsia="Arial" w:hAnsi="Arial"/>
          <w:color w:val="333333"/>
          <w:sz w:val="28"/>
          <w:szCs w:val="28"/>
        </w:rPr>
        <w:t xml:space="preserve">Next-Generation BSS/OSS Platform Modernization</w:t>
      </w:r>
    </w:p>
    <w:p>
      <w:pPr>
        <w:spacing w:before="60" w:after="200"/>
        <w:jc w:val="center"/>
      </w:pPr>
      <w:r>
        <w:rPr>
          <w:rFonts w:ascii="Arial" w:cs="Arial" w:eastAsia="Arial" w:hAnsi="Arial"/>
          <w:color w:val="555555"/>
          <w:sz w:val="22"/>
          <w:szCs w:val="22"/>
        </w:rPr>
        <w:t xml:space="preserve">Issued by: Vi Business Solutions (Vodafone Idea Limited)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Submitted By</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NexWave Technologies Pvt. Ltd.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RFP Reference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RFP-2026-VI-BSS-NXT-002</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Submission Date</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April 10,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Submitted 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Priya Sharma, Head of IT Procurement, Vi Business Solutions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Authorized Signatory</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Rajesh Menon, Chief Executive Officer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 Email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rfp.vi2026@nexwavetech.in</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Contact Phone</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+91-80-4567-8901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Proposal Validity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180 days from April 10, 2026 (valid until October 7, 2026)</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Classification</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CONFIDENTIAL — For Vi Business Solutions Evaluation Only</w:t>
            </w:r>
          </w:p>
        </w:tc>
      </w:tr>
    </w:tbl>
    <w:p>
      <w:pPr>
        <w:spacing w:before="80" w:after="80"/>
      </w:pPr>
      <w:r>
        <w:t xml:space="preserve"/>
      </w:r>
    </w:p>
    <w:p>
      <w:pPr>
        <w:pBdr>
          <w:top w:val="single" w:color="2E7D32" w:sz="4" w:space="1"/>
        </w:pBdr>
        <w:spacing w:before="160" w:after="80"/>
        <w:jc w:val="center"/>
      </w:pPr>
      <w:r>
        <w:rPr>
          <w:rFonts w:ascii="Arial" w:cs="Arial" w:eastAsia="Arial" w:hAnsi="Arial"/>
          <w:color w:val="666666"/>
          <w:sz w:val="16"/>
          <w:szCs w:val="16"/>
        </w:rPr>
        <w:t xml:space="preserve">NexWave Technologies Pvt. Ltd.  |  12th Floor, Embassy TechSquare, Outer Ring Road, Bengaluru — 560103  |  www.nexwavetech.in  |  CIN: U72200KA2009PTC123456</w:t>
      </w:r>
    </w:p>
    <w:p>
      <w:r>
        <w:br w:type="page"/>
      </w:r>
    </w:p>
    <w:p>
      <w:pPr>
        <w:pStyle w:val="Heading1"/>
        <w:spacing w:before="300" w:after="120"/>
      </w:pPr>
      <w:r>
        <w:rPr>
          <w:rFonts w:ascii="Arial" w:cs="Arial" w:eastAsia="Arial" w:hAnsi="Arial"/>
          <w:b/>
          <w:bCs/>
          <w:color w:val="1E4D2B"/>
          <w:sz w:val="30"/>
          <w:szCs w:val="30"/>
        </w:rPr>
        <w:t xml:space="preserve">Section 1: Executive Summary</w:t>
      </w:r>
    </w:p>
    <w:p>
      <w:pPr>
        <w:spacing w:before="60" w:after="60"/>
      </w:pPr>
      <w:r>
        <w:rPr>
          <w:rFonts w:ascii="Arial" w:cs="Arial" w:eastAsia="Arial" w:hAnsi="Arial"/>
          <w:sz w:val="20"/>
          <w:szCs w:val="20"/>
        </w:rPr>
        <w:t xml:space="preserve">NexWave Technologies Pvt. Ltd. is proud to submit this proposal in response to Vi Business Solutions' RFP-2026-VI-BSS-NXT-002 for the Next-Generation BSS/OSS Platform Modernization. We are confident that NexWave's TeleSphere BSS/OSS Suite — a cloud-native, TM Forum-certified, microservices-based platform — is the ideal solution to power Vi's FutureReady transformation programme.</w:t>
      </w:r>
    </w:p>
    <w:p>
      <w:pPr>
        <w:spacing w:before="80" w:after="80"/>
      </w:pPr>
      <w:r>
        <w:t xml:space="preserve"/>
      </w:r>
    </w:p>
    <w:p>
      <w:pPr>
        <w:spacing w:before="60" w:after="60"/>
      </w:pPr>
      <w:r>
        <w:rPr>
          <w:rFonts w:ascii="Arial" w:cs="Arial" w:eastAsia="Arial" w:hAnsi="Arial"/>
          <w:b/>
          <w:bCs/>
          <w:sz w:val="20"/>
          <w:szCs w:val="20"/>
        </w:rPr>
        <w:t xml:space="preserve">Our proposal delivers:</w:t>
      </w:r>
    </w:p>
    <w:p>
      <w:pPr>
        <w:pStyle w:val="ListParagraph"/>
        <w:numPr>
          <w:ilvl w:val="0"/>
          <w:numId w:val="2"/>
        </w:numPr>
        <w:spacing w:before="40" w:after="40"/>
      </w:pPr>
      <w:r>
        <w:rPr>
          <w:rFonts w:ascii="Arial" w:cs="Arial" w:eastAsia="Arial" w:hAnsi="Arial"/>
          <w:sz w:val="20"/>
          <w:szCs w:val="20"/>
        </w:rPr>
        <w:t xml:space="preserve">A production-proven platform currently serving 3 Tier-1 operators with a combined 420M subscribers across Asia-Pacific and Middle East</w:t>
      </w:r>
    </w:p>
    <w:p>
      <w:pPr>
        <w:pStyle w:val="ListParagraph"/>
        <w:numPr>
          <w:ilvl w:val="0"/>
          <w:numId w:val="2"/>
        </w:numPr>
        <w:spacing w:before="40" w:after="40"/>
      </w:pPr>
      <w:r>
        <w:rPr>
          <w:rFonts w:ascii="Arial" w:cs="Arial" w:eastAsia="Arial" w:hAnsi="Arial"/>
          <w:sz w:val="20"/>
          <w:szCs w:val="20"/>
        </w:rPr>
        <w:t xml:space="preserve">Full compliance with all mandatory technical requirements including 3GPP Rel-17 OCS, TM Forum Frameworx Level 4, and GSMA security certifications</w:t>
      </w:r>
    </w:p>
    <w:p>
      <w:pPr>
        <w:pStyle w:val="ListParagraph"/>
        <w:numPr>
          <w:ilvl w:val="0"/>
          <w:numId w:val="2"/>
        </w:numPr>
        <w:spacing w:before="40" w:after="40"/>
      </w:pPr>
      <w:r>
        <w:rPr>
          <w:rFonts w:ascii="Arial" w:cs="Arial" w:eastAsia="Arial" w:hAnsi="Arial"/>
          <w:sz w:val="20"/>
          <w:szCs w:val="20"/>
        </w:rPr>
        <w:t xml:space="preserve">A zero-revenue-leakage data migration methodology, validated across 6 large-scale BSS transformations</w:t>
      </w:r>
    </w:p>
    <w:p>
      <w:pPr>
        <w:pStyle w:val="ListParagraph"/>
        <w:numPr>
          <w:ilvl w:val="0"/>
          <w:numId w:val="2"/>
        </w:numPr>
        <w:spacing w:before="40" w:after="40"/>
      </w:pPr>
      <w:r>
        <w:rPr>
          <w:rFonts w:ascii="Arial" w:cs="Arial" w:eastAsia="Arial" w:hAnsi="Arial"/>
          <w:sz w:val="20"/>
          <w:szCs w:val="20"/>
        </w:rPr>
        <w:t xml:space="preserve">5G SA network slice management capabilities live in production since Q3 2024</w:t>
      </w:r>
    </w:p>
    <w:p>
      <w:pPr>
        <w:pStyle w:val="ListParagraph"/>
        <w:numPr>
          <w:ilvl w:val="0"/>
          <w:numId w:val="2"/>
        </w:numPr>
        <w:spacing w:before="40" w:after="40"/>
      </w:pPr>
      <w:r>
        <w:rPr>
          <w:rFonts w:ascii="Arial" w:cs="Arial" w:eastAsia="Arial" w:hAnsi="Arial"/>
          <w:sz w:val="20"/>
          <w:szCs w:val="20"/>
        </w:rPr>
        <w:t xml:space="preserve">A dedicated India delivery center in Bengaluru with 1,200+ FTEs available to this programme</w:t>
      </w:r>
    </w:p>
    <w:p>
      <w:pPr>
        <w:pStyle w:val="ListParagraph"/>
        <w:numPr>
          <w:ilvl w:val="0"/>
          <w:numId w:val="2"/>
        </w:numPr>
        <w:spacing w:before="40" w:after="40"/>
      </w:pPr>
      <w:r>
        <w:rPr>
          <w:rFonts w:ascii="Arial" w:cs="Arial" w:eastAsia="Arial" w:hAnsi="Arial"/>
          <w:sz w:val="20"/>
          <w:szCs w:val="20"/>
        </w:rPr>
        <w:t xml:space="preserve">5-year Total Cost of Ownership commitment with guaranteed pricing transparency and milestone-linked commercials</w:t>
      </w:r>
    </w:p>
    <w:p>
      <w:pPr>
        <w:spacing w:before="80" w:after="80"/>
      </w:pPr>
      <w:r>
        <w:t xml:space="preserve"/>
      </w:r>
    </w:p>
    <w:p>
      <w:pPr>
        <w:spacing w:before="60" w:after="60"/>
      </w:pPr>
      <w:r>
        <w:rPr>
          <w:rFonts w:ascii="Arial" w:cs="Arial" w:eastAsia="Arial" w:hAnsi="Arial"/>
          <w:sz w:val="20"/>
          <w:szCs w:val="20"/>
        </w:rPr>
        <w:t xml:space="preserve">We understand the critical nature of this transformation for Vi's 215 million subscribers and its 5G growth ambitions. NexWave commits to mobilizing a 150-person dedicated programme team from Day 1, led by a seasoned programme director with two prior BSS transformations at comparable operator scale.</w:t>
      </w:r>
    </w:p>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2: Company Profile &amp; Qualifications</w:t>
      </w:r>
    </w:p>
    <w:p>
      <w:pPr>
        <w:pStyle w:val="Heading2"/>
        <w:spacing w:before="200" w:after="80"/>
      </w:pPr>
      <w:r>
        <w:rPr>
          <w:rFonts w:ascii="Arial" w:cs="Arial" w:eastAsia="Arial" w:hAnsi="Arial"/>
          <w:b/>
          <w:bCs/>
          <w:color w:val="1E4D2B"/>
          <w:sz w:val="24"/>
          <w:szCs w:val="24"/>
        </w:rPr>
        <w:t xml:space="preserve">2.1 Corporate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Legal Entity</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NexWave Technologies Pvt. Ltd.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2009</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Headquarters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Bengaluru, Karnataka, India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U72200KA2009PTC123456</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GSTIN</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29AAACN1234A1Z5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AAACN1234A</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Listed Exchanges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BSE &amp; NSE (NSE: NEXWAVE)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 Offices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India (Bengaluru, Mumbai, Chennai), Singapore, Dubai, London</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Total Employees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8,400+ globally; 6,100 in India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India FTE (BSS/OSS)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1,200+ dedicated BSS/OSS engineers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Annual Revenue (FY2025)</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INR 2,840 Crores total; INR 1,920 Crores from telecom sector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 in Telecom BSS/OSS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years (since 2009)</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Clients Globally</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28 mobile operators in 18 countries</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2.2 India Delivery Center</w:t>
      </w:r>
    </w:p>
    <w:p>
      <w:pPr>
        <w:spacing w:before="60" w:after="60"/>
      </w:pPr>
      <w:r>
        <w:rPr>
          <w:rFonts w:ascii="Arial" w:cs="Arial" w:eastAsia="Arial" w:hAnsi="Arial"/>
          <w:sz w:val="20"/>
          <w:szCs w:val="20"/>
        </w:rPr>
        <w:t xml:space="preserve">NexWave's primary delivery center is located at Embassy TechSquare, Bengaluru (Karnataka), with secondary centers in Chennai (Tamil Nadu) and Mumbai (Maharashtra). The India organization employs 6,100 professionals across software engineering, infrastructure, quality assurance, and managed services. The Bengaluru center operates under ISO 27001, ISO 9001, and CMMI Level 5 certifications.</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2.3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FY2023 Total Revenue (INR Cr)</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2,210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FY2024 Total Revenue (INR Cr)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2,530</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FY2025 Total Revenue (INR Cr)</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2,840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FY2025 Telecom Sector Revenue (INR Cr)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1,920</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FY2024 Telecom Sector Revenue (INR Cr)</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1,690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FY2023 Telecom Sector Revenue (INR Cr)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1,480</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Net Profit Margin (FY2025)</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14.2%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Debt-to-Equity Ratio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0.18 (low leverage)</w:t>
            </w:r>
          </w:p>
        </w:tc>
      </w:tr>
    </w:tbl>
    <w:p>
      <w:pPr>
        <w:spacing w:before="60" w:after="60"/>
      </w:pPr>
      <w:r>
        <w:rPr>
          <w:rFonts w:ascii="Arial" w:cs="Arial" w:eastAsia="Arial" w:hAnsi="Arial"/>
          <w:sz w:val="20"/>
          <w:szCs w:val="20"/>
        </w:rPr>
        <w:t xml:space="preserve">Audited financials for FY2023, FY2024, and FY2025 are included in Appendix F.</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2.4 Tier-1 Operator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 Operator</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Scope &amp; Go-Live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1. Stellar Mobile (Indonesia)</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280M subs; Full BSS transformation; OCS live Oct 2023; TeleSphere platform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Crescent Telecom (Saudi Arabia)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55M subs; Convergent billing + CRM + 5G slicing; live Q1 2024</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3. AsiaNet Wireless (Philippines)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120M subs; Greenfield BSS/OSS; migration from Ericsson BSCS; live Dec 2022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BrightPath Mobile (Sri Lanka)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28M subs; OCS + Order Management + Self-Care; live Jun 2024</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5. ConnectFirst (Bangladesh)</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38M subs; Billing + CRM + RA/FM; live Mar 2023</w:t>
            </w:r>
          </w:p>
        </w:tc>
      </w:tr>
    </w:tbl>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3: Technical Solution — BSS Modules</w:t>
      </w:r>
    </w:p>
    <w:p>
      <w:pPr>
        <w:pStyle w:val="Heading2"/>
        <w:spacing w:before="200" w:after="80"/>
      </w:pPr>
      <w:r>
        <w:rPr>
          <w:rFonts w:ascii="Arial" w:cs="Arial" w:eastAsia="Arial" w:hAnsi="Arial"/>
          <w:b/>
          <w:bCs/>
          <w:color w:val="1E4D2B"/>
          <w:sz w:val="24"/>
          <w:szCs w:val="24"/>
        </w:rPr>
        <w:t xml:space="preserve">3.1 Solution Architecture Overview</w:t>
      </w:r>
    </w:p>
    <w:p>
      <w:pPr>
        <w:spacing w:before="60" w:after="60"/>
      </w:pPr>
      <w:r>
        <w:rPr>
          <w:rFonts w:ascii="Arial" w:cs="Arial" w:eastAsia="Arial" w:hAnsi="Arial"/>
          <w:sz w:val="20"/>
          <w:szCs w:val="20"/>
        </w:rPr>
        <w:t xml:space="preserve">NexWave's TeleSphere BSS Suite is a cloud-native, event-driven, microservices platform built on a Domain-Driven Design (DDD) architecture. All components are packaged as containerized services (Docker/Helm) deployed on Kubernetes, with full support for multi-region active-active deployment on MeitY-empanelled clouds (AWS India, Azure India, Jio Cloud).</w:t>
      </w:r>
    </w:p>
    <w:p>
      <w:pPr>
        <w:pStyle w:val="ListParagraph"/>
        <w:numPr>
          <w:ilvl w:val="0"/>
          <w:numId w:val="2"/>
        </w:numPr>
        <w:spacing w:before="40" w:after="40"/>
      </w:pPr>
      <w:r>
        <w:rPr>
          <w:rFonts w:ascii="Arial" w:cs="Arial" w:eastAsia="Arial" w:hAnsi="Arial"/>
          <w:sz w:val="20"/>
          <w:szCs w:val="20"/>
        </w:rPr>
        <w:t xml:space="preserve">Architecture pattern: Event-driven microservices with Apache Kafka as the central event bus</w:t>
      </w:r>
    </w:p>
    <w:p>
      <w:pPr>
        <w:pStyle w:val="ListParagraph"/>
        <w:numPr>
          <w:ilvl w:val="0"/>
          <w:numId w:val="2"/>
        </w:numPr>
        <w:spacing w:before="40" w:after="40"/>
      </w:pPr>
      <w:r>
        <w:rPr>
          <w:rFonts w:ascii="Arial" w:cs="Arial" w:eastAsia="Arial" w:hAnsi="Arial"/>
          <w:sz w:val="20"/>
          <w:szCs w:val="20"/>
        </w:rPr>
        <w:t xml:space="preserve">API layer: TM Forum Open API-compliant REST and AsyncAPI; TMF620, TMF622, TMF632, TMF637, TMF641, TMF666 exposed natively</w:t>
      </w:r>
    </w:p>
    <w:p>
      <w:pPr>
        <w:pStyle w:val="ListParagraph"/>
        <w:numPr>
          <w:ilvl w:val="0"/>
          <w:numId w:val="2"/>
        </w:numPr>
        <w:spacing w:before="40" w:after="40"/>
      </w:pPr>
      <w:r>
        <w:rPr>
          <w:rFonts w:ascii="Arial" w:cs="Arial" w:eastAsia="Arial" w:hAnsi="Arial"/>
          <w:sz w:val="20"/>
          <w:szCs w:val="20"/>
        </w:rPr>
        <w:t xml:space="preserve">Data layer: Distributed NoSQL (Cassandra) for high-throughput OCS; PostgreSQL for billing &amp; CRM; Redis for real-time session state</w:t>
      </w:r>
    </w:p>
    <w:p>
      <w:pPr>
        <w:pStyle w:val="ListParagraph"/>
        <w:numPr>
          <w:ilvl w:val="0"/>
          <w:numId w:val="2"/>
        </w:numPr>
        <w:spacing w:before="40" w:after="40"/>
      </w:pPr>
      <w:r>
        <w:rPr>
          <w:rFonts w:ascii="Arial" w:cs="Arial" w:eastAsia="Arial" w:hAnsi="Arial"/>
          <w:sz w:val="20"/>
          <w:szCs w:val="20"/>
        </w:rPr>
        <w:t xml:space="preserve">Observability: Prometheus + Grafana for metrics; ELK stack for log aggregation; Jaeger for distributed tracing</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3.2 Online Charging System (OCS)</w:t>
      </w:r>
    </w:p>
    <w:p>
      <w:pPr>
        <w:spacing w:before="60" w:after="60"/>
      </w:pPr>
      <w:r>
        <w:rPr>
          <w:rFonts w:ascii="Arial" w:cs="Arial" w:eastAsia="Arial" w:hAnsi="Arial"/>
          <w:sz w:val="20"/>
          <w:szCs w:val="20"/>
        </w:rPr>
        <w:t xml:space="preserve">TeleSphere OCS v7.2 is fully compliant with 3GPP Release 17 Ro/Gy/Rf interfaces and supports prepaid, postpaid, and hybrid charging in a unified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NexWave Response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3GPP Compliance</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Rel-17 Ro (online), Gy (policy &amp; charging), Rf (offline)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Rating Latency (P99)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&lt;38ms at 1.5M TPS — demonstrated in Stellar Mobile production environment</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Peak Throughput</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2M TPS (tested); 1.5M TPS production SLA guaranteed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Subscriber Scale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Horizontally scalable; 280M subs live at Stellar Mobile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Prepaid Support</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Real-time balance deduction, reservation, reauthorization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Postpaid 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CDR-based mediation, convergent bill generation</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Enterprise Billing</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Contract billing, CPQ integration, volume discounts, SLA-based credits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5G Charging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5G-SA Nchf interface; network slice usage-based charging</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3.3 CRM — Customer Management</w:t>
      </w:r>
    </w:p>
    <w:p>
      <w:pPr>
        <w:spacing w:before="60" w:after="60"/>
      </w:pPr>
      <w:r>
        <w:rPr>
          <w:rFonts w:ascii="Arial" w:cs="Arial" w:eastAsia="Arial" w:hAnsi="Arial"/>
          <w:sz w:val="20"/>
          <w:szCs w:val="20"/>
        </w:rPr>
        <w:t xml:space="preserve">TeleSphere CRM provides a 360-degree subscriber view built on a cloud-native platform integrated with AI/ML decisioning engine for agent assist, churn prediction, and next-best-action recommendations.</w:t>
      </w:r>
    </w:p>
    <w:p>
      <w:pPr>
        <w:pStyle w:val="ListParagraph"/>
        <w:numPr>
          <w:ilvl w:val="0"/>
          <w:numId w:val="2"/>
        </w:numPr>
        <w:spacing w:before="40" w:after="40"/>
      </w:pPr>
      <w:r>
        <w:rPr>
          <w:rFonts w:ascii="Arial" w:cs="Arial" w:eastAsia="Arial" w:hAnsi="Arial"/>
          <w:sz w:val="20"/>
          <w:szCs w:val="20"/>
        </w:rPr>
        <w:t xml:space="preserve">Single unified CRM for consumer prepaid, postpaid, SME, and enterprise segments</w:t>
      </w:r>
    </w:p>
    <w:p>
      <w:pPr>
        <w:pStyle w:val="ListParagraph"/>
        <w:numPr>
          <w:ilvl w:val="0"/>
          <w:numId w:val="2"/>
        </w:numPr>
        <w:spacing w:before="40" w:after="40"/>
      </w:pPr>
      <w:r>
        <w:rPr>
          <w:rFonts w:ascii="Arial" w:cs="Arial" w:eastAsia="Arial" w:hAnsi="Arial"/>
          <w:sz w:val="20"/>
          <w:szCs w:val="20"/>
        </w:rPr>
        <w:t xml:space="preserve">AI-assisted agent workflows: real-time sentiment analysis, suggested responses, automated case routing</w:t>
      </w:r>
    </w:p>
    <w:p>
      <w:pPr>
        <w:pStyle w:val="ListParagraph"/>
        <w:numPr>
          <w:ilvl w:val="0"/>
          <w:numId w:val="2"/>
        </w:numPr>
        <w:spacing w:before="40" w:after="40"/>
      </w:pPr>
      <w:r>
        <w:rPr>
          <w:rFonts w:ascii="Arial" w:cs="Arial" w:eastAsia="Arial" w:hAnsi="Arial"/>
          <w:sz w:val="20"/>
          <w:szCs w:val="20"/>
        </w:rPr>
        <w:t xml:space="preserve">Screen load time: &lt;1.4 seconds P99 in production (target: &lt;2 seconds)</w:t>
      </w:r>
    </w:p>
    <w:p>
      <w:pPr>
        <w:pStyle w:val="ListParagraph"/>
        <w:numPr>
          <w:ilvl w:val="0"/>
          <w:numId w:val="2"/>
        </w:numPr>
        <w:spacing w:before="40" w:after="40"/>
      </w:pPr>
      <w:r>
        <w:rPr>
          <w:rFonts w:ascii="Arial" w:cs="Arial" w:eastAsia="Arial" w:hAnsi="Arial"/>
          <w:sz w:val="20"/>
          <w:szCs w:val="20"/>
        </w:rPr>
        <w:t xml:space="preserve">Salesforce-compatible data model; migration tooling available for existing Siebel/Salesforce data</w:t>
      </w:r>
    </w:p>
    <w:p>
      <w:pPr>
        <w:pStyle w:val="ListParagraph"/>
        <w:numPr>
          <w:ilvl w:val="0"/>
          <w:numId w:val="2"/>
        </w:numPr>
        <w:spacing w:before="40" w:after="40"/>
      </w:pPr>
      <w:r>
        <w:rPr>
          <w:rFonts w:ascii="Arial" w:cs="Arial" w:eastAsia="Arial" w:hAnsi="Arial"/>
          <w:sz w:val="20"/>
          <w:szCs w:val="20"/>
        </w:rPr>
        <w:t xml:space="preserve">Omnichannel interaction history: call center, web, app, retail POS unified in single timeline</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3.4 Order Management System (OMS)</w:t>
      </w:r>
    </w:p>
    <w:p>
      <w:pPr>
        <w:spacing w:before="60" w:after="60"/>
      </w:pPr>
      <w:r>
        <w:rPr>
          <w:rFonts w:ascii="Arial" w:cs="Arial" w:eastAsia="Arial" w:hAnsi="Arial"/>
          <w:sz w:val="20"/>
          <w:szCs w:val="20"/>
        </w:rPr>
        <w:t xml:space="preserve">TeleSphere OMS is a microservices-based orchestration engine with pre-built workflows for 45+ order types including SIM swap, plan change, number porting, enterprise provisioning, and 5G slice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NexWave Response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Architecture</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Microservices OMS; BPMN-based workflow engine (Camunda)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Automation 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94.7% no-touch order completion (AsiaNet Wireless, Q1 2025)</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SIM Swap / Plan Change</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&lt;2 hours average fulfillment (target: &lt;4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Connection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&lt;4 hours including SIM provisioning and network activation</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Enterprise Order</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Complex CPQ + contract billing orders: &lt;8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Fulfillment 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Real-time order tracker; exception-based management console</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3.5 Revenue Assurance &amp; Fraud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NexWave Response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RA Engine</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Real-time stream processing (Flink); sub-30-minute leakage detection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 Data Sources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OCS events, mediation records, billing invoices, network CDRs — all reconciled</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Fraud Detection</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Hybrid rule-based + ML model ensemble; SIM clone alert-to-block &lt;3 minutes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Fraud ML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LSTM-based anomaly detection; retrained daily; false positive rate &lt;0.5%</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SUBEX Migration</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Pre-built migration toolkit for SUBEX RAG data — RA history preserved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Regulatory Reports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Automated TRAI QoS and revenue reports; no manual intervention required</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3.6 Self-Care Portal &amp; Digital Channels</w:t>
      </w:r>
    </w:p>
    <w:p>
      <w:pPr>
        <w:pStyle w:val="ListParagraph"/>
        <w:numPr>
          <w:ilvl w:val="0"/>
          <w:numId w:val="2"/>
        </w:numPr>
        <w:spacing w:before="40" w:after="40"/>
      </w:pPr>
      <w:r>
        <w:rPr>
          <w:rFonts w:ascii="Arial" w:cs="Arial" w:eastAsia="Arial" w:hAnsi="Arial"/>
          <w:sz w:val="20"/>
          <w:szCs w:val="20"/>
        </w:rPr>
        <w:t xml:space="preserve">Responsive progressive web app (PWA) and native iOS/Android apps</w:t>
      </w:r>
    </w:p>
    <w:p>
      <w:pPr>
        <w:pStyle w:val="ListParagraph"/>
        <w:numPr>
          <w:ilvl w:val="0"/>
          <w:numId w:val="2"/>
        </w:numPr>
        <w:spacing w:before="40" w:after="40"/>
      </w:pPr>
      <w:r>
        <w:rPr>
          <w:rFonts w:ascii="Arial" w:cs="Arial" w:eastAsia="Arial" w:hAnsi="Arial"/>
          <w:sz w:val="20"/>
          <w:szCs w:val="20"/>
        </w:rPr>
        <w:t xml:space="preserve">Supported languages: English, Hindi, Marathi, Tamil, Telugu, Gujarati (6 languages at launch)</w:t>
      </w:r>
    </w:p>
    <w:p>
      <w:pPr>
        <w:pStyle w:val="ListParagraph"/>
        <w:numPr>
          <w:ilvl w:val="0"/>
          <w:numId w:val="2"/>
        </w:numPr>
        <w:spacing w:before="40" w:after="40"/>
      </w:pPr>
      <w:r>
        <w:rPr>
          <w:rFonts w:ascii="Arial" w:cs="Arial" w:eastAsia="Arial" w:hAnsi="Arial"/>
          <w:sz w:val="20"/>
          <w:szCs w:val="20"/>
        </w:rPr>
        <w:t xml:space="preserve">AI-powered NLP chatbot (TeleSphere Chat) with 97.2% intent recognition accuracy in production</w:t>
      </w:r>
    </w:p>
    <w:p>
      <w:pPr>
        <w:pStyle w:val="ListParagraph"/>
        <w:numPr>
          <w:ilvl w:val="0"/>
          <w:numId w:val="2"/>
        </w:numPr>
        <w:spacing w:before="40" w:after="40"/>
      </w:pPr>
      <w:r>
        <w:rPr>
          <w:rFonts w:ascii="Arial" w:cs="Arial" w:eastAsia="Arial" w:hAnsi="Arial"/>
          <w:sz w:val="20"/>
          <w:szCs w:val="20"/>
        </w:rPr>
        <w:t xml:space="preserve">Full transactional capability: recharge, plan change, bill pay, complaint registration, SIM swap</w:t>
      </w:r>
    </w:p>
    <w:p>
      <w:pPr>
        <w:pStyle w:val="ListParagraph"/>
        <w:numPr>
          <w:ilvl w:val="0"/>
          <w:numId w:val="2"/>
        </w:numPr>
        <w:spacing w:before="40" w:after="40"/>
      </w:pPr>
      <w:r>
        <w:rPr>
          <w:rFonts w:ascii="Arial" w:cs="Arial" w:eastAsia="Arial" w:hAnsi="Arial"/>
          <w:sz w:val="20"/>
          <w:szCs w:val="20"/>
        </w:rPr>
        <w:t xml:space="preserve">USSD self-care menu for feature phones — all core transactions supported</w:t>
      </w:r>
    </w:p>
    <w:p>
      <w:pPr>
        <w:pStyle w:val="ListParagraph"/>
        <w:numPr>
          <w:ilvl w:val="0"/>
          <w:numId w:val="2"/>
        </w:numPr>
        <w:spacing w:before="40" w:after="40"/>
      </w:pPr>
      <w:r>
        <w:rPr>
          <w:rFonts w:ascii="Arial" w:cs="Arial" w:eastAsia="Arial" w:hAnsi="Arial"/>
          <w:sz w:val="20"/>
          <w:szCs w:val="20"/>
        </w:rPr>
        <w:t xml:space="preserve">Accessibility: WCAG 2.1 AA compliant</w:t>
      </w:r>
    </w:p>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4: Technical Solution — OSS Modules</w:t>
      </w:r>
    </w:p>
    <w:p>
      <w:pPr>
        <w:pStyle w:val="Heading2"/>
        <w:spacing w:before="200" w:after="80"/>
      </w:pPr>
      <w:r>
        <w:rPr>
          <w:rFonts w:ascii="Arial" w:cs="Arial" w:eastAsia="Arial" w:hAnsi="Arial"/>
          <w:b/>
          <w:bCs/>
          <w:color w:val="1E4D2B"/>
          <w:sz w:val="24"/>
          <w:szCs w:val="24"/>
        </w:rPr>
        <w:t xml:space="preserve">4.1 Network Inventory Management</w:t>
      </w:r>
    </w:p>
    <w:p>
      <w:pPr>
        <w:spacing w:before="60" w:after="60"/>
      </w:pPr>
      <w:r>
        <w:rPr>
          <w:rFonts w:ascii="Arial" w:cs="Arial" w:eastAsia="Arial" w:hAnsi="Arial"/>
          <w:sz w:val="20"/>
          <w:szCs w:val="20"/>
        </w:rPr>
        <w:t xml:space="preserve">TeleSphere NIM provides dynamic, real-time discovery and management of physical and logical network resources across 4G, 5G-NSA, and 5G-SA network elements.</w:t>
      </w:r>
    </w:p>
    <w:p>
      <w:pPr>
        <w:pStyle w:val="ListParagraph"/>
        <w:numPr>
          <w:ilvl w:val="0"/>
          <w:numId w:val="2"/>
        </w:numPr>
        <w:spacing w:before="40" w:after="40"/>
      </w:pPr>
      <w:r>
        <w:rPr>
          <w:rFonts w:ascii="Arial" w:cs="Arial" w:eastAsia="Arial" w:hAnsi="Arial"/>
          <w:sz w:val="20"/>
          <w:szCs w:val="20"/>
        </w:rPr>
        <w:t xml:space="preserve">Vendor support: Ericsson (ECS, Radio, Core), Nokia (ADS, AirScale), Huawei (SDP, Enterprise), ZTE — all pre-built adapters included</w:t>
      </w:r>
    </w:p>
    <w:p>
      <w:pPr>
        <w:pStyle w:val="ListParagraph"/>
        <w:numPr>
          <w:ilvl w:val="0"/>
          <w:numId w:val="2"/>
        </w:numPr>
        <w:spacing w:before="40" w:after="40"/>
      </w:pPr>
      <w:r>
        <w:rPr>
          <w:rFonts w:ascii="Arial" w:cs="Arial" w:eastAsia="Arial" w:hAnsi="Arial"/>
          <w:sz w:val="20"/>
          <w:szCs w:val="20"/>
        </w:rPr>
        <w:t xml:space="preserve">Discovery protocols: SNMP, NETCONF/YANG, TR-069, SSH, REST APIs</w:t>
      </w:r>
    </w:p>
    <w:p>
      <w:pPr>
        <w:pStyle w:val="ListParagraph"/>
        <w:numPr>
          <w:ilvl w:val="0"/>
          <w:numId w:val="2"/>
        </w:numPr>
        <w:spacing w:before="40" w:after="40"/>
      </w:pPr>
      <w:r>
        <w:rPr>
          <w:rFonts w:ascii="Arial" w:cs="Arial" w:eastAsia="Arial" w:hAnsi="Arial"/>
          <w:sz w:val="20"/>
          <w:szCs w:val="20"/>
        </w:rPr>
        <w:t xml:space="preserve">Topology views: Physical, logical, and service topology layers with live status</w:t>
      </w:r>
    </w:p>
    <w:p>
      <w:pPr>
        <w:pStyle w:val="ListParagraph"/>
        <w:numPr>
          <w:ilvl w:val="0"/>
          <w:numId w:val="2"/>
        </w:numPr>
        <w:spacing w:before="40" w:after="40"/>
      </w:pPr>
      <w:r>
        <w:rPr>
          <w:rFonts w:ascii="Arial" w:cs="Arial" w:eastAsia="Arial" w:hAnsi="Arial"/>
          <w:sz w:val="20"/>
          <w:szCs w:val="20"/>
        </w:rPr>
        <w:t xml:space="preserve">Shadow inventory elimination: Automated reconciliation with active network elements; decommissions Excel-based shadow systems</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4.2 Service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NexWave Response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Provisioning Protocols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NETCONF/YANG, REST, SOAP, CLI templating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 Provisioning SLA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&lt;45 seconds P95 (target: &lt;60 seconds)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Rollback Capability</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Automated rollback on provisioning failure; &lt;30-second rollback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5G NSA/SA Provisioning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AMF, SMF, UPF network function configuration via SBI APIs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eSIM / eUICC</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RSP-compliant eSIM profile management; SGP.22 specification</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4.3 5G Slice Management</w:t>
      </w:r>
    </w:p>
    <w:p>
      <w:pPr>
        <w:spacing w:before="60" w:after="60"/>
      </w:pPr>
      <w:r>
        <w:rPr>
          <w:rFonts w:ascii="Arial" w:cs="Arial" w:eastAsia="Arial" w:hAnsi="Arial"/>
          <w:sz w:val="20"/>
          <w:szCs w:val="20"/>
        </w:rPr>
        <w:t xml:space="preserve">TeleSphere SliceOrchestrator is production-deployed for 5G SA slice management at Crescent Telecom (Saudi Arabia) since Q1 2024, making NexWave one of the very few vendors with live 5G slicing references.</w:t>
      </w:r>
    </w:p>
    <w:p>
      <w:pPr>
        <w:pStyle w:val="ListParagraph"/>
        <w:numPr>
          <w:ilvl w:val="0"/>
          <w:numId w:val="2"/>
        </w:numPr>
        <w:spacing w:before="40" w:after="40"/>
      </w:pPr>
      <w:r>
        <w:rPr>
          <w:rFonts w:ascii="Arial" w:cs="Arial" w:eastAsia="Arial" w:hAnsi="Arial"/>
          <w:sz w:val="20"/>
          <w:szCs w:val="20"/>
        </w:rPr>
        <w:t xml:space="preserve">E2E slice lifecycle: Design → Order → Instantiate → Assure → Modify → Terminate</w:t>
      </w:r>
    </w:p>
    <w:p>
      <w:pPr>
        <w:pStyle w:val="ListParagraph"/>
        <w:numPr>
          <w:ilvl w:val="0"/>
          <w:numId w:val="2"/>
        </w:numPr>
        <w:spacing w:before="40" w:after="40"/>
      </w:pPr>
      <w:r>
        <w:rPr>
          <w:rFonts w:ascii="Arial" w:cs="Arial" w:eastAsia="Arial" w:hAnsi="Arial"/>
          <w:sz w:val="20"/>
          <w:szCs w:val="20"/>
        </w:rPr>
        <w:t xml:space="preserve">GSMA NG.116 compliant; 3GPP TS 28.530 network slice management standard</w:t>
      </w:r>
    </w:p>
    <w:p>
      <w:pPr>
        <w:pStyle w:val="ListParagraph"/>
        <w:numPr>
          <w:ilvl w:val="0"/>
          <w:numId w:val="2"/>
        </w:numPr>
        <w:spacing w:before="40" w:after="40"/>
      </w:pPr>
      <w:r>
        <w:rPr>
          <w:rFonts w:ascii="Arial" w:cs="Arial" w:eastAsia="Arial" w:hAnsi="Arial"/>
          <w:sz w:val="20"/>
          <w:szCs w:val="20"/>
        </w:rPr>
        <w:t xml:space="preserve">Slice types: eMBB, URLLC, mMTC — all supported</w:t>
      </w:r>
    </w:p>
    <w:p>
      <w:pPr>
        <w:pStyle w:val="ListParagraph"/>
        <w:numPr>
          <w:ilvl w:val="0"/>
          <w:numId w:val="2"/>
        </w:numPr>
        <w:spacing w:before="40" w:after="40"/>
      </w:pPr>
      <w:r>
        <w:rPr>
          <w:rFonts w:ascii="Arial" w:cs="Arial" w:eastAsia="Arial" w:hAnsi="Arial"/>
          <w:sz w:val="20"/>
          <w:szCs w:val="20"/>
        </w:rPr>
        <w:t xml:space="preserve">Enterprise self-service: Slice ordering API exposed via TeleSphere Enterprise Portal</w:t>
      </w:r>
    </w:p>
    <w:p>
      <w:pPr>
        <w:pStyle w:val="ListParagraph"/>
        <w:numPr>
          <w:ilvl w:val="0"/>
          <w:numId w:val="2"/>
        </w:numPr>
        <w:spacing w:before="40" w:after="40"/>
      </w:pPr>
      <w:r>
        <w:rPr>
          <w:rFonts w:ascii="Arial" w:cs="Arial" w:eastAsia="Arial" w:hAnsi="Arial"/>
          <w:sz w:val="20"/>
          <w:szCs w:val="20"/>
        </w:rPr>
        <w:t xml:space="preserve">Slice assurance: Real-time KPI monitoring per slice with SLA violation alerts</w:t>
      </w:r>
    </w:p>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5: Integration &amp; API Architecture</w:t>
      </w:r>
    </w:p>
    <w:p>
      <w:pPr>
        <w:pStyle w:val="Heading2"/>
        <w:spacing w:before="200" w:after="80"/>
      </w:pPr>
      <w:r>
        <w:rPr>
          <w:rFonts w:ascii="Arial" w:cs="Arial" w:eastAsia="Arial" w:hAnsi="Arial"/>
          <w:b/>
          <w:bCs/>
          <w:color w:val="1E4D2B"/>
          <w:sz w:val="24"/>
          <w:szCs w:val="24"/>
        </w:rPr>
        <w:t xml:space="preserve">5.1 TM Forum Open API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Vendor 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TMF620 — Product Catalog Management</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Native TeleSphere Catalog API v4.0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TMF622 — Product Order Management</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TeleSphere OMS exposes TMF622 natively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TMF632 — Party Management</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CRM party model TM Forum SID-aligned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TMF637 — Product Inventory</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Real-time product inventory API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TMF641 — Service Order Management</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OSS provisioning via TMF641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TMF666 — Account Management</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Enterprise account &amp; billing APIs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TMF642 — Alarm Management</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Fault Management module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TMF724 — AI/ML Management</w:t>
            </w:r>
          </w:p>
        </w:tc>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17"/>
                <w:szCs w:val="17"/>
              </w:rPr>
              <w:t xml:space="preserve">PARTIAL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AI/ML API exposure roadmap Q3 2026</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5.2 Event Streaming &amp; Messaging</w:t>
      </w:r>
    </w:p>
    <w:p>
      <w:pPr>
        <w:pStyle w:val="ListParagraph"/>
        <w:numPr>
          <w:ilvl w:val="0"/>
          <w:numId w:val="2"/>
        </w:numPr>
        <w:spacing w:before="40" w:after="40"/>
      </w:pPr>
      <w:r>
        <w:rPr>
          <w:rFonts w:ascii="Arial" w:cs="Arial" w:eastAsia="Arial" w:hAnsi="Arial"/>
          <w:sz w:val="20"/>
          <w:szCs w:val="20"/>
        </w:rPr>
        <w:t xml:space="preserve">Apache Kafka v3.6 — central event bus; minimum 800,000 events/second (exceeds 500k requirement)</w:t>
      </w:r>
    </w:p>
    <w:p>
      <w:pPr>
        <w:pStyle w:val="ListParagraph"/>
        <w:numPr>
          <w:ilvl w:val="0"/>
          <w:numId w:val="2"/>
        </w:numPr>
        <w:spacing w:before="40" w:after="40"/>
      </w:pPr>
      <w:r>
        <w:rPr>
          <w:rFonts w:ascii="Arial" w:cs="Arial" w:eastAsia="Arial" w:hAnsi="Arial"/>
          <w:sz w:val="20"/>
          <w:szCs w:val="20"/>
        </w:rPr>
        <w:t xml:space="preserve">Event schema registry: Confluent Schema Registry for Avro schema governance</w:t>
      </w:r>
    </w:p>
    <w:p>
      <w:pPr>
        <w:pStyle w:val="ListParagraph"/>
        <w:numPr>
          <w:ilvl w:val="0"/>
          <w:numId w:val="2"/>
        </w:numPr>
        <w:spacing w:before="40" w:after="40"/>
      </w:pPr>
      <w:r>
        <w:rPr>
          <w:rFonts w:ascii="Arial" w:cs="Arial" w:eastAsia="Arial" w:hAnsi="Arial"/>
          <w:sz w:val="20"/>
          <w:szCs w:val="20"/>
        </w:rPr>
        <w:t xml:space="preserve">Pre-built Kafka connectors for all 40+ Vi integration points</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5.3 Key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Integration Target</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NexWave Approach</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NPCI / UPI Payment Gateway</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Pre-built adapter; certified for UPI 2.0, IMPS, NACH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Razorpay &amp; Paytm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 aggregator SDKs — already integrated at 3 Indian clients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GSTN / IRP e-Invoicing</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Certified IRN generation; live at BrightPath Mobile; CBIC-compliant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Ericsson BSCS / ECS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Pre-built migration toolkit; subscriber data extraction certified</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Siebel CRM v8.x</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Bidirectional sync adapter; history migration tooling included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Salesforce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 Salesforce connector with real-time event sync</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SUBEX RAG</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Data migration bridge; historical RA data preserved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Telecom Operators (CDR Exchange)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Pre-built adapters for all 11 Indian operator interconnects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TRAI Reporting</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Automated QoS and regulatory report generation; no downtime during migration</w:t>
            </w:r>
          </w:p>
        </w:tc>
      </w:tr>
    </w:tbl>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6: Cloud Infrastructure &amp; Security</w:t>
      </w:r>
    </w:p>
    <w:p>
      <w:pPr>
        <w:pStyle w:val="Heading2"/>
        <w:spacing w:before="200" w:after="80"/>
      </w:pPr>
      <w:r>
        <w:rPr>
          <w:rFonts w:ascii="Arial" w:cs="Arial" w:eastAsia="Arial" w:hAnsi="Arial"/>
          <w:b/>
          <w:bCs/>
          <w:color w:val="1E4D2B"/>
          <w:sz w:val="24"/>
          <w:szCs w:val="24"/>
        </w:rPr>
        <w:t xml:space="preserve">6.1 Cloud Infrastructure Architecture</w:t>
      </w:r>
    </w:p>
    <w:p>
      <w:pPr>
        <w:spacing w:before="60" w:after="60"/>
      </w:pPr>
      <w:r>
        <w:rPr>
          <w:rFonts w:ascii="Arial" w:cs="Arial" w:eastAsia="Arial" w:hAnsi="Arial"/>
          <w:sz w:val="20"/>
          <w:szCs w:val="20"/>
        </w:rPr>
        <w:t xml:space="preserve">NexWave proposes deployment on AWS India (Mumbai primary) + AWS India (Hyderabad DR) in an active-active configuration. AWS is MeitY-empanelled, ISO 27001 and SOC 2 Type II certified, and ensures 100% India data residency with no cross-border transfers.</w:t>
      </w:r>
    </w:p>
    <w:p>
      <w:pPr>
        <w:pStyle w:val="ListParagraph"/>
        <w:numPr>
          <w:ilvl w:val="0"/>
          <w:numId w:val="2"/>
        </w:numPr>
        <w:spacing w:before="40" w:after="40"/>
      </w:pPr>
      <w:r>
        <w:rPr>
          <w:rFonts w:ascii="Arial" w:cs="Arial" w:eastAsia="Arial" w:hAnsi="Arial"/>
          <w:sz w:val="20"/>
          <w:szCs w:val="20"/>
        </w:rPr>
        <w:t xml:space="preserve">Kubernetes (EKS): All TeleSphere services deployed as containerized microservices</w:t>
      </w:r>
    </w:p>
    <w:p>
      <w:pPr>
        <w:pStyle w:val="ListParagraph"/>
        <w:numPr>
          <w:ilvl w:val="0"/>
          <w:numId w:val="2"/>
        </w:numPr>
        <w:spacing w:before="40" w:after="40"/>
      </w:pPr>
      <w:r>
        <w:rPr>
          <w:rFonts w:ascii="Arial" w:cs="Arial" w:eastAsia="Arial" w:hAnsi="Arial"/>
          <w:sz w:val="20"/>
          <w:szCs w:val="20"/>
        </w:rPr>
        <w:t xml:space="preserve">Helm charts provided for all 32 service components — fully IaC (Terraform) managed</w:t>
      </w:r>
    </w:p>
    <w:p>
      <w:pPr>
        <w:pStyle w:val="ListParagraph"/>
        <w:numPr>
          <w:ilvl w:val="0"/>
          <w:numId w:val="2"/>
        </w:numPr>
        <w:spacing w:before="40" w:after="40"/>
      </w:pPr>
      <w:r>
        <w:rPr>
          <w:rFonts w:ascii="Arial" w:cs="Arial" w:eastAsia="Arial" w:hAnsi="Arial"/>
          <w:sz w:val="20"/>
          <w:szCs w:val="20"/>
        </w:rPr>
        <w:t xml:space="preserve">Auto-scaling: Horizontal pod autoscaler tuned for BSS traffic patterns (billing batch vs. real-time OCS peaks)</w:t>
      </w:r>
    </w:p>
    <w:p>
      <w:pPr>
        <w:pStyle w:val="ListParagraph"/>
        <w:numPr>
          <w:ilvl w:val="0"/>
          <w:numId w:val="2"/>
        </w:numPr>
        <w:spacing w:before="40" w:after="40"/>
      </w:pPr>
      <w:r>
        <w:rPr>
          <w:rFonts w:ascii="Arial" w:cs="Arial" w:eastAsia="Arial" w:hAnsi="Arial"/>
          <w:sz w:val="20"/>
          <w:szCs w:val="20"/>
        </w:rPr>
        <w:t xml:space="preserve">Active-Active multi-region: Mumbai primary + Chennai DR; automated geo-failover via Route 53 health checks</w:t>
      </w:r>
    </w:p>
    <w:p>
      <w:pPr>
        <w:pStyle w:val="ListParagraph"/>
        <w:numPr>
          <w:ilvl w:val="0"/>
          <w:numId w:val="2"/>
        </w:numPr>
        <w:spacing w:before="40" w:after="40"/>
      </w:pPr>
      <w:r>
        <w:rPr>
          <w:rFonts w:ascii="Arial" w:cs="Arial" w:eastAsia="Arial" w:hAnsi="Arial"/>
          <w:sz w:val="20"/>
          <w:szCs w:val="20"/>
        </w:rPr>
        <w:t xml:space="preserve">Data residency: All data stored in AWS ap-south-1 (Mumbai) and ap-south-2 (Hyderabad); no egress outside India</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6.2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Vendor 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AES-256 at rest; TLS 1.3 in transit</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AWS KMS + HSM (CloudHSM) for key management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MFA; SAML 2.0 / OAuth 2.0 / OIDC</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Azure AD / Okta integration; all admin portals MFA-enforced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RBAC + ABAC; PAM integration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CyberArk PAM integration; OPA for ABAC policy engine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SS7/Diameter/SIP Firewall (GSMA FS.11/19)</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Integrated signaling firewall — P1 Security certified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Immutable audit logs; 36-month retention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AWS CloudTrail + Splunk SIEM integration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DPDP Act 2023 compliance</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DPA executed; PII tokenization; consent management module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Bi-annual external pen testing</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Mandiant/KPMG engaged for pen tests; critical findings in &lt;30 days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PCI-DSS Level 1 Service Provider</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Certificate valid until Dec 2026; renewal in progress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ISO 27001 (delivery organization)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Certificate valid; last audit Feb 2025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MeitY Cloud Empanelment</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AWS India MeitY-empanelled (Empanelment ref: MeitY-CSP-AWS-2024)</w:t>
            </w:r>
          </w:p>
        </w:tc>
      </w:tr>
    </w:tbl>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7: Implementation Methodology &amp; Project Plan</w:t>
      </w:r>
    </w:p>
    <w:p>
      <w:pPr>
        <w:pStyle w:val="Heading2"/>
        <w:spacing w:before="200" w:after="80"/>
      </w:pPr>
      <w:r>
        <w:rPr>
          <w:rFonts w:ascii="Arial" w:cs="Arial" w:eastAsia="Arial" w:hAnsi="Arial"/>
          <w:b/>
          <w:bCs/>
          <w:color w:val="1E4D2B"/>
          <w:sz w:val="24"/>
          <w:szCs w:val="24"/>
        </w:rPr>
        <w:t xml:space="preserve">7.1 Methodology</w:t>
      </w:r>
    </w:p>
    <w:p>
      <w:pPr>
        <w:spacing w:before="60" w:after="60"/>
      </w:pPr>
      <w:r>
        <w:rPr>
          <w:rFonts w:ascii="Arial" w:cs="Arial" w:eastAsia="Arial" w:hAnsi="Arial"/>
          <w:sz w:val="20"/>
          <w:szCs w:val="20"/>
        </w:rPr>
        <w:t xml:space="preserve">NexWave follows the TeleSphere Delivery Framework (TDF) — a hybrid Agile/Waterfall methodology designed specifically for large-scale BSS/OSS transformations. TDF divides the programme into phase gates with fixed deliverables and acceptance criteria, while maintaining 2-week Agile sprints for software configuration, integration development, and testing cycles.</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7.2 Phase-by-Phase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75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75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Key Activities</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Phase 0</w:t>
            </w:r>
          </w:p>
        </w:tc>
        <w:tc>
          <w:tcPr>
            <w:tcW w:type="dxa" w:w="7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Jul–Aug 2026 (8 wks)</w:t>
            </w:r>
          </w:p>
        </w:tc>
        <w:tc>
          <w:tcPr>
            <w:tcW w:type="dxa" w:w="7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Kickoff, As-Is assessment, gap analysis, target architecture, cloud infra provisioning, data migration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Sep–Nov 2026 (12 wks)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platform build, TeleSphere platform installation, OCS deployment, network element integration, billing engine baseline</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Phase 2A</w:t>
            </w:r>
          </w:p>
        </w:tc>
        <w:tc>
          <w:tcPr>
            <w:tcW w:type="dxa" w:w="7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Nov 2026–Jan 2027 (10 wks)</w:t>
            </w:r>
          </w:p>
        </w:tc>
        <w:tc>
          <w:tcPr>
            <w:tcW w:type="dxa" w:w="7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CRM go-live (enterprise), OMS automation (enterprise orders), Product Catalog, 5G Slice Management — enterprise segment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Jan–Mar 2027 (10 wks)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Consumer postpaid billing migration (20M subs); 60-day parallel run; GST e-invoicing live before cutover</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Phase 3</w:t>
            </w:r>
          </w:p>
        </w:tc>
        <w:tc>
          <w:tcPr>
            <w:tcW w:type="dxa" w:w="7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Mar–Jul 2027 (16 wks)</w:t>
            </w:r>
          </w:p>
        </w:tc>
        <w:tc>
          <w:tcPr>
            <w:tcW w:type="dxa" w:w="7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Consumer prepaid OCS migration (170M subs); phased circle-by-circle rollout; minimum 60-day parallel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Jul–Oct 2027 (12 wks)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OSS full deployment, RA/FM go-live, Self-Care portal launch, AI/ML capabilities activation</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Phase 5</w:t>
            </w:r>
          </w:p>
        </w:tc>
        <w:tc>
          <w:tcPr>
            <w:tcW w:type="dxa" w:w="7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Oct–Dec 2027 (8 wks)</w:t>
            </w:r>
          </w:p>
        </w:tc>
        <w:tc>
          <w:tcPr>
            <w:tcW w:type="dxa" w:w="7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Legacy decommission, performance optimization, final acceptance, project handover to AMS team</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7.3 Critical Milestone Commitments</w:t>
      </w:r>
    </w:p>
    <w:p>
      <w:pPr>
        <w:pStyle w:val="ListParagraph"/>
        <w:numPr>
          <w:ilvl w:val="0"/>
          <w:numId w:val="2"/>
        </w:numPr>
        <w:spacing w:before="40" w:after="40"/>
      </w:pPr>
      <w:r>
        <w:rPr>
          <w:rFonts w:ascii="Arial" w:cs="Arial" w:eastAsia="Arial" w:hAnsi="Arial"/>
          <w:sz w:val="20"/>
          <w:szCs w:val="20"/>
        </w:rPr>
        <w:t xml:space="preserve">Revenue Migration Blackout Compliance: No billing changes Oct 1–10, 2026 or Dec 24, 2026–Jan 7, 2027 — built into programme schedule</w:t>
      </w:r>
    </w:p>
    <w:p>
      <w:pPr>
        <w:pStyle w:val="ListParagraph"/>
        <w:numPr>
          <w:ilvl w:val="0"/>
          <w:numId w:val="2"/>
        </w:numPr>
        <w:spacing w:before="40" w:after="40"/>
      </w:pPr>
      <w:r>
        <w:rPr>
          <w:rFonts w:ascii="Arial" w:cs="Arial" w:eastAsia="Arial" w:hAnsi="Arial"/>
          <w:sz w:val="20"/>
          <w:szCs w:val="20"/>
        </w:rPr>
        <w:t xml:space="preserve">5G Slice Readiness by January 2027: Phase 2A explicitly includes 5G SA slice management; Crescent Telecom reference available for Vi team site visit</w:t>
      </w:r>
    </w:p>
    <w:p>
      <w:pPr>
        <w:pStyle w:val="ListParagraph"/>
        <w:numPr>
          <w:ilvl w:val="0"/>
          <w:numId w:val="2"/>
        </w:numPr>
        <w:spacing w:before="40" w:after="40"/>
      </w:pPr>
      <w:r>
        <w:rPr>
          <w:rFonts w:ascii="Arial" w:cs="Arial" w:eastAsia="Arial" w:hAnsi="Arial"/>
          <w:sz w:val="20"/>
          <w:szCs w:val="20"/>
        </w:rPr>
        <w:t xml:space="preserve">GST E-Invoicing: Live in Phase 1 (November 2026) — prerequisite gating for any billing migration</w:t>
      </w:r>
    </w:p>
    <w:p>
      <w:pPr>
        <w:pStyle w:val="ListParagraph"/>
        <w:numPr>
          <w:ilvl w:val="0"/>
          <w:numId w:val="2"/>
        </w:numPr>
        <w:spacing w:before="40" w:after="40"/>
      </w:pPr>
      <w:r>
        <w:rPr>
          <w:rFonts w:ascii="Arial" w:cs="Arial" w:eastAsia="Arial" w:hAnsi="Arial"/>
          <w:sz w:val="20"/>
          <w:szCs w:val="20"/>
        </w:rPr>
        <w:t xml:space="preserve">TRAI QoS Reporting: Automated through all migration phases — no manual fallback required</w:t>
      </w:r>
    </w:p>
    <w:p>
      <w:pPr>
        <w:pStyle w:val="ListParagraph"/>
        <w:numPr>
          <w:ilvl w:val="0"/>
          <w:numId w:val="2"/>
        </w:numPr>
        <w:spacing w:before="40" w:after="40"/>
      </w:pPr>
      <w:r>
        <w:rPr>
          <w:rFonts w:ascii="Arial" w:cs="Arial" w:eastAsia="Arial" w:hAnsi="Arial"/>
          <w:sz w:val="20"/>
          <w:szCs w:val="20"/>
        </w:rPr>
        <w:t xml:space="preserve">60-Day Parallel Run: Both prepaid and postpaid phases include mandatory 60-day parallel run per RFP constraint</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7.4 Programme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Proposed Resource &amp; Key Credentials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Programme Director</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Suresh Krishnamurthy — 20 yrs BSS/OSS; led AsiaNet Wireless (120M subs) transformation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Architecture Lead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Deepa Venkataraman — TM Forum Frameworx certified; 15 yrs platform architecture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OCS Domain Lead</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Arun Pillai — 3GPP charging specialist; ex-Ericsson; designed OCS at Stellar Mobile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CRM Domain Lead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Preethi Sundaram — Salesforce + TeleSphere CRM; 12 yrs CRM transformation</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OSS Domain Lead</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Vikram Rao — Network inventory + provisioning; Nokia &amp; Huawei adapter specialist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Migration Lead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Meena Goswami — Led 6 large-scale BSS migrations; 100M+ subscriber records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Security Lead</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Karthik Iyer — CISSP, CISM; PCI-DSS QSA; led DPDP compliance at 2 operators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Delivery Manager (India)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Pooja Shah — 150-person team anchor; PRINCE2 Practitioner; based Bengaluru</w:t>
            </w:r>
          </w:p>
        </w:tc>
      </w:tr>
    </w:tbl>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8: Data Migration Strategy</w:t>
      </w:r>
    </w:p>
    <w:p>
      <w:pPr>
        <w:pStyle w:val="Heading2"/>
        <w:spacing w:before="200" w:after="80"/>
      </w:pPr>
      <w:r>
        <w:rPr>
          <w:rFonts w:ascii="Arial" w:cs="Arial" w:eastAsia="Arial" w:hAnsi="Arial"/>
          <w:b/>
          <w:bCs/>
          <w:color w:val="1E4D2B"/>
          <w:sz w:val="24"/>
          <w:szCs w:val="24"/>
        </w:rPr>
        <w:t xml:space="preserve">8.1 Migration Approach — Zero Tolerance for Revenue Leakage</w:t>
      </w:r>
    </w:p>
    <w:p>
      <w:pPr>
        <w:spacing w:before="60" w:after="60"/>
      </w:pPr>
      <w:r>
        <w:rPr>
          <w:rFonts w:ascii="Arial" w:cs="Arial" w:eastAsia="Arial" w:hAnsi="Arial"/>
          <w:sz w:val="20"/>
          <w:szCs w:val="20"/>
        </w:rPr>
        <w:t xml:space="preserve">NexWave's TeleSphere Migration Factory is a proven, tool-driven framework used in 6 major BSS transformations including the 120M-subscriber AsiaNet Wireless migration (completed Dec 2022 with zero billing disruption). Our approach: Extract → Cleanse → Transform → Load → Validate → Reconcile → Cutover.</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8.2 Subscriber Record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NexWave Approach</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Volume</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215M subscriber records from Siebel CRM + legacy billing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Extraction Tool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TeleSphere DataBridge — certified connectors for Siebel v8.x and Ericsson ECS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Cleansing</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Automated deduplication, PII validation, address normalization, MSISDN reconciliation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Transformation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SID-compliant data model mapping with 100% field-level audit trail</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Validation</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Triple-check reconciliation: source count vs. landing zone vs. target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Migration Duration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Phased: Postpaid (20M) in Phase 2B; Prepaid (170M) in Phase 3</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Rollback Plan</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Legacy systems remain live during 60-day parallel run; instant rollback capability</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8.3 CDR &amp; Historical Data</w:t>
      </w:r>
    </w:p>
    <w:p>
      <w:pPr>
        <w:pStyle w:val="ListParagraph"/>
        <w:numPr>
          <w:ilvl w:val="0"/>
          <w:numId w:val="2"/>
        </w:numPr>
        <w:spacing w:before="40" w:after="40"/>
      </w:pPr>
      <w:r>
        <w:rPr>
          <w:rFonts w:ascii="Arial" w:cs="Arial" w:eastAsia="Arial" w:hAnsi="Arial"/>
          <w:sz w:val="20"/>
          <w:szCs w:val="20"/>
        </w:rPr>
        <w:t xml:space="preserve">Minimum 24 months of CDR history migrated and queryable on new platform</w:t>
      </w:r>
    </w:p>
    <w:p>
      <w:pPr>
        <w:pStyle w:val="ListParagraph"/>
        <w:numPr>
          <w:ilvl w:val="0"/>
          <w:numId w:val="2"/>
        </w:numPr>
        <w:spacing w:before="40" w:after="40"/>
      </w:pPr>
      <w:r>
        <w:rPr>
          <w:rFonts w:ascii="Arial" w:cs="Arial" w:eastAsia="Arial" w:hAnsi="Arial"/>
          <w:sz w:val="20"/>
          <w:szCs w:val="20"/>
        </w:rPr>
        <w:t xml:space="preserve">Historical CDRs archived to AWS S3 Glacier with ILM policies aligned to TRAI retention requirements</w:t>
      </w:r>
    </w:p>
    <w:p>
      <w:pPr>
        <w:pStyle w:val="ListParagraph"/>
        <w:numPr>
          <w:ilvl w:val="0"/>
          <w:numId w:val="2"/>
        </w:numPr>
        <w:spacing w:before="40" w:after="40"/>
      </w:pPr>
      <w:r>
        <w:rPr>
          <w:rFonts w:ascii="Arial" w:cs="Arial" w:eastAsia="Arial" w:hAnsi="Arial"/>
          <w:sz w:val="20"/>
          <w:szCs w:val="20"/>
        </w:rPr>
        <w:t xml:space="preserve">CDR reconciliation: 100% count and value reconciliation against source mediation</w:t>
      </w:r>
    </w:p>
    <w:p>
      <w:pPr>
        <w:pStyle w:val="ListParagraph"/>
        <w:numPr>
          <w:ilvl w:val="0"/>
          <w:numId w:val="2"/>
        </w:numPr>
        <w:spacing w:before="40" w:after="40"/>
      </w:pPr>
      <w:r>
        <w:rPr>
          <w:rFonts w:ascii="Arial" w:cs="Arial" w:eastAsia="Arial" w:hAnsi="Arial"/>
          <w:sz w:val="20"/>
          <w:szCs w:val="20"/>
        </w:rPr>
        <w:t xml:space="preserve">No billing re-run required: All historical invoices preserved and accessible in new CRM</w:t>
      </w:r>
    </w:p>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9: Support &amp; Managed Services Model</w:t>
      </w:r>
    </w:p>
    <w:p>
      <w:pPr>
        <w:pStyle w:val="Heading2"/>
        <w:spacing w:before="200" w:after="80"/>
      </w:pPr>
      <w:r>
        <w:rPr>
          <w:rFonts w:ascii="Arial" w:cs="Arial" w:eastAsia="Arial" w:hAnsi="Arial"/>
          <w:b/>
          <w:bCs/>
          <w:color w:val="1E4D2B"/>
          <w:sz w:val="24"/>
          <w:szCs w:val="24"/>
        </w:rPr>
        <w:t xml:space="preserve">9.1 Hypercare Period</w:t>
      </w:r>
    </w:p>
    <w:p>
      <w:pPr>
        <w:spacing w:before="60" w:after="60"/>
      </w:pPr>
      <w:r>
        <w:rPr>
          <w:rFonts w:ascii="Arial" w:cs="Arial" w:eastAsia="Arial" w:hAnsi="Arial"/>
          <w:sz w:val="20"/>
          <w:szCs w:val="20"/>
        </w:rPr>
        <w:t xml:space="preserve">NexWave will deploy a dedicated 24x7 war-room team for 90 days post each phase go-live. The war-room will be staffed with domain specialists for OCS, CRM, OMS, OSS, and infrastructure, co-located at Vi's Mumbai HQ and accessible via dedicated MS Teams bridge.</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9.2 5-Year Application Managed Services (AMS)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AMS Component</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NexWave Commitment</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AMS Commencement</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From Phase 3 go-live (Consumer Prepaid — July 2027)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AMS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 monthly retainer (L2/L3 support) + T&amp;M for enhancements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Support Hours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24x7x365 for critical services (OCS, billing, fraud); business hours L2 for OMS, CRM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L2 Ticket Response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&lt;2 hours for P1/P2; &lt;8 hours for P3; &lt;24 hours for P4</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L3 Resolution SLA</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&lt;4 hours for critical incidents; &lt;2 business days for high-priority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Escalation Matrix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4-tier escalation: L1 (Vi ops) → L2 (NexWave AMS) → L3 (product engineering) → CEO bridge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Innovation Reviews</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Quarterly platform roadmap sessions; 2 enhancement releases per year included in AMS fee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AMS Price Escalation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Capped at lower of 5% per year or WPI index — as required by RFP</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9.3 SLA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Vendor 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OCS/Charging Availability: 99.999%</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Contractually committed; service credits per RFP schedule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CRM/OMS Availability: 99.99%</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Redundant active-active deployment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Self-Care Portal: 99.95%</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CloudFront CDN + multi-AZ deployment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OCS Rating Latency P99: &lt;50ms</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&lt;38ms demonstrated at 1.5M TPS (Stellar Mobile)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SIM Provisioning: &lt;60 sec P95</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&lt;45 seconds P95 in production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Bill Run: 10M accounts &lt;6 hours</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Tested at 10M in 4.2 hours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Fraud Alert-to-Block: &lt;5 minutes</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&lt;3 minutes in production at AsiaNet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Critical Incident Response: &lt;15 min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24x7 NOC with automated paging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RPO &lt;15 min; RTO &lt;1 hour</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Active-Active; tested DR failover every 6 months</w:t>
            </w:r>
          </w:p>
        </w:tc>
      </w:tr>
    </w:tbl>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10: Commercial Proposal Summary</w:t>
      </w:r>
    </w:p>
    <w:p>
      <w:pPr>
        <w:spacing w:before="60" w:after="60"/>
      </w:pPr>
      <w:r>
        <w:rPr>
          <w:rFonts w:ascii="Arial" w:cs="Arial" w:eastAsia="Arial" w:hAnsi="Arial"/>
          <w:sz w:val="20"/>
          <w:szCs w:val="20"/>
        </w:rPr>
        <w:t xml:space="preserve">The full commercial proposal is submitted as a separate password-protected PDF file (NexWave_Vi_BSS_RFP_2026_Commercial.pdf). The password has been communicated separately to it.procurement@vibusinesses.in. Below is a summary of the commercial structure.</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10.1 5-Year Total Cost of Ownership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Cost Category</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Amount (INR)</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Year 0 — Initial CapEx (Implementation)</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INR 312 Crores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 1 — OpEx (Post Go-Live Stabilization)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INR 68 Crores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Year 2 — OpEx</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INR 72 Crores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 3 — OpEx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INR 76 Crores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Year 4 — OpEx</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INR 79 Crores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 5 — OpEx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INR 83 Crores</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5-Year Total Cost of Ownership</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INR 690 Crores</w:t>
            </w:r>
          </w:p>
        </w:tc>
      </w:tr>
    </w:tbl>
    <w:p>
      <w:pPr>
        <w:spacing w:before="80" w:after="80"/>
      </w:pPr>
      <w:r>
        <w:t xml:space="preserve"/>
      </w:r>
    </w:p>
    <w:p>
      <w:pPr>
        <w:pStyle w:val="Heading2"/>
        <w:spacing w:before="200" w:after="80"/>
      </w:pPr>
      <w:r>
        <w:rPr>
          <w:rFonts w:ascii="Arial" w:cs="Arial" w:eastAsia="Arial" w:hAnsi="Arial"/>
          <w:b/>
          <w:bCs/>
          <w:color w:val="1E4D2B"/>
          <w:sz w:val="24"/>
          <w:szCs w:val="24"/>
        </w:rPr>
        <w:t xml:space="preserve">10.2 Key Commercial Terms</w:t>
      </w:r>
    </w:p>
    <w:p>
      <w:pPr>
        <w:pStyle w:val="ListParagraph"/>
        <w:numPr>
          <w:ilvl w:val="0"/>
          <w:numId w:val="2"/>
        </w:numPr>
        <w:spacing w:before="40" w:after="40"/>
      </w:pPr>
      <w:r>
        <w:rPr>
          <w:rFonts w:ascii="Arial" w:cs="Arial" w:eastAsia="Arial" w:hAnsi="Arial"/>
          <w:sz w:val="20"/>
          <w:szCs w:val="20"/>
        </w:rPr>
        <w:t xml:space="preserve">All prices in INR excluding GST. Applicable GST rates: 18% on software services; 18% on professional services</w:t>
      </w:r>
    </w:p>
    <w:p>
      <w:pPr>
        <w:pStyle w:val="ListParagraph"/>
        <w:numPr>
          <w:ilvl w:val="0"/>
          <w:numId w:val="2"/>
        </w:numPr>
        <w:spacing w:before="40" w:after="40"/>
      </w:pPr>
      <w:r>
        <w:rPr>
          <w:rFonts w:ascii="Arial" w:cs="Arial" w:eastAsia="Arial" w:hAnsi="Arial"/>
          <w:sz w:val="20"/>
          <w:szCs w:val="20"/>
        </w:rPr>
        <w:t xml:space="preserve">Prices firm for 180 days from April 10, 2026 (valid until October 7, 2026)</w:t>
      </w:r>
    </w:p>
    <w:p>
      <w:pPr>
        <w:pStyle w:val="ListParagraph"/>
        <w:numPr>
          <w:ilvl w:val="0"/>
          <w:numId w:val="2"/>
        </w:numPr>
        <w:spacing w:before="40" w:after="40"/>
      </w:pPr>
      <w:r>
        <w:rPr>
          <w:rFonts w:ascii="Arial" w:cs="Arial" w:eastAsia="Arial" w:hAnsi="Arial"/>
          <w:sz w:val="20"/>
          <w:szCs w:val="20"/>
        </w:rPr>
        <w:t xml:space="preserve">AMS annual escalation: 4% per year (below RFP maximum of 5% / WPI)</w:t>
      </w:r>
    </w:p>
    <w:p>
      <w:pPr>
        <w:pStyle w:val="ListParagraph"/>
        <w:numPr>
          <w:ilvl w:val="0"/>
          <w:numId w:val="2"/>
        </w:numPr>
        <w:spacing w:before="40" w:after="40"/>
      </w:pPr>
      <w:r>
        <w:rPr>
          <w:rFonts w:ascii="Arial" w:cs="Arial" w:eastAsia="Arial" w:hAnsi="Arial"/>
          <w:sz w:val="20"/>
          <w:szCs w:val="20"/>
        </w:rPr>
        <w:t xml:space="preserve">Volume tiers provided for 200M / 250M / 300M subscribers in commercial proposal</w:t>
      </w:r>
    </w:p>
    <w:p>
      <w:pPr>
        <w:pStyle w:val="ListParagraph"/>
        <w:numPr>
          <w:ilvl w:val="0"/>
          <w:numId w:val="2"/>
        </w:numPr>
        <w:spacing w:before="40" w:after="40"/>
      </w:pPr>
      <w:r>
        <w:rPr>
          <w:rFonts w:ascii="Arial" w:cs="Arial" w:eastAsia="Arial" w:hAnsi="Arial"/>
          <w:sz w:val="20"/>
          <w:szCs w:val="20"/>
        </w:rPr>
        <w:t xml:space="preserve">Payment: Milestone-linked schedule aligned to Phase gate sign-offs; 20% mobilization advance against bank guarantee</w:t>
      </w:r>
    </w:p>
    <w:p>
      <w:pPr>
        <w:pStyle w:val="ListParagraph"/>
        <w:numPr>
          <w:ilvl w:val="0"/>
          <w:numId w:val="2"/>
        </w:numPr>
        <w:spacing w:before="40" w:after="40"/>
      </w:pPr>
      <w:r>
        <w:rPr>
          <w:rFonts w:ascii="Arial" w:cs="Arial" w:eastAsia="Arial" w:hAnsi="Arial"/>
          <w:sz w:val="20"/>
          <w:szCs w:val="20"/>
        </w:rPr>
        <w:t xml:space="preserve">Pass-through cloud costs (AWS IaaS) separately itemized; available at cost with no margin</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10.3 Optional Pricing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Optional Item</w:t>
            </w:r>
          </w:p>
        </w:tc>
        <w:tc>
          <w:tcPr>
            <w:tcW w:type="dxa" w:w="5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Indicative Price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Extended Warranty (Year 6–7)</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INR 41 Cr / year (flat; no escalation)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Advanced AI/ML Module (Churn + Next Best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INR 18 Cr one-time; INR 4 Cr/year maintenance</w:t>
            </w:r>
          </w:p>
        </w:tc>
      </w:tr>
      <w:tr>
        <w:tc>
          <w:tcPr>
            <w:tcW w:type="dxa" w:w="3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Edge BSS for Private 5G (per enterprise site)</w:t>
            </w:r>
          </w:p>
        </w:tc>
        <w:tc>
          <w:tcPr>
            <w:tcW w:type="dxa" w:w="5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INR 45 Lakhs per site setup + INR 8 Lakhs/year AMS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Additional Language Pack (per language)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INR 80 Lakhs one-time development; 6-month delivery</w:t>
            </w:r>
          </w:p>
        </w:tc>
      </w:tr>
    </w:tbl>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11: Compliance Matrix — Mandatory Requirements</w:t>
      </w:r>
    </w:p>
    <w:p>
      <w:pPr>
        <w:spacing w:before="60" w:after="60"/>
      </w:pPr>
      <w:r>
        <w:rPr>
          <w:rFonts w:ascii="Arial" w:cs="Arial" w:eastAsia="Arial" w:hAnsi="Arial"/>
          <w:sz w:val="20"/>
          <w:szCs w:val="20"/>
        </w:rPr>
        <w:t xml:space="preserve">Full compliance matrix (point-by-point response to all mandatory and preferred requirements in Sections 4 and 5 of the RFP) is included as Appendix E of this proposal.</w:t>
      </w:r>
    </w:p>
    <w:p>
      <w:pPr>
        <w:spacing w:before="80" w:after="80"/>
      </w:pPr>
      <w:r>
        <w:t xml:space="preserve"/>
      </w:r>
    </w:p>
    <w:p>
      <w:pPr>
        <w:pStyle w:val="Heading2"/>
        <w:spacing w:before="200" w:after="80"/>
      </w:pPr>
      <w:r>
        <w:rPr>
          <w:rFonts w:ascii="Arial" w:cs="Arial" w:eastAsia="Arial" w:hAnsi="Arial"/>
          <w:b/>
          <w:bCs/>
          <w:color w:val="1E4D2B"/>
          <w:sz w:val="24"/>
          <w:szCs w:val="24"/>
        </w:rPr>
        <w:t xml:space="preserve">11.1 Vendor Qualification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Vendor 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Min. 10 years in BSS/OSS domain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NexWave founded 2009; 15 years in telecom BSS/OSS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INR 500 Cr telecom revenue (last 3 FY)</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INR 1,480 Cr / 1,690 Cr / 1,920 Cr (FY23/24/25)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India presence: min. 500 FTE</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1,200+ BSS/OSS FTE in India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 live BSS/OSS implementations: 50M+ subs</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Stellar Mobile (280M), AsiaNet (120M), Crescent (55M)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 reference: 100M+ subscribers migrated</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AsiaNet Wireless (120M) — live Dec 2022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OCS: 1M+ TPS demonstrated in production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2M TPS tested; 1.5M TPS at Stellar Mobile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50M+ subscriber migration without billing disruption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120M subs at AsiaNet — zero billing disruption certified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At least 1 live 5G slicing / SA core integration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Crescent Telecom 5G SA slicing live Q1 2024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India regulatory: TRAI, DOT, GST, DPDP Act</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GSTN IRP live at BrightPath; DPDP DPA template ready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TM Forum Frameworx Level 3+ certification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Level 4 — certificates in Appendix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GSMA FS.11, FS.19, FS.23 certification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Valid certificates in Appendix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PCI-DSS Level 1 Service Provider</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Certificate valid until Dec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ISO 27001 (delivery organization)</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Last audited Feb 2025; certificate in Appendix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MeitY-empanelled cloud</w:t>
            </w:r>
          </w:p>
        </w:tc>
        <w:tc>
          <w:tcPr>
            <w:tcW w:type="dxa" w:w="1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7"/>
                <w:szCs w:val="17"/>
              </w:rPr>
              <w:t xml:space="preserve">COMPLIANT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AWS India (ap-south-1) MeitY-empanelled</w:t>
            </w:r>
          </w:p>
        </w:tc>
      </w:tr>
    </w:tbl>
    <w:p>
      <w:pPr>
        <w:spacing w:before="80" w:after="80"/>
      </w:pPr>
      <w:r>
        <w:t xml:space="preserve"/>
      </w:r>
    </w:p>
    <w:p>
      <w:r>
        <w:br w:type="page"/>
      </w:r>
    </w:p>
    <w:p>
      <w:pPr>
        <w:pStyle w:val="Heading1"/>
        <w:spacing w:before="300" w:after="120"/>
      </w:pPr>
      <w:r>
        <w:rPr>
          <w:rFonts w:ascii="Arial" w:cs="Arial" w:eastAsia="Arial" w:hAnsi="Arial"/>
          <w:b/>
          <w:bCs/>
          <w:color w:val="1E4D2B"/>
          <w:sz w:val="30"/>
          <w:szCs w:val="30"/>
        </w:rPr>
        <w:t xml:space="preserve">Section 12: Client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Operator</w:t>
            </w:r>
          </w:p>
        </w:tc>
        <w:tc>
          <w:tcPr>
            <w:tcW w:type="dxa" w:w="71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Contact</w:t>
            </w:r>
          </w:p>
        </w:tc>
        <w:tc>
          <w:tcPr>
            <w:tcW w:type="dxa" w:w="71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tcPr>
          <w:p>
            <w:r>
              <w:rPr>
                <w:rFonts w:ascii="Arial" w:cs="Arial" w:eastAsia="Arial" w:hAnsi="Arial"/>
                <w:b/>
                <w:bCs/>
                <w:color w:val="FFFFFF"/>
                <w:sz w:val="18"/>
                <w:szCs w:val="18"/>
              </w:rPr>
              <w:t xml:space="preserve">Scope &amp; Status</w:t>
            </w:r>
          </w:p>
        </w:tc>
      </w:tr>
      <w:tr>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Stellar Mobile Indonesia</w:t>
            </w:r>
          </w:p>
        </w:tc>
        <w:tc>
          <w:tcPr>
            <w:tcW w:type="dxa" w:w="7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Ari Wibowo, CTO
ari.wibowo@stellarmobile.co.id
+62-21-5678-9012</w:t>
            </w:r>
          </w:p>
        </w:tc>
        <w:tc>
          <w:tcPr>
            <w:tcW w:type="dxa" w:w="7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280M subs; Full BSS transformation; TeleSphere OCS, Billing, CRM, OMS; live Oct 2023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Crescent Telecom Saudi Arabia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Mohammed Al-Rashidi, VP IT
mrashidi@crescenttel.sa
+966-11-234-5678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55M subs; Convergent billing, CRM, 5G SA slicing; live Q1 2024</w:t>
            </w:r>
          </w:p>
        </w:tc>
      </w:tr>
      <w:tr>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AsiaNet Wireless Philippines</w:t>
            </w:r>
          </w:p>
        </w:tc>
        <w:tc>
          <w:tcPr>
            <w:tcW w:type="dxa" w:w="7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Maria Santos, Head of IT
msantos@asianet.com.ph
+63-2-8765-4321</w:t>
            </w:r>
          </w:p>
        </w:tc>
        <w:tc>
          <w:tcPr>
            <w:tcW w:type="dxa" w:w="7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120M subs; Greenfield BSS/OSS; Ericsson BSCS migration; live Dec 2022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BrightPath Mobile Sri Lanka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Pradeep Fernando, CIO
pfernando@brightpath.lk
+94-11-234-5678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28M subs; OCS, OMS, Self-Care, GST e-invoice; live Jun 2024</w:t>
            </w:r>
          </w:p>
        </w:tc>
      </w:tr>
      <w:tr>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ConnectFirst Bangladesh</w:t>
            </w:r>
          </w:p>
        </w:tc>
        <w:tc>
          <w:tcPr>
            <w:tcW w:type="dxa" w:w="7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Tanvir Ahmed, IT Director
tanvir@connectfirst.com.bd
+880-2-9876-5432</w:t>
            </w:r>
          </w:p>
        </w:tc>
        <w:tc>
          <w:tcPr>
            <w:tcW w:type="dxa" w:w="7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8"/>
                <w:szCs w:val="18"/>
              </w:rPr>
              <w:t xml:space="preserve">38M subs; Billing, CRM, RA/FM; live Mar 2023</w:t>
            </w:r>
          </w:p>
        </w:tc>
      </w:tr>
    </w:tbl>
    <w:p>
      <w:pPr>
        <w:spacing w:before="80" w:after="80"/>
      </w:pPr>
      <w:r>
        <w:t xml:space="preserve"/>
      </w:r>
    </w:p>
    <w:p>
      <w:pPr>
        <w:spacing w:before="80" w:after="80"/>
      </w:pPr>
      <w:r>
        <w:t xml:space="preserve"/>
      </w:r>
    </w:p>
    <w:p>
      <w:pPr>
        <w:pBdr>
          <w:top w:val="single" w:color="2E7D32" w:sz="4" w:space="1"/>
        </w:pBdr>
        <w:spacing w:before="200" w:after="80"/>
        <w:jc w:val="center"/>
      </w:pPr>
      <w:r>
        <w:rPr>
          <w:rFonts w:ascii="Arial" w:cs="Arial" w:eastAsia="Arial" w:hAnsi="Arial"/>
          <w:b/>
          <w:bCs/>
          <w:color w:val="1E4D2B"/>
          <w:sz w:val="22"/>
          <w:szCs w:val="22"/>
        </w:rPr>
        <w:t xml:space="preserve">NexWave Technologies is ready to power Vi's FutureReady transformation.</w:t>
      </w:r>
    </w:p>
    <w:p>
      <w:pPr>
        <w:spacing w:before="60"/>
        <w:jc w:val="center"/>
      </w:pPr>
      <w:r>
        <w:rPr>
          <w:rFonts w:ascii="Arial" w:cs="Arial" w:eastAsia="Arial" w:hAnsi="Arial"/>
          <w:color w:val="444444"/>
          <w:sz w:val="20"/>
          <w:szCs w:val="20"/>
        </w:rPr>
        <w:t xml:space="preserve">We look forward to the opportunity to demonstrate TeleSphere at the vendor evaluation phase.</w:t>
      </w:r>
    </w:p>
    <w:p>
      <w:pPr>
        <w:spacing w:before="80" w:after="80"/>
      </w:pPr>
      <w:r>
        <w:t xml:space="preserve"/>
      </w:r>
    </w:p>
    <w:p>
      <w:pPr>
        <w:jc w:val="center"/>
      </w:pPr>
      <w:r>
        <w:rPr>
          <w:rFonts w:ascii="Arial" w:cs="Arial" w:eastAsia="Arial" w:hAnsi="Arial"/>
          <w:color w:val="555555"/>
          <w:sz w:val="18"/>
          <w:szCs w:val="18"/>
        </w:rPr>
        <w:t xml:space="preserve">Authorized Signatory: Rajesh Menon, CEO  |  NexWave Technologies Pvt. Ltd.  |  Date: April 10, 2026</w:t>
      </w:r>
    </w:p>
    <w:p>
      <w:pPr>
        <w:spacing w:before="80" w:after="80"/>
      </w:pPr>
      <w:r>
        <w:t xml:space="preserve"/>
      </w:r>
    </w:p>
    <w:p>
      <w:pPr>
        <w:spacing w:before="60" w:after="60"/>
      </w:pPr>
      <w:r>
        <w:rPr>
          <w:rFonts w:ascii="Arial" w:cs="Arial" w:eastAsia="Arial" w:hAnsi="Arial"/>
          <w:sz w:val="20"/>
          <w:szCs w:val="20"/>
        </w:rPr>
        <w:t xml:space="preserve">Appendices included:</w:t>
      </w:r>
    </w:p>
    <w:p>
      <w:pPr>
        <w:pStyle w:val="ListParagraph"/>
        <w:numPr>
          <w:ilvl w:val="0"/>
          <w:numId w:val="2"/>
        </w:numPr>
        <w:spacing w:before="40" w:after="40"/>
      </w:pPr>
      <w:r>
        <w:rPr>
          <w:rFonts w:ascii="Arial" w:cs="Arial" w:eastAsia="Arial" w:hAnsi="Arial"/>
          <w:sz w:val="20"/>
          <w:szCs w:val="20"/>
        </w:rPr>
        <w:t xml:space="preserve">Appendix A — Signed Proposal Submission Cover Letter</w:t>
      </w:r>
    </w:p>
    <w:p>
      <w:pPr>
        <w:pStyle w:val="ListParagraph"/>
        <w:numPr>
          <w:ilvl w:val="0"/>
          <w:numId w:val="2"/>
        </w:numPr>
        <w:spacing w:before="40" w:after="40"/>
      </w:pPr>
      <w:r>
        <w:rPr>
          <w:rFonts w:ascii="Arial" w:cs="Arial" w:eastAsia="Arial" w:hAnsi="Arial"/>
          <w:sz w:val="20"/>
          <w:szCs w:val="20"/>
        </w:rPr>
        <w:t xml:space="preserve">Appendix B — Certifications (TM Forum Frameworx, GSMA, PCI-DSS, ISO 27001)</w:t>
      </w:r>
    </w:p>
    <w:p>
      <w:pPr>
        <w:pStyle w:val="ListParagraph"/>
        <w:numPr>
          <w:ilvl w:val="0"/>
          <w:numId w:val="2"/>
        </w:numPr>
        <w:spacing w:before="40" w:after="40"/>
      </w:pPr>
      <w:r>
        <w:rPr>
          <w:rFonts w:ascii="Arial" w:cs="Arial" w:eastAsia="Arial" w:hAnsi="Arial"/>
          <w:sz w:val="20"/>
          <w:szCs w:val="20"/>
        </w:rPr>
        <w:t xml:space="preserve">Appendix C — Case Studies: AsiaNet Wireless, Stellar Mobile, Crescent Telecom</w:t>
      </w:r>
    </w:p>
    <w:p>
      <w:pPr>
        <w:pStyle w:val="ListParagraph"/>
        <w:numPr>
          <w:ilvl w:val="0"/>
          <w:numId w:val="2"/>
        </w:numPr>
        <w:spacing w:before="40" w:after="40"/>
      </w:pPr>
      <w:r>
        <w:rPr>
          <w:rFonts w:ascii="Arial" w:cs="Arial" w:eastAsia="Arial" w:hAnsi="Arial"/>
          <w:sz w:val="20"/>
          <w:szCs w:val="20"/>
        </w:rPr>
        <w:t xml:space="preserve">Appendix D — Team CVs (Programme Director, Architecture Lead, Domain Leads)</w:t>
      </w:r>
    </w:p>
    <w:p>
      <w:pPr>
        <w:pStyle w:val="ListParagraph"/>
        <w:numPr>
          <w:ilvl w:val="0"/>
          <w:numId w:val="2"/>
        </w:numPr>
        <w:spacing w:before="40" w:after="40"/>
      </w:pPr>
      <w:r>
        <w:rPr>
          <w:rFonts w:ascii="Arial" w:cs="Arial" w:eastAsia="Arial" w:hAnsi="Arial"/>
          <w:sz w:val="20"/>
          <w:szCs w:val="20"/>
        </w:rPr>
        <w:t xml:space="preserve">Appendix E — Full Compliance Matrix (point-by-point, all RFP sections)</w:t>
      </w:r>
    </w:p>
    <w:p>
      <w:pPr>
        <w:pStyle w:val="ListParagraph"/>
        <w:numPr>
          <w:ilvl w:val="0"/>
          <w:numId w:val="2"/>
        </w:numPr>
        <w:spacing w:before="40" w:after="40"/>
      </w:pPr>
      <w:r>
        <w:rPr>
          <w:rFonts w:ascii="Arial" w:cs="Arial" w:eastAsia="Arial" w:hAnsi="Arial"/>
          <w:sz w:val="20"/>
          <w:szCs w:val="20"/>
        </w:rPr>
        <w:t xml:space="preserve">Appendix F — Audited Financials FY2023, FY2024, FY2025</w:t>
      </w:r>
    </w:p>
    <w:p>
      <w:pPr>
        <w:pStyle w:val="ListParagraph"/>
        <w:numPr>
          <w:ilvl w:val="0"/>
          <w:numId w:val="2"/>
        </w:numPr>
        <w:spacing w:before="40" w:after="40"/>
      </w:pPr>
      <w:r>
        <w:rPr>
          <w:rFonts w:ascii="Arial" w:cs="Arial" w:eastAsia="Arial" w:hAnsi="Arial"/>
          <w:sz w:val="20"/>
          <w:szCs w:val="20"/>
        </w:rPr>
        <w:t xml:space="preserve">Appendix G — Legal Declarations (GST certificate, PAN, NDA, Non-Collusion, CoI Disclosure)</w:t>
      </w:r>
    </w:p>
    <w:p>
      <w:pPr>
        <w:pStyle w:val="ListParagraph"/>
        <w:numPr>
          <w:ilvl w:val="0"/>
          <w:numId w:val="2"/>
        </w:numPr>
        <w:spacing w:before="40" w:after="40"/>
      </w:pPr>
      <w:r>
        <w:rPr>
          <w:rFonts w:ascii="Arial" w:cs="Arial" w:eastAsia="Arial" w:hAnsi="Arial"/>
          <w:sz w:val="20"/>
          <w:szCs w:val="20"/>
        </w:rPr>
        <w:t xml:space="preserve">Appendix H — Professional Indemnity and Cyber Liability Insurance Certificates</w:t>
      </w:r>
    </w:p>
    <w:p>
      <w:pPr>
        <w:pStyle w:val="ListParagraph"/>
        <w:numPr>
          <w:ilvl w:val="0"/>
          <w:numId w:val="2"/>
        </w:numPr>
        <w:spacing w:before="40" w:after="40"/>
      </w:pPr>
      <w:r>
        <w:rPr>
          <w:rFonts w:ascii="Arial" w:cs="Arial" w:eastAsia="Arial" w:hAnsi="Arial"/>
          <w:sz w:val="20"/>
          <w:szCs w:val="20"/>
        </w:rPr>
        <w:t xml:space="preserve">Appendix I — Sample SLA &amp; Escalation Matrix</w:t>
      </w:r>
    </w:p>
    <w:p>
      <w:pPr>
        <w:pStyle w:val="ListParagraph"/>
        <w:numPr>
          <w:ilvl w:val="0"/>
          <w:numId w:val="2"/>
        </w:numPr>
        <w:spacing w:before="40" w:after="40"/>
      </w:pPr>
      <w:r>
        <w:rPr>
          <w:rFonts w:ascii="Arial" w:cs="Arial" w:eastAsia="Arial" w:hAnsi="Arial"/>
          <w:sz w:val="20"/>
          <w:szCs w:val="20"/>
        </w:rPr>
        <w:t xml:space="preserve">Appendix J — Commercial Proposal (separate password-protected PDF)</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spacing w:before="120"/>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120"/>
    </w:pPr>
    <w:r>
      <w:rPr>
        <w:rFonts w:ascii="Arial" w:cs="Arial" w:eastAsia="Arial" w:hAnsi="Arial"/>
        <w:color w:val="444444"/>
        <w:sz w:val="16"/>
        <w:szCs w:val="16"/>
      </w:rPr>
      <w:t xml:space="preserve">NEXWAVE TECHNOLOGIES PVT. LTD.  |  RFP RESPONSE: RFP-2026-VI-BSS-NXT-002</w:t>
    </w:r>
    <w:r>
      <w:rPr>
        <w:rFonts w:ascii="Arial" w:cs="Arial" w:eastAsia="Arial" w:hAnsi="Arial"/>
        <w:b/>
        <w:bCs/>
        <w:color w:val="CC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E4D2B"/>
      <w:sz w:val="30"/>
      <w:szCs w:val="30"/>
    </w:rPr>
  </w:style>
  <w:style w:type="paragraph" w:styleId="Heading2">
    <w:name w:val="Heading 2"/>
    <w:basedOn w:val="Normal"/>
    <w:next w:val="Normal"/>
    <w:qFormat/>
    <w:pPr>
      <w:spacing w:before="200" w:after="80"/>
      <w:outlineLvl w:val="1"/>
    </w:pPr>
    <w:rPr>
      <w:rFonts w:ascii="Arial" w:cs="Arial" w:eastAsia="Arial" w:hAnsi="Arial"/>
      <w:b/>
      <w:bCs/>
      <w:color w:val="1E4D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2026-03-06T17:10:05.989Z</dcterms:created>
  <dcterms:modified xsi:type="dcterms:W3CDTF">2026-03-06T17:10:05.990Z</dcterms:modified>
</cp:coreProperties>
</file>

<file path=docProps/custom.xml><?xml version="1.0" encoding="utf-8"?>
<Properties xmlns="http://schemas.openxmlformats.org/officeDocument/2006/custom-properties" xmlns:vt="http://schemas.openxmlformats.org/officeDocument/2006/docPropsVTypes"/>
</file>