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5A7E33" w14:textId="77777777" w:rsidR="00833679" w:rsidRPr="00F228B5" w:rsidRDefault="008D7F32" w:rsidP="00D6565C">
      <w:pPr>
        <w:widowControl w:val="0"/>
        <w:autoSpaceDE w:val="0"/>
        <w:autoSpaceDN w:val="0"/>
        <w:adjustRightInd w:val="0"/>
        <w:rPr>
          <w:rFonts w:ascii="AvenirNext LT Pro Thin" w:hAnsi="AvenirNext LT Pro Thin"/>
          <w:color w:val="202A40"/>
          <w:sz w:val="48"/>
          <w:szCs w:val="48"/>
        </w:rPr>
      </w:pPr>
      <w:r w:rsidRPr="00F228B5">
        <w:rPr>
          <w:rFonts w:ascii="AvenirNext LT Pro Thin" w:hAnsi="AvenirNext LT Pro Thin"/>
          <w:color w:val="202A40"/>
          <w:sz w:val="48"/>
          <w:szCs w:val="48"/>
        </w:rPr>
        <w:t>Studio Designer</w:t>
      </w:r>
    </w:p>
    <w:p w14:paraId="3E256020" w14:textId="77777777" w:rsidR="003769E6" w:rsidRPr="002D680F" w:rsidRDefault="003769E6" w:rsidP="003769E6">
      <w:pPr>
        <w:widowControl w:val="0"/>
        <w:shd w:val="clear" w:color="auto" w:fill="FFFFFF"/>
        <w:tabs>
          <w:tab w:val="left" w:pos="1530"/>
        </w:tabs>
        <w:autoSpaceDE w:val="0"/>
        <w:autoSpaceDN w:val="0"/>
        <w:adjustRightInd w:val="0"/>
        <w:jc w:val="right"/>
        <w:textAlignment w:val="baseline"/>
        <w:outlineLvl w:val="3"/>
        <w:rPr>
          <w:rFonts w:ascii="Avenir Next LT Pro" w:eastAsia="Times New Roman" w:hAnsi="Avenir Next LT Pro" w:cs="Arial"/>
          <w:b/>
          <w:bCs/>
          <w:color w:val="000000"/>
          <w:bdr w:val="none" w:sz="0" w:space="0" w:color="auto" w:frame="1"/>
        </w:rPr>
      </w:pPr>
      <w:r w:rsidRPr="002D680F">
        <w:rPr>
          <w:rFonts w:ascii="Avenir Next LT Pro" w:eastAsia="Times New Roman" w:hAnsi="Avenir Next LT Pro" w:cs="Arial"/>
          <w:b/>
          <w:bCs/>
          <w:color w:val="000000"/>
          <w:bdr w:val="none" w:sz="0" w:space="0" w:color="auto" w:frame="1"/>
        </w:rPr>
        <w:t>Vendor Risk Management Policy</w:t>
      </w:r>
    </w:p>
    <w:p w14:paraId="3AE58C9F" w14:textId="77777777" w:rsidR="003769E6" w:rsidRPr="002D680F" w:rsidRDefault="003769E6" w:rsidP="003769E6">
      <w:pPr>
        <w:widowControl w:val="0"/>
        <w:shd w:val="clear" w:color="auto" w:fill="FFFFFF"/>
        <w:tabs>
          <w:tab w:val="left" w:pos="1530"/>
        </w:tabs>
        <w:autoSpaceDE w:val="0"/>
        <w:autoSpaceDN w:val="0"/>
        <w:adjustRightInd w:val="0"/>
        <w:textAlignment w:val="baseline"/>
        <w:outlineLvl w:val="3"/>
        <w:rPr>
          <w:rFonts w:ascii="Avenir Next LT Pro" w:eastAsia="Times New Roman" w:hAnsi="Avenir Next LT Pro" w:cs="Arial"/>
          <w:b/>
          <w:bCs/>
          <w:color w:val="000000"/>
          <w:sz w:val="20"/>
          <w:szCs w:val="20"/>
          <w:bdr w:val="none" w:sz="0" w:space="0" w:color="auto" w:frame="1"/>
        </w:rPr>
      </w:pPr>
    </w:p>
    <w:p w14:paraId="13507B98" w14:textId="77777777" w:rsidR="003769E6" w:rsidRPr="002D680F" w:rsidRDefault="003769E6" w:rsidP="003769E6">
      <w:pPr>
        <w:widowControl w:val="0"/>
        <w:shd w:val="clear" w:color="auto" w:fill="FFFFFF"/>
        <w:tabs>
          <w:tab w:val="left" w:pos="1530"/>
        </w:tabs>
        <w:autoSpaceDE w:val="0"/>
        <w:autoSpaceDN w:val="0"/>
        <w:adjustRightInd w:val="0"/>
        <w:textAlignment w:val="baseline"/>
        <w:outlineLvl w:val="3"/>
        <w:rPr>
          <w:rFonts w:ascii="Avenir Next LT Pro" w:eastAsia="Times New Roman" w:hAnsi="Avenir Next LT Pro" w:cs="Arial"/>
          <w:b/>
          <w:color w:val="000000"/>
          <w:bdr w:val="none" w:sz="0" w:space="0" w:color="auto" w:frame="1"/>
        </w:rPr>
      </w:pPr>
      <w:r w:rsidRPr="002D680F">
        <w:rPr>
          <w:rFonts w:ascii="Avenir Next LT Pro" w:eastAsia="Times New Roman" w:hAnsi="Avenir Next LT Pro" w:cs="Arial"/>
          <w:b/>
          <w:bCs/>
          <w:color w:val="000000"/>
          <w:bdr w:val="none" w:sz="0" w:space="0" w:color="auto" w:frame="1"/>
        </w:rPr>
        <w:t>Version Control</w:t>
      </w:r>
    </w:p>
    <w:tbl>
      <w:tblPr>
        <w:tblStyle w:val="ListTable3-Accent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0"/>
        <w:gridCol w:w="1495"/>
        <w:gridCol w:w="2086"/>
        <w:gridCol w:w="4109"/>
      </w:tblGrid>
      <w:tr w:rsidR="003769E6" w:rsidRPr="002D680F" w14:paraId="21F19113" w14:textId="77777777" w:rsidTr="002D680F">
        <w:trPr>
          <w:cnfStyle w:val="100000000000" w:firstRow="1" w:lastRow="0" w:firstColumn="0" w:lastColumn="0" w:oddVBand="0" w:evenVBand="0" w:oddHBand="0" w:evenHBand="0" w:firstRowFirstColumn="0" w:firstRowLastColumn="0" w:lastRowFirstColumn="0" w:lastRowLastColumn="0"/>
          <w:trHeight w:val="170"/>
        </w:trPr>
        <w:tc>
          <w:tcPr>
            <w:cnfStyle w:val="001000000100" w:firstRow="0" w:lastRow="0" w:firstColumn="1" w:lastColumn="0" w:oddVBand="0" w:evenVBand="0" w:oddHBand="0" w:evenHBand="0" w:firstRowFirstColumn="1" w:firstRowLastColumn="0" w:lastRowFirstColumn="0" w:lastRowLastColumn="0"/>
            <w:tcW w:w="940" w:type="dxa"/>
            <w:shd w:val="clear" w:color="auto" w:fill="F04C23"/>
          </w:tcPr>
          <w:p w14:paraId="11A222CE" w14:textId="77777777" w:rsidR="003769E6" w:rsidRPr="002D680F" w:rsidRDefault="003769E6" w:rsidP="002D680F">
            <w:pPr>
              <w:tabs>
                <w:tab w:val="left" w:pos="1530"/>
              </w:tabs>
              <w:jc w:val="center"/>
              <w:rPr>
                <w:rFonts w:ascii="Avenir Next LT Pro" w:hAnsi="Avenir Next LT Pro" w:cs="Arial"/>
                <w:sz w:val="20"/>
                <w:szCs w:val="20"/>
              </w:rPr>
            </w:pPr>
            <w:r w:rsidRPr="002D680F">
              <w:rPr>
                <w:rFonts w:ascii="Avenir Next LT Pro" w:hAnsi="Avenir Next LT Pro" w:cs="Arial"/>
                <w:sz w:val="20"/>
                <w:szCs w:val="20"/>
              </w:rPr>
              <w:t>Version</w:t>
            </w:r>
          </w:p>
        </w:tc>
        <w:tc>
          <w:tcPr>
            <w:cnfStyle w:val="000010000000" w:firstRow="0" w:lastRow="0" w:firstColumn="0" w:lastColumn="0" w:oddVBand="1" w:evenVBand="0" w:oddHBand="0" w:evenHBand="0" w:firstRowFirstColumn="0" w:firstRowLastColumn="0" w:lastRowFirstColumn="0" w:lastRowLastColumn="0"/>
            <w:tcW w:w="1495" w:type="dxa"/>
            <w:shd w:val="clear" w:color="auto" w:fill="F04C23"/>
          </w:tcPr>
          <w:p w14:paraId="141DEF3D" w14:textId="77777777" w:rsidR="003769E6" w:rsidRPr="002D680F" w:rsidRDefault="003769E6" w:rsidP="002D680F">
            <w:pPr>
              <w:tabs>
                <w:tab w:val="left" w:pos="1530"/>
              </w:tabs>
              <w:jc w:val="center"/>
              <w:rPr>
                <w:rFonts w:ascii="Avenir Next LT Pro" w:hAnsi="Avenir Next LT Pro" w:cs="Arial"/>
                <w:sz w:val="20"/>
                <w:szCs w:val="20"/>
              </w:rPr>
            </w:pPr>
            <w:r w:rsidRPr="002D680F">
              <w:rPr>
                <w:rFonts w:ascii="Avenir Next LT Pro" w:hAnsi="Avenir Next LT Pro" w:cs="Arial"/>
                <w:sz w:val="20"/>
                <w:szCs w:val="20"/>
              </w:rPr>
              <w:t>Date</w:t>
            </w:r>
          </w:p>
        </w:tc>
        <w:tc>
          <w:tcPr>
            <w:tcW w:w="2086" w:type="dxa"/>
            <w:shd w:val="clear" w:color="auto" w:fill="F04C23"/>
          </w:tcPr>
          <w:p w14:paraId="5B6FA5B0" w14:textId="77777777" w:rsidR="003769E6" w:rsidRPr="002D680F" w:rsidRDefault="003769E6" w:rsidP="002D680F">
            <w:pPr>
              <w:tabs>
                <w:tab w:val="left" w:pos="1530"/>
              </w:tabs>
              <w:jc w:val="center"/>
              <w:cnfStyle w:val="100000000000" w:firstRow="1" w:lastRow="0" w:firstColumn="0" w:lastColumn="0" w:oddVBand="0" w:evenVBand="0" w:oddHBand="0" w:evenHBand="0" w:firstRowFirstColumn="0" w:firstRowLastColumn="0" w:lastRowFirstColumn="0" w:lastRowLastColumn="0"/>
              <w:rPr>
                <w:rFonts w:ascii="Avenir Next LT Pro" w:hAnsi="Avenir Next LT Pro" w:cs="Arial"/>
                <w:sz w:val="20"/>
                <w:szCs w:val="20"/>
              </w:rPr>
            </w:pPr>
            <w:r w:rsidRPr="002D680F">
              <w:rPr>
                <w:rFonts w:ascii="Avenir Next LT Pro" w:hAnsi="Avenir Next LT Pro" w:cs="Arial"/>
                <w:sz w:val="20"/>
                <w:szCs w:val="20"/>
              </w:rPr>
              <w:t>Author</w:t>
            </w:r>
          </w:p>
        </w:tc>
        <w:tc>
          <w:tcPr>
            <w:cnfStyle w:val="000010000000" w:firstRow="0" w:lastRow="0" w:firstColumn="0" w:lastColumn="0" w:oddVBand="1" w:evenVBand="0" w:oddHBand="0" w:evenHBand="0" w:firstRowFirstColumn="0" w:firstRowLastColumn="0" w:lastRowFirstColumn="0" w:lastRowLastColumn="0"/>
            <w:tcW w:w="4109" w:type="dxa"/>
            <w:shd w:val="clear" w:color="auto" w:fill="F04C23"/>
          </w:tcPr>
          <w:p w14:paraId="6534496C" w14:textId="77777777" w:rsidR="003769E6" w:rsidRPr="002D680F" w:rsidRDefault="003769E6" w:rsidP="002D680F">
            <w:pPr>
              <w:tabs>
                <w:tab w:val="left" w:pos="1530"/>
              </w:tabs>
              <w:jc w:val="center"/>
              <w:rPr>
                <w:rFonts w:ascii="Avenir Next LT Pro" w:hAnsi="Avenir Next LT Pro" w:cs="Arial"/>
                <w:sz w:val="20"/>
                <w:szCs w:val="20"/>
              </w:rPr>
            </w:pPr>
            <w:r w:rsidRPr="002D680F">
              <w:rPr>
                <w:rFonts w:ascii="Avenir Next LT Pro" w:hAnsi="Avenir Next LT Pro" w:cs="Arial"/>
                <w:sz w:val="20"/>
                <w:szCs w:val="20"/>
              </w:rPr>
              <w:t>Change Description</w:t>
            </w:r>
          </w:p>
        </w:tc>
      </w:tr>
      <w:tr w:rsidR="003769E6" w:rsidRPr="002D680F" w14:paraId="6236E4DA" w14:textId="77777777" w:rsidTr="002D680F">
        <w:trPr>
          <w:cnfStyle w:val="000000100000" w:firstRow="0" w:lastRow="0" w:firstColumn="0" w:lastColumn="0" w:oddVBand="0" w:evenVBand="0" w:oddHBand="1" w:evenHBand="0" w:firstRowFirstColumn="0" w:firstRowLastColumn="0" w:lastRowFirstColumn="0" w:lastRowLastColumn="0"/>
          <w:trHeight w:val="50"/>
        </w:trPr>
        <w:tc>
          <w:tcPr>
            <w:cnfStyle w:val="001000000000" w:firstRow="0" w:lastRow="0" w:firstColumn="1" w:lastColumn="0" w:oddVBand="0" w:evenVBand="0" w:oddHBand="0" w:evenHBand="0" w:firstRowFirstColumn="0" w:firstRowLastColumn="0" w:lastRowFirstColumn="0" w:lastRowLastColumn="0"/>
            <w:tcW w:w="940" w:type="dxa"/>
          </w:tcPr>
          <w:p w14:paraId="4B573B67" w14:textId="77777777" w:rsidR="003769E6" w:rsidRPr="002D680F" w:rsidRDefault="003769E6">
            <w:pPr>
              <w:tabs>
                <w:tab w:val="left" w:pos="1530"/>
              </w:tabs>
              <w:jc w:val="center"/>
              <w:rPr>
                <w:rFonts w:ascii="Avenir Next LT Pro" w:hAnsi="Avenir Next LT Pro" w:cs="Arial"/>
                <w:b w:val="0"/>
                <w:bCs w:val="0"/>
                <w:sz w:val="20"/>
              </w:rPr>
            </w:pPr>
            <w:r w:rsidRPr="002D680F">
              <w:rPr>
                <w:rFonts w:ascii="Avenir Next LT Pro" w:hAnsi="Avenir Next LT Pro" w:cs="Arial"/>
                <w:b w:val="0"/>
                <w:bCs w:val="0"/>
                <w:sz w:val="20"/>
                <w:szCs w:val="20"/>
              </w:rPr>
              <w:t>1.0</w:t>
            </w:r>
          </w:p>
        </w:tc>
        <w:tc>
          <w:tcPr>
            <w:cnfStyle w:val="000010000000" w:firstRow="0" w:lastRow="0" w:firstColumn="0" w:lastColumn="0" w:oddVBand="1" w:evenVBand="0" w:oddHBand="0" w:evenHBand="0" w:firstRowFirstColumn="0" w:firstRowLastColumn="0" w:lastRowFirstColumn="0" w:lastRowLastColumn="0"/>
            <w:tcW w:w="1495" w:type="dxa"/>
          </w:tcPr>
          <w:p w14:paraId="6C8EAC6A" w14:textId="22A54858" w:rsidR="003769E6" w:rsidRPr="002D680F" w:rsidRDefault="003769E6">
            <w:pPr>
              <w:tabs>
                <w:tab w:val="left" w:pos="1530"/>
              </w:tabs>
              <w:jc w:val="center"/>
              <w:rPr>
                <w:rFonts w:ascii="Avenir Next LT Pro" w:hAnsi="Avenir Next LT Pro" w:cs="Arial"/>
                <w:sz w:val="20"/>
              </w:rPr>
            </w:pPr>
            <w:r w:rsidRPr="002D680F">
              <w:rPr>
                <w:rFonts w:ascii="Avenir Next LT Pro" w:hAnsi="Avenir Next LT Pro" w:cs="Arial"/>
                <w:sz w:val="20"/>
              </w:rPr>
              <w:t>0</w:t>
            </w:r>
            <w:r w:rsidR="00AC1810">
              <w:rPr>
                <w:rFonts w:ascii="Avenir Next LT Pro" w:hAnsi="Avenir Next LT Pro" w:cs="Arial"/>
                <w:sz w:val="20"/>
              </w:rPr>
              <w:t>1</w:t>
            </w:r>
            <w:r w:rsidRPr="002D680F">
              <w:rPr>
                <w:rFonts w:ascii="Avenir Next LT Pro" w:hAnsi="Avenir Next LT Pro" w:cs="Arial"/>
                <w:sz w:val="20"/>
              </w:rPr>
              <w:t>/</w:t>
            </w:r>
            <w:r w:rsidR="00AC1810">
              <w:rPr>
                <w:rFonts w:ascii="Avenir Next LT Pro" w:hAnsi="Avenir Next LT Pro" w:cs="Arial"/>
                <w:sz w:val="20"/>
              </w:rPr>
              <w:t>01</w:t>
            </w:r>
            <w:r w:rsidRPr="002D680F">
              <w:rPr>
                <w:rFonts w:ascii="Avenir Next LT Pro" w:hAnsi="Avenir Next LT Pro" w:cs="Arial"/>
                <w:sz w:val="20"/>
              </w:rPr>
              <w:t>/23</w:t>
            </w:r>
          </w:p>
        </w:tc>
        <w:tc>
          <w:tcPr>
            <w:tcW w:w="2086" w:type="dxa"/>
          </w:tcPr>
          <w:p w14:paraId="38796215" w14:textId="77777777" w:rsidR="003769E6" w:rsidRPr="002D680F" w:rsidRDefault="003769E6">
            <w:pPr>
              <w:tabs>
                <w:tab w:val="left" w:pos="1530"/>
              </w:tabs>
              <w:cnfStyle w:val="000000100000" w:firstRow="0" w:lastRow="0" w:firstColumn="0" w:lastColumn="0" w:oddVBand="0" w:evenVBand="0" w:oddHBand="1" w:evenHBand="0" w:firstRowFirstColumn="0" w:firstRowLastColumn="0" w:lastRowFirstColumn="0" w:lastRowLastColumn="0"/>
              <w:rPr>
                <w:rFonts w:ascii="Avenir Next LT Pro" w:hAnsi="Avenir Next LT Pro" w:cs="Arial"/>
                <w:sz w:val="20"/>
              </w:rPr>
            </w:pPr>
            <w:r w:rsidRPr="002D680F">
              <w:rPr>
                <w:rFonts w:ascii="Avenir Next LT Pro" w:hAnsi="Avenir Next LT Pro" w:cs="Arial"/>
                <w:sz w:val="20"/>
              </w:rPr>
              <w:t>Risa Dagenhart</w:t>
            </w:r>
          </w:p>
        </w:tc>
        <w:tc>
          <w:tcPr>
            <w:cnfStyle w:val="000010000000" w:firstRow="0" w:lastRow="0" w:firstColumn="0" w:lastColumn="0" w:oddVBand="1" w:evenVBand="0" w:oddHBand="0" w:evenHBand="0" w:firstRowFirstColumn="0" w:firstRowLastColumn="0" w:lastRowFirstColumn="0" w:lastRowLastColumn="0"/>
            <w:tcW w:w="4109" w:type="dxa"/>
          </w:tcPr>
          <w:p w14:paraId="23B497F9" w14:textId="77777777" w:rsidR="003769E6" w:rsidRPr="002D680F" w:rsidRDefault="003769E6">
            <w:pPr>
              <w:tabs>
                <w:tab w:val="left" w:pos="1530"/>
              </w:tabs>
              <w:rPr>
                <w:rFonts w:ascii="Avenir Next LT Pro" w:hAnsi="Avenir Next LT Pro" w:cs="Arial"/>
                <w:sz w:val="20"/>
              </w:rPr>
            </w:pPr>
            <w:r w:rsidRPr="002D680F">
              <w:rPr>
                <w:rFonts w:ascii="Avenir Next LT Pro" w:hAnsi="Avenir Next LT Pro" w:cs="Arial"/>
                <w:sz w:val="20"/>
                <w:szCs w:val="20"/>
              </w:rPr>
              <w:t>Initial Version</w:t>
            </w:r>
          </w:p>
        </w:tc>
      </w:tr>
    </w:tbl>
    <w:p w14:paraId="75AA88B6" w14:textId="77777777" w:rsidR="003769E6" w:rsidRPr="002D680F" w:rsidRDefault="003769E6" w:rsidP="003769E6">
      <w:pPr>
        <w:rPr>
          <w:rFonts w:ascii="Avenir Next LT Pro" w:hAnsi="Avenir Next LT Pro" w:cs="Arial"/>
          <w:b/>
          <w:bCs/>
        </w:rPr>
      </w:pPr>
    </w:p>
    <w:p w14:paraId="42DEE524" w14:textId="7BD6ACA7" w:rsidR="003769E6" w:rsidRPr="002D680F" w:rsidRDefault="003769E6" w:rsidP="003769E6">
      <w:pPr>
        <w:rPr>
          <w:rFonts w:ascii="Avenir Next LT Pro" w:hAnsi="Avenir Next LT Pro" w:cs="Arial"/>
          <w:b/>
          <w:bCs/>
        </w:rPr>
      </w:pPr>
      <w:r w:rsidRPr="002D680F">
        <w:rPr>
          <w:rFonts w:ascii="Avenir Next LT Pro" w:hAnsi="Avenir Next LT Pro" w:cs="Arial"/>
          <w:b/>
          <w:bCs/>
        </w:rPr>
        <w:t>Overview</w:t>
      </w:r>
    </w:p>
    <w:p w14:paraId="7C096221" w14:textId="779D4BE9" w:rsidR="003769E6" w:rsidRPr="002D680F" w:rsidRDefault="003769E6" w:rsidP="003769E6">
      <w:pPr>
        <w:rPr>
          <w:rFonts w:ascii="Avenir Next LT Pro" w:hAnsi="Avenir Next LT Pro" w:cs="Arial"/>
          <w:bCs/>
          <w:sz w:val="20"/>
          <w:szCs w:val="20"/>
        </w:rPr>
      </w:pPr>
      <w:bookmarkStart w:id="0" w:name="_Hlk28521476"/>
      <w:r w:rsidRPr="002D680F">
        <w:rPr>
          <w:rFonts w:ascii="Avenir Next LT Pro" w:hAnsi="Avenir Next LT Pro" w:cs="Arial"/>
          <w:bCs/>
          <w:sz w:val="20"/>
          <w:szCs w:val="20"/>
        </w:rPr>
        <w:t>It is the policy of Studio Designer (the “Company”) that appropriate internal controls and accepted best practices be utilized in the approval of Transactions that bind the Company.</w:t>
      </w:r>
    </w:p>
    <w:p w14:paraId="0F0673D8" w14:textId="77777777" w:rsidR="003769E6" w:rsidRPr="002D680F" w:rsidRDefault="003769E6" w:rsidP="003769E6">
      <w:pPr>
        <w:rPr>
          <w:rFonts w:ascii="Avenir Next LT Pro" w:hAnsi="Avenir Next LT Pro" w:cs="Arial"/>
          <w:bCs/>
          <w:sz w:val="20"/>
          <w:szCs w:val="20"/>
        </w:rPr>
      </w:pPr>
    </w:p>
    <w:p w14:paraId="0596CFA8" w14:textId="77777777" w:rsidR="003769E6" w:rsidRPr="002D680F" w:rsidRDefault="003769E6" w:rsidP="003769E6">
      <w:pPr>
        <w:rPr>
          <w:rFonts w:ascii="Avenir Next LT Pro" w:hAnsi="Avenir Next LT Pro" w:cs="Arial"/>
          <w:bCs/>
          <w:sz w:val="20"/>
          <w:szCs w:val="20"/>
        </w:rPr>
      </w:pPr>
      <w:r w:rsidRPr="002D680F">
        <w:rPr>
          <w:rFonts w:ascii="Avenir Next LT Pro" w:hAnsi="Avenir Next LT Pro" w:cs="Arial"/>
          <w:bCs/>
          <w:sz w:val="20"/>
          <w:szCs w:val="20"/>
        </w:rPr>
        <w:t>The Vendor Risk Management Policy (the “Policy”) is used for classifying the Company’s Vendor risk categories and the respective documentation needed for each risk level to safeguard the Company’s assets. Vendors include service providers, suppliers, and other third-party companies that the Company relies on for goods and services.</w:t>
      </w:r>
    </w:p>
    <w:p w14:paraId="05A91DA0" w14:textId="77777777" w:rsidR="003769E6" w:rsidRPr="002D680F" w:rsidRDefault="003769E6" w:rsidP="003769E6">
      <w:pPr>
        <w:rPr>
          <w:rFonts w:ascii="Avenir Next LT Pro" w:hAnsi="Avenir Next LT Pro" w:cs="Arial"/>
          <w:sz w:val="20"/>
          <w:szCs w:val="20"/>
        </w:rPr>
      </w:pPr>
    </w:p>
    <w:bookmarkEnd w:id="0"/>
    <w:p w14:paraId="43E24271" w14:textId="77777777" w:rsidR="003769E6" w:rsidRPr="002D680F" w:rsidRDefault="003769E6" w:rsidP="003769E6">
      <w:pPr>
        <w:rPr>
          <w:rFonts w:ascii="Avenir Next LT Pro" w:hAnsi="Avenir Next LT Pro" w:cs="Arial"/>
          <w:b/>
          <w:bCs/>
        </w:rPr>
      </w:pPr>
      <w:r w:rsidRPr="002D680F">
        <w:rPr>
          <w:rFonts w:ascii="Avenir Next LT Pro" w:hAnsi="Avenir Next LT Pro" w:cs="Arial"/>
          <w:b/>
          <w:bCs/>
        </w:rPr>
        <w:t xml:space="preserve">Purpose </w:t>
      </w:r>
    </w:p>
    <w:p w14:paraId="5A1BAF2F" w14:textId="77777777" w:rsidR="003769E6" w:rsidRPr="002D680F" w:rsidRDefault="003769E6" w:rsidP="003769E6">
      <w:pPr>
        <w:rPr>
          <w:rFonts w:ascii="Avenir Next LT Pro" w:hAnsi="Avenir Next LT Pro" w:cs="Arial"/>
          <w:sz w:val="20"/>
          <w:szCs w:val="20"/>
        </w:rPr>
      </w:pPr>
      <w:r w:rsidRPr="002D680F">
        <w:rPr>
          <w:rFonts w:ascii="Avenir Next LT Pro" w:hAnsi="Avenir Next LT Pro" w:cs="Arial"/>
          <w:sz w:val="20"/>
          <w:szCs w:val="20"/>
        </w:rPr>
        <w:t>The purpose of this Policy is to ensure uniform treatment for classifying Vendor risk across the Company. This Policy promotes the Company’s internal control environment through specifying Vendor risk categories and the requisite documentation required at each level of risk.</w:t>
      </w:r>
    </w:p>
    <w:p w14:paraId="731C7883" w14:textId="77777777" w:rsidR="003769E6" w:rsidRPr="002D680F" w:rsidRDefault="003769E6" w:rsidP="003769E6">
      <w:pPr>
        <w:rPr>
          <w:rFonts w:ascii="Avenir Next LT Pro" w:hAnsi="Avenir Next LT Pro" w:cs="Arial"/>
          <w:sz w:val="20"/>
          <w:szCs w:val="20"/>
        </w:rPr>
      </w:pPr>
    </w:p>
    <w:p w14:paraId="26481CA6" w14:textId="77777777" w:rsidR="003769E6" w:rsidRPr="002D680F" w:rsidRDefault="003769E6" w:rsidP="003769E6">
      <w:pPr>
        <w:rPr>
          <w:rFonts w:ascii="Avenir Next LT Pro" w:hAnsi="Avenir Next LT Pro" w:cs="Arial"/>
          <w:b/>
          <w:bCs/>
        </w:rPr>
      </w:pPr>
      <w:r w:rsidRPr="002D680F">
        <w:rPr>
          <w:rFonts w:ascii="Avenir Next LT Pro" w:hAnsi="Avenir Next LT Pro" w:cs="Arial"/>
          <w:b/>
          <w:bCs/>
        </w:rPr>
        <w:t xml:space="preserve">Scope </w:t>
      </w:r>
    </w:p>
    <w:p w14:paraId="377FC4E0" w14:textId="77777777" w:rsidR="003769E6" w:rsidRPr="002D680F" w:rsidRDefault="003769E6" w:rsidP="003769E6">
      <w:pPr>
        <w:rPr>
          <w:rFonts w:ascii="Avenir Next LT Pro" w:hAnsi="Avenir Next LT Pro" w:cs="Arial"/>
          <w:sz w:val="20"/>
          <w:szCs w:val="20"/>
        </w:rPr>
      </w:pPr>
      <w:r w:rsidRPr="002D680F">
        <w:rPr>
          <w:rFonts w:ascii="Avenir Next LT Pro" w:hAnsi="Avenir Next LT Pro" w:cs="Arial"/>
          <w:sz w:val="20"/>
          <w:szCs w:val="20"/>
        </w:rPr>
        <w:t>This policy applies to all employees, contractors, consultants, temporaries, and other workers at the Company, including all personnel affiliated with third parties.</w:t>
      </w:r>
    </w:p>
    <w:p w14:paraId="3BB0A489" w14:textId="77777777" w:rsidR="003769E6" w:rsidRPr="002D680F" w:rsidRDefault="003769E6" w:rsidP="003769E6">
      <w:pPr>
        <w:rPr>
          <w:rFonts w:ascii="Avenir Next LT Pro" w:hAnsi="Avenir Next LT Pro" w:cs="Arial"/>
          <w:sz w:val="20"/>
          <w:szCs w:val="20"/>
        </w:rPr>
      </w:pPr>
    </w:p>
    <w:p w14:paraId="02A4E979" w14:textId="77777777" w:rsidR="003769E6" w:rsidRPr="002D680F" w:rsidRDefault="003769E6" w:rsidP="003769E6">
      <w:pPr>
        <w:rPr>
          <w:rFonts w:ascii="Avenir Next LT Pro" w:hAnsi="Avenir Next LT Pro" w:cs="Arial"/>
          <w:b/>
          <w:bCs/>
        </w:rPr>
      </w:pPr>
      <w:r w:rsidRPr="002D680F">
        <w:rPr>
          <w:rFonts w:ascii="Avenir Next LT Pro" w:hAnsi="Avenir Next LT Pro" w:cs="Arial"/>
          <w:b/>
          <w:bCs/>
        </w:rPr>
        <w:t xml:space="preserve">Definitions </w:t>
      </w:r>
    </w:p>
    <w:p w14:paraId="0B9D884C" w14:textId="77777777" w:rsidR="003769E6" w:rsidRPr="002D680F" w:rsidRDefault="003769E6" w:rsidP="003769E6">
      <w:pPr>
        <w:rPr>
          <w:rFonts w:ascii="Avenir Next LT Pro" w:hAnsi="Avenir Next LT Pro" w:cs="Arial"/>
          <w:sz w:val="20"/>
          <w:szCs w:val="20"/>
        </w:rPr>
      </w:pPr>
      <w:r w:rsidRPr="002D680F">
        <w:rPr>
          <w:rFonts w:ascii="Avenir Next LT Pro" w:hAnsi="Avenir Next LT Pro" w:cs="Arial"/>
          <w:sz w:val="20"/>
          <w:szCs w:val="20"/>
        </w:rPr>
        <w:t>As used in this policy, the following terms have the meanings specified below:</w:t>
      </w:r>
    </w:p>
    <w:p w14:paraId="35828E13" w14:textId="77777777" w:rsidR="003769E6" w:rsidRPr="002D680F" w:rsidRDefault="003769E6" w:rsidP="003769E6">
      <w:pPr>
        <w:rPr>
          <w:rFonts w:ascii="Avenir Next LT Pro" w:hAnsi="Avenir Next LT Pro" w:cs="Arial"/>
          <w:sz w:val="20"/>
          <w:szCs w:val="20"/>
        </w:rPr>
      </w:pPr>
    </w:p>
    <w:p w14:paraId="6C913DCA" w14:textId="77777777" w:rsidR="003769E6" w:rsidRPr="002D680F" w:rsidRDefault="003769E6" w:rsidP="003769E6">
      <w:pPr>
        <w:rPr>
          <w:rFonts w:ascii="Avenir Next LT Pro" w:hAnsi="Avenir Next LT Pro" w:cs="Arial"/>
          <w:sz w:val="20"/>
          <w:szCs w:val="20"/>
        </w:rPr>
      </w:pPr>
      <w:r w:rsidRPr="002D680F">
        <w:rPr>
          <w:rFonts w:ascii="Avenir Next LT Pro" w:hAnsi="Avenir Next LT Pro" w:cs="Arial"/>
          <w:sz w:val="20"/>
          <w:szCs w:val="20"/>
        </w:rPr>
        <w:t>“Accounting” is the department responsible for the setup and management of the Company’s Vendors.</w:t>
      </w:r>
    </w:p>
    <w:p w14:paraId="1AFC6991" w14:textId="77777777" w:rsidR="003769E6" w:rsidRPr="002D680F" w:rsidRDefault="003769E6" w:rsidP="003769E6">
      <w:pPr>
        <w:rPr>
          <w:rFonts w:ascii="Avenir Next LT Pro" w:hAnsi="Avenir Next LT Pro" w:cs="Arial"/>
          <w:sz w:val="20"/>
          <w:szCs w:val="20"/>
        </w:rPr>
      </w:pPr>
    </w:p>
    <w:p w14:paraId="606AAAD4" w14:textId="77777777" w:rsidR="003769E6" w:rsidRPr="002D680F" w:rsidRDefault="003769E6" w:rsidP="003769E6">
      <w:pPr>
        <w:rPr>
          <w:rFonts w:ascii="Avenir Next LT Pro" w:hAnsi="Avenir Next LT Pro" w:cs="Arial"/>
          <w:sz w:val="20"/>
          <w:szCs w:val="20"/>
        </w:rPr>
      </w:pPr>
      <w:r w:rsidRPr="002D680F">
        <w:rPr>
          <w:rFonts w:ascii="Avenir Next LT Pro" w:hAnsi="Avenir Next LT Pro" w:cs="Arial"/>
          <w:sz w:val="20"/>
          <w:szCs w:val="20"/>
        </w:rPr>
        <w:t xml:space="preserve">“Financial Management System (“FMS”)” is the database the Company uses to track business Transactions. </w:t>
      </w:r>
    </w:p>
    <w:p w14:paraId="772867F8" w14:textId="77777777" w:rsidR="003769E6" w:rsidRPr="002D680F" w:rsidRDefault="003769E6" w:rsidP="003769E6">
      <w:pPr>
        <w:rPr>
          <w:rFonts w:ascii="Avenir Next LT Pro" w:hAnsi="Avenir Next LT Pro" w:cs="Arial"/>
          <w:sz w:val="20"/>
          <w:szCs w:val="20"/>
        </w:rPr>
      </w:pPr>
    </w:p>
    <w:p w14:paraId="642996F1" w14:textId="77777777" w:rsidR="003769E6" w:rsidRPr="002D680F" w:rsidRDefault="003769E6" w:rsidP="003769E6">
      <w:pPr>
        <w:rPr>
          <w:rFonts w:ascii="Avenir Next LT Pro" w:hAnsi="Avenir Next LT Pro" w:cs="Arial"/>
          <w:sz w:val="20"/>
          <w:szCs w:val="20"/>
        </w:rPr>
      </w:pPr>
      <w:r w:rsidRPr="002D680F">
        <w:rPr>
          <w:rFonts w:ascii="Avenir Next LT Pro" w:hAnsi="Avenir Next LT Pro" w:cs="Arial"/>
          <w:sz w:val="20"/>
          <w:szCs w:val="20"/>
        </w:rPr>
        <w:t xml:space="preserve">“Information Technology (“IT”)” is the department responsible for the Company’s hardware, software, manages the internal network infrastructure and provides technical support for these functions. </w:t>
      </w:r>
    </w:p>
    <w:p w14:paraId="2A909383" w14:textId="77777777" w:rsidR="003769E6" w:rsidRPr="002D680F" w:rsidRDefault="003769E6" w:rsidP="003769E6">
      <w:pPr>
        <w:rPr>
          <w:rFonts w:ascii="Avenir Next LT Pro" w:hAnsi="Avenir Next LT Pro" w:cs="Arial"/>
          <w:sz w:val="20"/>
          <w:szCs w:val="20"/>
        </w:rPr>
      </w:pPr>
    </w:p>
    <w:p w14:paraId="0777DB04" w14:textId="77777777" w:rsidR="003769E6" w:rsidRPr="002D680F" w:rsidRDefault="003769E6" w:rsidP="003769E6">
      <w:pPr>
        <w:rPr>
          <w:rFonts w:ascii="Avenir Next LT Pro" w:hAnsi="Avenir Next LT Pro" w:cs="Arial"/>
          <w:sz w:val="20"/>
          <w:szCs w:val="20"/>
        </w:rPr>
      </w:pPr>
      <w:r w:rsidRPr="002D680F">
        <w:rPr>
          <w:rFonts w:ascii="Avenir Next LT Pro" w:hAnsi="Avenir Next LT Pro" w:cs="Arial"/>
          <w:sz w:val="20"/>
          <w:szCs w:val="20"/>
        </w:rPr>
        <w:t xml:space="preserve">“Non-Public Information (“NPI”)” is any data or information considered to be personal in nature and not subject to public availability.   </w:t>
      </w:r>
    </w:p>
    <w:p w14:paraId="1C19D470" w14:textId="77777777" w:rsidR="003769E6" w:rsidRPr="002D680F" w:rsidRDefault="003769E6" w:rsidP="003769E6">
      <w:pPr>
        <w:rPr>
          <w:rFonts w:ascii="Avenir Next LT Pro" w:hAnsi="Avenir Next LT Pro" w:cs="Arial"/>
          <w:sz w:val="20"/>
          <w:szCs w:val="20"/>
        </w:rPr>
      </w:pPr>
    </w:p>
    <w:p w14:paraId="25F79811" w14:textId="77777777" w:rsidR="003769E6" w:rsidRPr="002D680F" w:rsidRDefault="003769E6" w:rsidP="003769E6">
      <w:pPr>
        <w:rPr>
          <w:rFonts w:ascii="Avenir Next LT Pro" w:hAnsi="Avenir Next LT Pro" w:cs="Arial"/>
          <w:sz w:val="20"/>
          <w:szCs w:val="20"/>
        </w:rPr>
      </w:pPr>
      <w:r w:rsidRPr="002D680F">
        <w:rPr>
          <w:rFonts w:ascii="Avenir Next LT Pro" w:hAnsi="Avenir Next LT Pro" w:cs="Arial"/>
          <w:sz w:val="20"/>
          <w:szCs w:val="20"/>
        </w:rPr>
        <w:t>“Transaction” means a commitment by the Company involving the exchange of money, an obligation to perform services requiring payment or use of Company resources, or the assumption of a liability or potential liability, currently or in the future.</w:t>
      </w:r>
    </w:p>
    <w:p w14:paraId="269193AD" w14:textId="77777777" w:rsidR="003769E6" w:rsidRPr="002D680F" w:rsidRDefault="003769E6" w:rsidP="003769E6">
      <w:pPr>
        <w:rPr>
          <w:rFonts w:ascii="Avenir Next LT Pro" w:hAnsi="Avenir Next LT Pro" w:cs="Arial"/>
          <w:sz w:val="20"/>
          <w:szCs w:val="20"/>
        </w:rPr>
      </w:pPr>
    </w:p>
    <w:p w14:paraId="39DB22F9" w14:textId="77777777" w:rsidR="003769E6" w:rsidRPr="002D680F" w:rsidRDefault="003769E6" w:rsidP="003769E6">
      <w:pPr>
        <w:rPr>
          <w:rFonts w:ascii="Avenir Next LT Pro" w:hAnsi="Avenir Next LT Pro" w:cs="Arial"/>
          <w:sz w:val="20"/>
          <w:szCs w:val="20"/>
        </w:rPr>
      </w:pPr>
      <w:r w:rsidRPr="002D680F">
        <w:rPr>
          <w:rFonts w:ascii="Avenir Next LT Pro" w:hAnsi="Avenir Next LT Pro" w:cs="Arial"/>
          <w:sz w:val="20"/>
          <w:szCs w:val="20"/>
        </w:rPr>
        <w:t xml:space="preserve">“Vendor” is a third-party provider of goods or services to the Company. </w:t>
      </w:r>
    </w:p>
    <w:p w14:paraId="26D97D1B" w14:textId="77777777" w:rsidR="003769E6" w:rsidRPr="002D680F" w:rsidRDefault="003769E6" w:rsidP="003769E6">
      <w:pPr>
        <w:rPr>
          <w:rFonts w:ascii="Avenir Next LT Pro" w:hAnsi="Avenir Next LT Pro" w:cs="Arial"/>
          <w:sz w:val="20"/>
          <w:szCs w:val="20"/>
        </w:rPr>
      </w:pPr>
    </w:p>
    <w:p w14:paraId="00A135B3" w14:textId="77777777" w:rsidR="003769E6" w:rsidRPr="002D680F" w:rsidRDefault="003769E6" w:rsidP="003769E6">
      <w:pPr>
        <w:rPr>
          <w:rFonts w:ascii="Avenir Next LT Pro" w:hAnsi="Avenir Next LT Pro" w:cs="Arial"/>
          <w:sz w:val="20"/>
          <w:szCs w:val="20"/>
        </w:rPr>
      </w:pPr>
      <w:r w:rsidRPr="002D680F">
        <w:rPr>
          <w:rFonts w:ascii="Avenir Next LT Pro" w:hAnsi="Avenir Next LT Pro" w:cs="Arial"/>
          <w:sz w:val="20"/>
          <w:szCs w:val="20"/>
        </w:rPr>
        <w:t>“Vendor Packet” is the Company’s document used to collect information from a Vendor in order to complete their setup and define their risk category.</w:t>
      </w:r>
    </w:p>
    <w:p w14:paraId="4395D30B" w14:textId="77777777" w:rsidR="003769E6" w:rsidRPr="002D680F" w:rsidRDefault="003769E6" w:rsidP="003769E6">
      <w:pPr>
        <w:rPr>
          <w:rFonts w:ascii="Avenir Next LT Pro" w:hAnsi="Avenir Next LT Pro" w:cs="Arial"/>
          <w:sz w:val="20"/>
          <w:szCs w:val="20"/>
        </w:rPr>
      </w:pPr>
    </w:p>
    <w:p w14:paraId="65CE1D9E" w14:textId="77777777" w:rsidR="003769E6" w:rsidRPr="002D680F" w:rsidRDefault="003769E6" w:rsidP="003769E6">
      <w:pPr>
        <w:rPr>
          <w:rFonts w:ascii="Avenir Next LT Pro" w:hAnsi="Avenir Next LT Pro" w:cs="Arial"/>
          <w:b/>
          <w:bCs/>
        </w:rPr>
      </w:pPr>
      <w:r w:rsidRPr="002D680F">
        <w:rPr>
          <w:rFonts w:ascii="Avenir Next LT Pro" w:hAnsi="Avenir Next LT Pro" w:cs="Arial"/>
          <w:b/>
          <w:bCs/>
        </w:rPr>
        <w:t xml:space="preserve">Policy </w:t>
      </w:r>
    </w:p>
    <w:p w14:paraId="2F532CC9" w14:textId="77777777" w:rsidR="003769E6" w:rsidRPr="002D680F" w:rsidRDefault="003769E6" w:rsidP="003769E6">
      <w:pPr>
        <w:rPr>
          <w:rFonts w:ascii="Avenir Next LT Pro" w:hAnsi="Avenir Next LT Pro" w:cs="Arial"/>
          <w:sz w:val="20"/>
          <w:szCs w:val="20"/>
        </w:rPr>
      </w:pPr>
    </w:p>
    <w:p w14:paraId="24E9F490" w14:textId="77777777" w:rsidR="003769E6" w:rsidRPr="00165B01" w:rsidRDefault="003769E6" w:rsidP="003769E6">
      <w:pPr>
        <w:rPr>
          <w:rFonts w:ascii="Avenir Next LT Pro" w:hAnsi="Avenir Next LT Pro" w:cs="Arial"/>
          <w:b/>
          <w:sz w:val="20"/>
          <w:szCs w:val="20"/>
          <w:u w:val="single"/>
        </w:rPr>
      </w:pPr>
      <w:r w:rsidRPr="00165B01">
        <w:rPr>
          <w:rFonts w:ascii="Avenir Next LT Pro" w:hAnsi="Avenir Next LT Pro" w:cs="Arial"/>
          <w:b/>
          <w:sz w:val="20"/>
          <w:szCs w:val="20"/>
          <w:u w:val="single"/>
        </w:rPr>
        <w:t>Policy Principles</w:t>
      </w:r>
    </w:p>
    <w:p w14:paraId="3E57EE1D" w14:textId="77777777" w:rsidR="003769E6" w:rsidRPr="002D680F" w:rsidRDefault="003769E6" w:rsidP="003769E6">
      <w:pPr>
        <w:rPr>
          <w:rFonts w:ascii="Avenir Next LT Pro" w:hAnsi="Avenir Next LT Pro" w:cs="Arial"/>
          <w:sz w:val="20"/>
          <w:szCs w:val="20"/>
          <w:lang w:val="en"/>
        </w:rPr>
      </w:pPr>
      <w:r w:rsidRPr="002D680F">
        <w:rPr>
          <w:rFonts w:ascii="Avenir Next LT Pro" w:hAnsi="Avenir Next LT Pro" w:cs="Arial"/>
          <w:sz w:val="20"/>
          <w:szCs w:val="20"/>
          <w:lang w:val="en"/>
        </w:rPr>
        <w:t xml:space="preserve">This Policy pertains to all active Vendors that have a commitment from the Company for goods or services. A Vendor’s risk level is established by Accounting upon setup. Vendor setup and the respective documentation defined in the Vendor’s risk category are managed by Accounting and housed in the Company’s Financial Management System (“FMS”). </w:t>
      </w:r>
    </w:p>
    <w:p w14:paraId="4E56920C" w14:textId="77777777" w:rsidR="003769E6" w:rsidRPr="002D680F" w:rsidRDefault="003769E6" w:rsidP="003769E6">
      <w:pPr>
        <w:rPr>
          <w:rFonts w:ascii="Avenir Next LT Pro" w:hAnsi="Avenir Next LT Pro" w:cs="Arial"/>
          <w:sz w:val="20"/>
          <w:szCs w:val="20"/>
          <w:lang w:val="en"/>
        </w:rPr>
      </w:pPr>
    </w:p>
    <w:p w14:paraId="6A2DA315" w14:textId="77777777" w:rsidR="003769E6" w:rsidRPr="002D680F" w:rsidRDefault="003769E6" w:rsidP="003769E6">
      <w:pPr>
        <w:rPr>
          <w:rFonts w:ascii="Avenir Next LT Pro" w:hAnsi="Avenir Next LT Pro" w:cs="Arial"/>
          <w:sz w:val="20"/>
          <w:szCs w:val="20"/>
          <w:lang w:val="en"/>
        </w:rPr>
      </w:pPr>
      <w:r w:rsidRPr="002D680F">
        <w:rPr>
          <w:rFonts w:ascii="Avenir Next LT Pro" w:hAnsi="Avenir Next LT Pro" w:cs="Arial"/>
          <w:sz w:val="20"/>
          <w:szCs w:val="20"/>
          <w:lang w:val="en"/>
        </w:rPr>
        <w:t>On a regular basis, no less frequently than quarterly, Accounting audits Vendor documentation to ensure it is current and updates information as necessary. On an annual basis, Information Technology (“IT”) audits Vendors categorized as “Critical – Business Continuity” and “Critical – Non-Public Information (“NPI”) Data” to ensure their policies are meeting or exceeding the Company’s risk standards.</w:t>
      </w:r>
    </w:p>
    <w:p w14:paraId="73D65CD4" w14:textId="77777777" w:rsidR="003769E6" w:rsidRPr="002D680F" w:rsidRDefault="003769E6" w:rsidP="003769E6">
      <w:pPr>
        <w:rPr>
          <w:rFonts w:ascii="Avenir Next LT Pro" w:hAnsi="Avenir Next LT Pro" w:cs="Arial"/>
          <w:sz w:val="20"/>
          <w:szCs w:val="20"/>
          <w:lang w:val="en"/>
        </w:rPr>
      </w:pPr>
    </w:p>
    <w:p w14:paraId="01B4290E" w14:textId="77777777" w:rsidR="003769E6" w:rsidRPr="002D680F" w:rsidRDefault="003769E6" w:rsidP="003769E6">
      <w:pPr>
        <w:rPr>
          <w:rFonts w:ascii="Avenir Next LT Pro" w:hAnsi="Avenir Next LT Pro" w:cs="Arial"/>
          <w:sz w:val="20"/>
          <w:szCs w:val="20"/>
          <w:lang w:val="en"/>
        </w:rPr>
      </w:pPr>
      <w:r w:rsidRPr="002D680F">
        <w:rPr>
          <w:rFonts w:ascii="Avenir Next LT Pro" w:hAnsi="Avenir Next LT Pro" w:cs="Arial"/>
          <w:sz w:val="20"/>
          <w:szCs w:val="20"/>
          <w:lang w:val="en"/>
        </w:rPr>
        <w:t>The Company is subject to an annual financial audit and SOC audit and as part of the audit process the Company’s Vendor risk management is analyzed by the auditors for reasonableness.</w:t>
      </w:r>
    </w:p>
    <w:p w14:paraId="7797B142" w14:textId="77777777" w:rsidR="003769E6" w:rsidRPr="002D680F" w:rsidRDefault="003769E6" w:rsidP="003769E6">
      <w:pPr>
        <w:rPr>
          <w:rFonts w:ascii="Avenir Next LT Pro" w:hAnsi="Avenir Next LT Pro" w:cs="Arial"/>
          <w:sz w:val="20"/>
          <w:szCs w:val="20"/>
          <w:lang w:val="en"/>
        </w:rPr>
      </w:pPr>
    </w:p>
    <w:p w14:paraId="11783382" w14:textId="77777777" w:rsidR="003769E6" w:rsidRPr="00165B01" w:rsidRDefault="003769E6" w:rsidP="003769E6">
      <w:pPr>
        <w:rPr>
          <w:rFonts w:ascii="Avenir Next LT Pro" w:hAnsi="Avenir Next LT Pro" w:cs="Arial"/>
          <w:b/>
          <w:sz w:val="20"/>
          <w:szCs w:val="20"/>
          <w:u w:val="single"/>
        </w:rPr>
      </w:pPr>
      <w:r w:rsidRPr="00165B01">
        <w:rPr>
          <w:rFonts w:ascii="Avenir Next LT Pro" w:hAnsi="Avenir Next LT Pro" w:cs="Arial"/>
          <w:b/>
          <w:sz w:val="20"/>
          <w:szCs w:val="20"/>
          <w:u w:val="single"/>
        </w:rPr>
        <w:t>Policy Guidelines</w:t>
      </w:r>
    </w:p>
    <w:p w14:paraId="4B5CB674" w14:textId="77777777" w:rsidR="003769E6" w:rsidRPr="002D680F" w:rsidRDefault="003769E6" w:rsidP="003769E6">
      <w:pPr>
        <w:tabs>
          <w:tab w:val="left" w:pos="1530"/>
        </w:tabs>
        <w:rPr>
          <w:rFonts w:ascii="Avenir Next LT Pro" w:hAnsi="Avenir Next LT Pro" w:cs="Arial"/>
          <w:sz w:val="20"/>
          <w:szCs w:val="20"/>
          <w:lang w:val="en"/>
        </w:rPr>
      </w:pPr>
      <w:r w:rsidRPr="002D680F">
        <w:rPr>
          <w:rFonts w:ascii="Avenir Next LT Pro" w:hAnsi="Avenir Next LT Pro" w:cs="Arial"/>
          <w:sz w:val="20"/>
          <w:szCs w:val="20"/>
          <w:lang w:val="en"/>
        </w:rPr>
        <w:t xml:space="preserve">Vendors are reviewed by Accounting upon setup and assigned an appropriate risk category based on the nature of the goods or services provided to the Company and the type of data they will have access to. </w:t>
      </w:r>
    </w:p>
    <w:p w14:paraId="3ED04AC5" w14:textId="77777777" w:rsidR="003769E6" w:rsidRPr="002D680F" w:rsidRDefault="003769E6" w:rsidP="003769E6">
      <w:pPr>
        <w:tabs>
          <w:tab w:val="left" w:pos="1530"/>
        </w:tabs>
        <w:rPr>
          <w:rFonts w:ascii="Avenir Next LT Pro" w:hAnsi="Avenir Next LT Pro" w:cs="Arial"/>
          <w:sz w:val="20"/>
          <w:szCs w:val="20"/>
          <w:lang w:val="en"/>
        </w:rPr>
      </w:pPr>
    </w:p>
    <w:p w14:paraId="57D13E1C" w14:textId="77777777" w:rsidR="003769E6" w:rsidRPr="002D680F" w:rsidRDefault="003769E6" w:rsidP="003769E6">
      <w:pPr>
        <w:tabs>
          <w:tab w:val="left" w:pos="1530"/>
        </w:tabs>
        <w:rPr>
          <w:rFonts w:ascii="Avenir Next LT Pro" w:hAnsi="Avenir Next LT Pro" w:cs="Arial"/>
          <w:b/>
          <w:bCs/>
          <w:sz w:val="20"/>
          <w:szCs w:val="20"/>
          <w:lang w:val="en"/>
        </w:rPr>
      </w:pPr>
      <w:r w:rsidRPr="002D680F">
        <w:rPr>
          <w:rFonts w:ascii="Avenir Next LT Pro" w:hAnsi="Avenir Next LT Pro" w:cs="Arial"/>
          <w:b/>
          <w:bCs/>
          <w:sz w:val="20"/>
          <w:szCs w:val="20"/>
          <w:lang w:val="en"/>
        </w:rPr>
        <w:t>Vendors are assigned one of the following risk categories.</w:t>
      </w:r>
    </w:p>
    <w:p w14:paraId="11488A26" w14:textId="77777777" w:rsidR="003769E6" w:rsidRPr="002D680F" w:rsidRDefault="003769E6" w:rsidP="003769E6">
      <w:pPr>
        <w:tabs>
          <w:tab w:val="left" w:pos="1530"/>
        </w:tabs>
        <w:rPr>
          <w:rFonts w:ascii="Avenir Next LT Pro" w:hAnsi="Avenir Next LT Pro" w:cs="Arial"/>
          <w:sz w:val="20"/>
          <w:szCs w:val="20"/>
          <w:lang w:val="en"/>
        </w:rPr>
      </w:pPr>
    </w:p>
    <w:p w14:paraId="26E87C58" w14:textId="77777777" w:rsidR="003769E6" w:rsidRPr="002D680F" w:rsidRDefault="003769E6" w:rsidP="003769E6">
      <w:pPr>
        <w:tabs>
          <w:tab w:val="left" w:pos="1530"/>
        </w:tabs>
        <w:rPr>
          <w:rFonts w:ascii="Avenir Next LT Pro" w:hAnsi="Avenir Next LT Pro" w:cs="Arial"/>
          <w:b/>
          <w:bCs/>
          <w:sz w:val="20"/>
          <w:szCs w:val="20"/>
          <w:lang w:val="en"/>
        </w:rPr>
      </w:pPr>
      <w:r w:rsidRPr="002D680F">
        <w:rPr>
          <w:rFonts w:ascii="Avenir Next LT Pro" w:hAnsi="Avenir Next LT Pro" w:cs="Arial"/>
          <w:b/>
          <w:bCs/>
          <w:sz w:val="20"/>
          <w:szCs w:val="20"/>
          <w:lang w:val="en"/>
        </w:rPr>
        <w:t>Exempt</w:t>
      </w:r>
    </w:p>
    <w:p w14:paraId="3FF6F9B6" w14:textId="77777777" w:rsidR="003769E6" w:rsidRPr="002D680F" w:rsidRDefault="003769E6" w:rsidP="003769E6">
      <w:pPr>
        <w:tabs>
          <w:tab w:val="left" w:pos="1530"/>
        </w:tabs>
        <w:rPr>
          <w:rFonts w:ascii="Avenir Next LT Pro" w:hAnsi="Avenir Next LT Pro" w:cs="Arial"/>
          <w:sz w:val="20"/>
          <w:szCs w:val="20"/>
          <w:lang w:val="en"/>
        </w:rPr>
      </w:pPr>
      <w:r w:rsidRPr="002D680F">
        <w:rPr>
          <w:rFonts w:ascii="Avenir Next LT Pro" w:hAnsi="Avenir Next LT Pro" w:cs="Arial"/>
          <w:sz w:val="20"/>
          <w:szCs w:val="20"/>
          <w:lang w:val="en"/>
        </w:rPr>
        <w:t>Vendors are classified as Exempt if they are financial institutions, utility providers, and government agencies. Exempt risk Vendors are not required to provide the Company with Vendor setup documentation.</w:t>
      </w:r>
    </w:p>
    <w:p w14:paraId="00D6885F" w14:textId="77777777" w:rsidR="003769E6" w:rsidRPr="002D680F" w:rsidRDefault="003769E6" w:rsidP="003769E6">
      <w:pPr>
        <w:tabs>
          <w:tab w:val="left" w:pos="1530"/>
        </w:tabs>
        <w:rPr>
          <w:rFonts w:ascii="Avenir Next LT Pro" w:hAnsi="Avenir Next LT Pro" w:cs="Arial"/>
          <w:sz w:val="20"/>
          <w:szCs w:val="20"/>
          <w:lang w:val="en"/>
        </w:rPr>
      </w:pPr>
    </w:p>
    <w:p w14:paraId="413A6267" w14:textId="77777777" w:rsidR="003769E6" w:rsidRPr="002D680F" w:rsidRDefault="003769E6" w:rsidP="003769E6">
      <w:pPr>
        <w:tabs>
          <w:tab w:val="left" w:pos="1530"/>
        </w:tabs>
        <w:rPr>
          <w:rFonts w:ascii="Avenir Next LT Pro" w:hAnsi="Avenir Next LT Pro" w:cs="Arial"/>
          <w:b/>
          <w:bCs/>
          <w:sz w:val="20"/>
          <w:szCs w:val="20"/>
          <w:lang w:val="en"/>
        </w:rPr>
      </w:pPr>
      <w:r w:rsidRPr="002D680F">
        <w:rPr>
          <w:rFonts w:ascii="Avenir Next LT Pro" w:hAnsi="Avenir Next LT Pro" w:cs="Arial"/>
          <w:b/>
          <w:bCs/>
          <w:sz w:val="20"/>
          <w:szCs w:val="20"/>
          <w:lang w:val="en"/>
        </w:rPr>
        <w:t>Low</w:t>
      </w:r>
    </w:p>
    <w:p w14:paraId="77DDE49B" w14:textId="77777777" w:rsidR="003769E6" w:rsidRPr="002D680F" w:rsidRDefault="003769E6" w:rsidP="003769E6">
      <w:pPr>
        <w:tabs>
          <w:tab w:val="left" w:pos="1530"/>
        </w:tabs>
        <w:rPr>
          <w:rFonts w:ascii="Avenir Next LT Pro" w:hAnsi="Avenir Next LT Pro" w:cs="Arial"/>
          <w:sz w:val="20"/>
          <w:szCs w:val="20"/>
          <w:lang w:val="en"/>
        </w:rPr>
      </w:pPr>
      <w:r w:rsidRPr="002D680F">
        <w:rPr>
          <w:rFonts w:ascii="Avenir Next LT Pro" w:hAnsi="Avenir Next LT Pro" w:cs="Arial"/>
          <w:sz w:val="20"/>
          <w:szCs w:val="20"/>
          <w:lang w:val="en"/>
        </w:rPr>
        <w:t>Vendors are classified as Low if the goods or services they provide do not require them to physically come to the Company’s offices and do not have access to consumer’s NPI data. Examples include Invoiced Supplies, Delivery Services/Postal (unless on-site setup is required), and 3rd party software providers. Low risk Vendors are required to provide a completed version of the Company’s Vendor Packet.</w:t>
      </w:r>
    </w:p>
    <w:p w14:paraId="1697F5CA" w14:textId="77777777" w:rsidR="003769E6" w:rsidRPr="002D680F" w:rsidRDefault="003769E6" w:rsidP="003769E6">
      <w:pPr>
        <w:tabs>
          <w:tab w:val="left" w:pos="1530"/>
        </w:tabs>
        <w:rPr>
          <w:rFonts w:ascii="Avenir Next LT Pro" w:hAnsi="Avenir Next LT Pro" w:cs="Arial"/>
          <w:sz w:val="20"/>
          <w:szCs w:val="20"/>
          <w:lang w:val="en"/>
        </w:rPr>
      </w:pPr>
    </w:p>
    <w:p w14:paraId="5EBCF403" w14:textId="77777777" w:rsidR="003769E6" w:rsidRPr="002D680F" w:rsidRDefault="003769E6" w:rsidP="003769E6">
      <w:pPr>
        <w:tabs>
          <w:tab w:val="left" w:pos="1530"/>
        </w:tabs>
        <w:rPr>
          <w:rFonts w:ascii="Avenir Next LT Pro" w:hAnsi="Avenir Next LT Pro" w:cs="Arial"/>
          <w:b/>
          <w:bCs/>
          <w:sz w:val="20"/>
          <w:szCs w:val="20"/>
          <w:lang w:val="en"/>
        </w:rPr>
      </w:pPr>
      <w:r w:rsidRPr="002D680F">
        <w:rPr>
          <w:rFonts w:ascii="Avenir Next LT Pro" w:hAnsi="Avenir Next LT Pro" w:cs="Arial"/>
          <w:b/>
          <w:bCs/>
          <w:sz w:val="20"/>
          <w:szCs w:val="20"/>
          <w:lang w:val="en"/>
        </w:rPr>
        <w:t>Medium-Low</w:t>
      </w:r>
    </w:p>
    <w:p w14:paraId="11EA08AF" w14:textId="77777777" w:rsidR="003769E6" w:rsidRPr="002D680F" w:rsidRDefault="003769E6" w:rsidP="003769E6">
      <w:pPr>
        <w:tabs>
          <w:tab w:val="left" w:pos="1530"/>
        </w:tabs>
        <w:rPr>
          <w:rFonts w:ascii="Avenir Next LT Pro" w:hAnsi="Avenir Next LT Pro" w:cs="Arial"/>
          <w:sz w:val="20"/>
          <w:szCs w:val="20"/>
          <w:lang w:val="en"/>
        </w:rPr>
      </w:pPr>
      <w:r w:rsidRPr="002D680F">
        <w:rPr>
          <w:rFonts w:ascii="Avenir Next LT Pro" w:hAnsi="Avenir Next LT Pro" w:cs="Arial"/>
          <w:sz w:val="20"/>
          <w:szCs w:val="20"/>
          <w:lang w:val="en"/>
        </w:rPr>
        <w:t>Vendors are classified as Medium-Low if the goods or services they provide are professional services in nature that do not have access to consumer’s NPI data. Examples include Accountant/Legal firms and contractors, Staffing Firms, and Business Insurance. Medium-Low risk Vendors are required to provide the same documentation as Low risk Vendors, as well as a contract or engagement letter outlining the details of their services.</w:t>
      </w:r>
    </w:p>
    <w:p w14:paraId="5A5BE323" w14:textId="77777777" w:rsidR="003769E6" w:rsidRPr="002D680F" w:rsidRDefault="003769E6" w:rsidP="003769E6">
      <w:pPr>
        <w:tabs>
          <w:tab w:val="left" w:pos="1530"/>
        </w:tabs>
        <w:rPr>
          <w:rFonts w:ascii="Avenir Next LT Pro" w:hAnsi="Avenir Next LT Pro" w:cs="Arial"/>
          <w:sz w:val="20"/>
          <w:szCs w:val="20"/>
          <w:lang w:val="en"/>
        </w:rPr>
      </w:pPr>
    </w:p>
    <w:p w14:paraId="12258D16" w14:textId="77777777" w:rsidR="003769E6" w:rsidRPr="002D680F" w:rsidRDefault="003769E6" w:rsidP="003769E6">
      <w:pPr>
        <w:tabs>
          <w:tab w:val="left" w:pos="1530"/>
        </w:tabs>
        <w:rPr>
          <w:rFonts w:ascii="Avenir Next LT Pro" w:hAnsi="Avenir Next LT Pro" w:cs="Arial"/>
          <w:b/>
          <w:bCs/>
          <w:sz w:val="20"/>
          <w:szCs w:val="20"/>
          <w:lang w:val="en"/>
        </w:rPr>
      </w:pPr>
      <w:r w:rsidRPr="002D680F">
        <w:rPr>
          <w:rFonts w:ascii="Avenir Next LT Pro" w:hAnsi="Avenir Next LT Pro" w:cs="Arial"/>
          <w:b/>
          <w:bCs/>
          <w:sz w:val="20"/>
          <w:szCs w:val="20"/>
          <w:lang w:val="en"/>
        </w:rPr>
        <w:t>Medium</w:t>
      </w:r>
    </w:p>
    <w:p w14:paraId="45A23087" w14:textId="77777777" w:rsidR="003769E6" w:rsidRPr="002D680F" w:rsidRDefault="003769E6" w:rsidP="003769E6">
      <w:pPr>
        <w:tabs>
          <w:tab w:val="left" w:pos="1530"/>
        </w:tabs>
        <w:rPr>
          <w:rFonts w:ascii="Avenir Next LT Pro" w:hAnsi="Avenir Next LT Pro" w:cs="Arial"/>
          <w:sz w:val="20"/>
          <w:szCs w:val="20"/>
          <w:lang w:val="en"/>
        </w:rPr>
      </w:pPr>
      <w:r w:rsidRPr="002D680F">
        <w:rPr>
          <w:rFonts w:ascii="Avenir Next LT Pro" w:hAnsi="Avenir Next LT Pro" w:cs="Arial"/>
          <w:sz w:val="20"/>
          <w:szCs w:val="20"/>
          <w:lang w:val="en"/>
        </w:rPr>
        <w:t>Vendors are classified as Medium if the goods or services they provide require them to have supervised physical access to the Company’s offices or access to employee information. Examples include Speakers, On-Site contractors, Content/Moderators, Health Insurance.  Medium risk Vendors are required to provide the same documentation as Medium-Low Vendors, as well as the Company’s confidentiality agreement and support of the appropriate insurance coverage (or documented waiver of liability).</w:t>
      </w:r>
    </w:p>
    <w:p w14:paraId="7A2C72F9" w14:textId="77777777" w:rsidR="003769E6" w:rsidRPr="002D680F" w:rsidRDefault="003769E6" w:rsidP="003769E6">
      <w:pPr>
        <w:tabs>
          <w:tab w:val="left" w:pos="1530"/>
        </w:tabs>
        <w:rPr>
          <w:rFonts w:ascii="Avenir Next LT Pro" w:hAnsi="Avenir Next LT Pro" w:cs="Arial"/>
          <w:sz w:val="20"/>
          <w:szCs w:val="20"/>
          <w:lang w:val="en"/>
        </w:rPr>
      </w:pPr>
    </w:p>
    <w:p w14:paraId="1643A2AF" w14:textId="77777777" w:rsidR="003769E6" w:rsidRPr="002D680F" w:rsidRDefault="003769E6" w:rsidP="003769E6">
      <w:pPr>
        <w:rPr>
          <w:rFonts w:ascii="Avenir Next LT Pro" w:hAnsi="Avenir Next LT Pro" w:cs="Arial"/>
          <w:b/>
          <w:bCs/>
          <w:sz w:val="20"/>
          <w:szCs w:val="20"/>
          <w:lang w:val="en"/>
        </w:rPr>
      </w:pPr>
      <w:r w:rsidRPr="002D680F">
        <w:rPr>
          <w:rFonts w:ascii="Avenir Next LT Pro" w:hAnsi="Avenir Next LT Pro" w:cs="Arial"/>
          <w:b/>
          <w:bCs/>
          <w:sz w:val="20"/>
          <w:szCs w:val="20"/>
          <w:lang w:val="en"/>
        </w:rPr>
        <w:br w:type="page"/>
      </w:r>
    </w:p>
    <w:p w14:paraId="3BC4E087" w14:textId="77777777" w:rsidR="003769E6" w:rsidRPr="002D680F" w:rsidRDefault="003769E6" w:rsidP="003769E6">
      <w:pPr>
        <w:tabs>
          <w:tab w:val="left" w:pos="1530"/>
        </w:tabs>
        <w:rPr>
          <w:rFonts w:ascii="Avenir Next LT Pro" w:hAnsi="Avenir Next LT Pro" w:cs="Arial"/>
          <w:b/>
          <w:bCs/>
          <w:sz w:val="20"/>
          <w:szCs w:val="20"/>
          <w:lang w:val="en"/>
        </w:rPr>
      </w:pPr>
      <w:r w:rsidRPr="002D680F">
        <w:rPr>
          <w:rFonts w:ascii="Avenir Next LT Pro" w:hAnsi="Avenir Next LT Pro" w:cs="Arial"/>
          <w:b/>
          <w:bCs/>
          <w:sz w:val="20"/>
          <w:szCs w:val="20"/>
          <w:lang w:val="en"/>
        </w:rPr>
        <w:t>High</w:t>
      </w:r>
    </w:p>
    <w:p w14:paraId="0AE6636D" w14:textId="77777777" w:rsidR="003769E6" w:rsidRPr="002D680F" w:rsidRDefault="003769E6" w:rsidP="003769E6">
      <w:pPr>
        <w:tabs>
          <w:tab w:val="left" w:pos="1530"/>
        </w:tabs>
        <w:rPr>
          <w:rFonts w:ascii="Avenir Next LT Pro" w:hAnsi="Avenir Next LT Pro" w:cs="Arial"/>
          <w:sz w:val="20"/>
          <w:szCs w:val="20"/>
          <w:lang w:val="en"/>
        </w:rPr>
      </w:pPr>
      <w:r w:rsidRPr="002D680F">
        <w:rPr>
          <w:rFonts w:ascii="Avenir Next LT Pro" w:hAnsi="Avenir Next LT Pro" w:cs="Arial"/>
          <w:sz w:val="20"/>
          <w:szCs w:val="20"/>
          <w:lang w:val="en"/>
        </w:rPr>
        <w:t>Vendors are classified as High if the goods or services they provide require them to have unsupervised physical access to the Company’s offices or access to Company data. Examples include Independent Software Developers, Technology vendor with access to employee data, and outside consultants.</w:t>
      </w:r>
    </w:p>
    <w:p w14:paraId="438111E8" w14:textId="77777777" w:rsidR="003769E6" w:rsidRPr="002D680F" w:rsidRDefault="003769E6" w:rsidP="003769E6">
      <w:pPr>
        <w:tabs>
          <w:tab w:val="left" w:pos="1530"/>
        </w:tabs>
        <w:rPr>
          <w:rFonts w:ascii="Avenir Next LT Pro" w:hAnsi="Avenir Next LT Pro" w:cs="Arial"/>
          <w:sz w:val="20"/>
          <w:szCs w:val="20"/>
          <w:lang w:val="en"/>
        </w:rPr>
      </w:pPr>
    </w:p>
    <w:p w14:paraId="4998CBCB" w14:textId="77777777" w:rsidR="003769E6" w:rsidRPr="002D680F" w:rsidRDefault="003769E6" w:rsidP="003769E6">
      <w:pPr>
        <w:tabs>
          <w:tab w:val="left" w:pos="1530"/>
        </w:tabs>
        <w:rPr>
          <w:rFonts w:ascii="Avenir Next LT Pro" w:hAnsi="Avenir Next LT Pro" w:cs="Arial"/>
          <w:sz w:val="20"/>
          <w:szCs w:val="20"/>
          <w:lang w:val="en"/>
        </w:rPr>
      </w:pPr>
      <w:r w:rsidRPr="002D680F">
        <w:rPr>
          <w:rFonts w:ascii="Avenir Next LT Pro" w:hAnsi="Avenir Next LT Pro" w:cs="Arial"/>
          <w:sz w:val="20"/>
          <w:szCs w:val="20"/>
          <w:lang w:val="en"/>
        </w:rPr>
        <w:t>High risk Vendors are required to provide the same documentation as Medium Vendors, as well as the successful completion of a background check.</w:t>
      </w:r>
    </w:p>
    <w:p w14:paraId="05CF14C6" w14:textId="77777777" w:rsidR="003769E6" w:rsidRPr="002D680F" w:rsidRDefault="003769E6" w:rsidP="003769E6">
      <w:pPr>
        <w:tabs>
          <w:tab w:val="left" w:pos="1530"/>
        </w:tabs>
        <w:rPr>
          <w:rFonts w:ascii="Avenir Next LT Pro" w:hAnsi="Avenir Next LT Pro" w:cs="Arial"/>
          <w:sz w:val="20"/>
          <w:szCs w:val="20"/>
          <w:lang w:val="en"/>
        </w:rPr>
      </w:pPr>
    </w:p>
    <w:p w14:paraId="745CA43A" w14:textId="77777777" w:rsidR="003769E6" w:rsidRPr="002D680F" w:rsidRDefault="003769E6" w:rsidP="003769E6">
      <w:pPr>
        <w:tabs>
          <w:tab w:val="left" w:pos="1530"/>
        </w:tabs>
        <w:rPr>
          <w:rFonts w:ascii="Avenir Next LT Pro" w:hAnsi="Avenir Next LT Pro" w:cs="Arial"/>
          <w:b/>
          <w:bCs/>
          <w:sz w:val="20"/>
          <w:szCs w:val="20"/>
          <w:lang w:val="en"/>
        </w:rPr>
      </w:pPr>
      <w:r w:rsidRPr="002D680F">
        <w:rPr>
          <w:rFonts w:ascii="Avenir Next LT Pro" w:hAnsi="Avenir Next LT Pro" w:cs="Arial"/>
          <w:b/>
          <w:bCs/>
          <w:sz w:val="20"/>
          <w:szCs w:val="20"/>
          <w:lang w:val="en"/>
        </w:rPr>
        <w:t xml:space="preserve">Critical </w:t>
      </w:r>
    </w:p>
    <w:p w14:paraId="21153D08" w14:textId="77777777" w:rsidR="003769E6" w:rsidRPr="002D680F" w:rsidRDefault="003769E6" w:rsidP="003769E6">
      <w:pPr>
        <w:tabs>
          <w:tab w:val="left" w:pos="1530"/>
        </w:tabs>
        <w:rPr>
          <w:rFonts w:ascii="Avenir Next LT Pro" w:hAnsi="Avenir Next LT Pro" w:cs="Arial"/>
          <w:sz w:val="20"/>
          <w:szCs w:val="20"/>
          <w:lang w:val="en"/>
        </w:rPr>
      </w:pPr>
      <w:r w:rsidRPr="002D680F">
        <w:rPr>
          <w:rFonts w:ascii="Avenir Next LT Pro" w:hAnsi="Avenir Next LT Pro" w:cs="Arial"/>
          <w:sz w:val="20"/>
          <w:szCs w:val="20"/>
          <w:lang w:val="en"/>
        </w:rPr>
        <w:t>Vendors are classified as Critical if the goods or services they provide require them to play a vital role in the daily operations of the Company. Examples include primary website hosting platforms or payment processing vendors.</w:t>
      </w:r>
    </w:p>
    <w:p w14:paraId="46D32E67" w14:textId="77777777" w:rsidR="003769E6" w:rsidRPr="002D680F" w:rsidRDefault="003769E6" w:rsidP="003769E6">
      <w:pPr>
        <w:tabs>
          <w:tab w:val="left" w:pos="1530"/>
        </w:tabs>
        <w:rPr>
          <w:rFonts w:ascii="Avenir Next LT Pro" w:hAnsi="Avenir Next LT Pro" w:cs="Arial"/>
          <w:sz w:val="20"/>
          <w:szCs w:val="20"/>
          <w:lang w:val="en"/>
        </w:rPr>
      </w:pPr>
    </w:p>
    <w:p w14:paraId="3780CC76" w14:textId="174BC2B1" w:rsidR="003769E6" w:rsidRPr="002D680F" w:rsidRDefault="003769E6" w:rsidP="003769E6">
      <w:pPr>
        <w:tabs>
          <w:tab w:val="left" w:pos="1530"/>
        </w:tabs>
        <w:rPr>
          <w:rFonts w:ascii="Avenir Next LT Pro" w:hAnsi="Avenir Next LT Pro" w:cs="Arial"/>
          <w:sz w:val="20"/>
          <w:szCs w:val="20"/>
          <w:lang w:val="en"/>
        </w:rPr>
      </w:pPr>
      <w:r w:rsidRPr="002D680F">
        <w:rPr>
          <w:rFonts w:ascii="Avenir Next LT Pro" w:hAnsi="Avenir Next LT Pro" w:cs="Arial"/>
          <w:sz w:val="20"/>
          <w:szCs w:val="20"/>
          <w:lang w:val="en"/>
        </w:rPr>
        <w:t>Critical risk Vendors are required to provide the same documentation as High Vendors, as well as the following documents:</w:t>
      </w:r>
    </w:p>
    <w:p w14:paraId="6330969E" w14:textId="77777777" w:rsidR="003769E6" w:rsidRPr="002D680F" w:rsidRDefault="003769E6" w:rsidP="003769E6">
      <w:pPr>
        <w:tabs>
          <w:tab w:val="left" w:pos="1530"/>
        </w:tabs>
        <w:rPr>
          <w:rFonts w:ascii="Avenir Next LT Pro" w:hAnsi="Avenir Next LT Pro" w:cs="Arial"/>
          <w:sz w:val="20"/>
          <w:szCs w:val="20"/>
        </w:rPr>
      </w:pPr>
    </w:p>
    <w:p w14:paraId="5A0F1DBD" w14:textId="77777777" w:rsidR="003769E6" w:rsidRPr="00B74E8E" w:rsidRDefault="003769E6" w:rsidP="003769E6">
      <w:pPr>
        <w:tabs>
          <w:tab w:val="left" w:pos="1530"/>
        </w:tabs>
        <w:rPr>
          <w:rFonts w:ascii="Avenir Next LT Pro" w:hAnsi="Avenir Next LT Pro" w:cs="Arial"/>
          <w:b/>
          <w:bCs/>
        </w:rPr>
      </w:pPr>
      <w:r w:rsidRPr="00B74E8E">
        <w:rPr>
          <w:rFonts w:ascii="Avenir Next LT Pro" w:hAnsi="Avenir Next LT Pro" w:cs="Arial"/>
          <w:b/>
          <w:bCs/>
        </w:rPr>
        <w:t>Questions or Problems</w:t>
      </w:r>
    </w:p>
    <w:p w14:paraId="10F4BC8C" w14:textId="3D78214E" w:rsidR="003769E6" w:rsidRPr="002D680F" w:rsidRDefault="003769E6" w:rsidP="003769E6">
      <w:pPr>
        <w:tabs>
          <w:tab w:val="left" w:pos="1530"/>
        </w:tabs>
        <w:rPr>
          <w:rFonts w:ascii="Avenir Next LT Pro" w:hAnsi="Avenir Next LT Pro" w:cs="Arial"/>
          <w:sz w:val="20"/>
          <w:szCs w:val="20"/>
        </w:rPr>
      </w:pPr>
      <w:r w:rsidRPr="002D680F">
        <w:rPr>
          <w:rFonts w:ascii="Avenir Next LT Pro" w:hAnsi="Avenir Next LT Pro" w:cs="Arial"/>
          <w:sz w:val="20"/>
          <w:szCs w:val="20"/>
        </w:rPr>
        <w:t xml:space="preserve">Questions, concerns, or requests for additional information about this Policy should be directed to the </w:t>
      </w:r>
      <w:r w:rsidR="002D680F">
        <w:rPr>
          <w:rFonts w:ascii="Avenir Next LT Pro" w:hAnsi="Avenir Next LT Pro" w:cs="Arial"/>
          <w:sz w:val="20"/>
          <w:szCs w:val="20"/>
        </w:rPr>
        <w:t>CFO</w:t>
      </w:r>
      <w:r w:rsidRPr="002D680F">
        <w:rPr>
          <w:rFonts w:ascii="Avenir Next LT Pro" w:hAnsi="Avenir Next LT Pro" w:cs="Arial"/>
          <w:sz w:val="20"/>
          <w:szCs w:val="20"/>
        </w:rPr>
        <w:t>.</w:t>
      </w:r>
    </w:p>
    <w:p w14:paraId="17F1F505" w14:textId="77777777" w:rsidR="003769E6" w:rsidRPr="002D680F" w:rsidRDefault="003769E6" w:rsidP="003769E6">
      <w:pPr>
        <w:tabs>
          <w:tab w:val="left" w:pos="1530"/>
        </w:tabs>
        <w:rPr>
          <w:rFonts w:ascii="Avenir Next LT Pro" w:hAnsi="Avenir Next LT Pro" w:cs="Arial"/>
          <w:sz w:val="20"/>
          <w:szCs w:val="20"/>
        </w:rPr>
      </w:pPr>
    </w:p>
    <w:p w14:paraId="38517019" w14:textId="77777777" w:rsidR="003769E6" w:rsidRPr="00B74E8E" w:rsidRDefault="003769E6" w:rsidP="003769E6">
      <w:pPr>
        <w:tabs>
          <w:tab w:val="left" w:pos="1530"/>
        </w:tabs>
        <w:rPr>
          <w:rFonts w:ascii="Avenir Next LT Pro" w:hAnsi="Avenir Next LT Pro" w:cs="Arial"/>
          <w:b/>
          <w:bCs/>
        </w:rPr>
      </w:pPr>
      <w:r w:rsidRPr="00B74E8E">
        <w:rPr>
          <w:rFonts w:ascii="Avenir Next LT Pro" w:hAnsi="Avenir Next LT Pro" w:cs="Arial"/>
          <w:b/>
          <w:bCs/>
        </w:rPr>
        <w:t>Responsibility</w:t>
      </w:r>
    </w:p>
    <w:p w14:paraId="27463A29" w14:textId="08BCC0EC" w:rsidR="003769E6" w:rsidRPr="002D680F" w:rsidRDefault="003769E6" w:rsidP="003769E6">
      <w:pPr>
        <w:tabs>
          <w:tab w:val="left" w:pos="1530"/>
        </w:tabs>
        <w:rPr>
          <w:rFonts w:ascii="Avenir Next LT Pro" w:hAnsi="Avenir Next LT Pro" w:cs="Arial"/>
          <w:sz w:val="20"/>
          <w:szCs w:val="20"/>
          <w:lang w:val="en-GB"/>
        </w:rPr>
      </w:pPr>
      <w:r w:rsidRPr="002D680F">
        <w:rPr>
          <w:rFonts w:ascii="Avenir Next LT Pro" w:hAnsi="Avenir Next LT Pro" w:cs="Arial"/>
          <w:sz w:val="20"/>
          <w:szCs w:val="20"/>
        </w:rPr>
        <w:t xml:space="preserve">The CFO is the Policy administrator for Accounting resources and will ensure that processes are followed. The </w:t>
      </w:r>
      <w:r w:rsidR="002D680F">
        <w:rPr>
          <w:rFonts w:ascii="Avenir Next LT Pro" w:hAnsi="Avenir Next LT Pro" w:cs="Arial"/>
          <w:sz w:val="20"/>
          <w:szCs w:val="20"/>
        </w:rPr>
        <w:t>CFO</w:t>
      </w:r>
      <w:r w:rsidRPr="002D680F">
        <w:rPr>
          <w:rFonts w:ascii="Avenir Next LT Pro" w:hAnsi="Avenir Next LT Pro" w:cs="Arial"/>
          <w:sz w:val="20"/>
          <w:szCs w:val="20"/>
        </w:rPr>
        <w:t xml:space="preserve"> must approve any exception to any Policy or related procedures. Additionally, Directors and Department Heads are responsible for compliance with Company policies within their respective administrative areas.</w:t>
      </w:r>
    </w:p>
    <w:p w14:paraId="0FA83289" w14:textId="77777777" w:rsidR="00BA2EAF" w:rsidRPr="002D680F" w:rsidRDefault="00BA2EAF" w:rsidP="00D6565C">
      <w:pPr>
        <w:widowControl w:val="0"/>
        <w:autoSpaceDE w:val="0"/>
        <w:autoSpaceDN w:val="0"/>
        <w:adjustRightInd w:val="0"/>
        <w:rPr>
          <w:rFonts w:ascii="Avenir Next LT Pro" w:hAnsi="Avenir Next LT Pro"/>
          <w:color w:val="202A40"/>
          <w:sz w:val="48"/>
          <w:szCs w:val="48"/>
          <w:lang w:val="en-GB"/>
        </w:rPr>
      </w:pPr>
    </w:p>
    <w:p w14:paraId="752A144B" w14:textId="49FA35EF" w:rsidR="00BA2EAF" w:rsidRPr="002D680F" w:rsidRDefault="00BA2EAF" w:rsidP="00D6565C">
      <w:pPr>
        <w:widowControl w:val="0"/>
        <w:autoSpaceDE w:val="0"/>
        <w:autoSpaceDN w:val="0"/>
        <w:adjustRightInd w:val="0"/>
        <w:rPr>
          <w:rFonts w:ascii="Avenir Next LT Pro" w:hAnsi="Avenir Next LT Pro"/>
          <w:color w:val="202A40"/>
        </w:rPr>
      </w:pPr>
    </w:p>
    <w:sectPr w:rsidR="00BA2EAF" w:rsidRPr="002D680F" w:rsidSect="00570622">
      <w:headerReference w:type="default" r:id="rId11"/>
      <w:footerReference w:type="default" r:id="rId12"/>
      <w:pgSz w:w="12240" w:h="15840"/>
      <w:pgMar w:top="1080" w:right="1800" w:bottom="108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3E79E82" w14:textId="77777777" w:rsidR="00570622" w:rsidRDefault="00570622" w:rsidP="00B9593F">
      <w:r>
        <w:separator/>
      </w:r>
    </w:p>
  </w:endnote>
  <w:endnote w:type="continuationSeparator" w:id="0">
    <w:p w14:paraId="3F3BEE6B" w14:textId="77777777" w:rsidR="00570622" w:rsidRDefault="00570622" w:rsidP="00B9593F">
      <w:r>
        <w:continuationSeparator/>
      </w:r>
    </w:p>
  </w:endnote>
  <w:endnote w:type="continuationNotice" w:id="1">
    <w:p w14:paraId="00A2AAC8" w14:textId="77777777" w:rsidR="00570622" w:rsidRDefault="0057062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Lucida Grande">
    <w:charset w:val="00"/>
    <w:family w:val="swiss"/>
    <w:pitch w:val="variable"/>
    <w:sig w:usb0="E1000AEF" w:usb1="5000A1FF" w:usb2="00000000" w:usb3="00000000" w:csb0="000001BF" w:csb1="00000000"/>
  </w:font>
  <w:font w:name="Leelawadee UI">
    <w:panose1 w:val="020B0502040204020203"/>
    <w:charset w:val="00"/>
    <w:family w:val="swiss"/>
    <w:pitch w:val="variable"/>
    <w:sig w:usb0="A3000003" w:usb1="00000000" w:usb2="00010000" w:usb3="00000000" w:csb0="00010101" w:csb1="00000000"/>
  </w:font>
  <w:font w:name="AvenirNext LT Pro Thin">
    <w:altName w:val="Calibri"/>
    <w:panose1 w:val="00000000000000000000"/>
    <w:charset w:val="4D"/>
    <w:family w:val="swiss"/>
    <w:notTrueType/>
    <w:pitch w:val="variable"/>
    <w:sig w:usb0="A00000AF" w:usb1="5000204B" w:usb2="00000000" w:usb3="00000000" w:csb0="00000093" w:csb1="00000000"/>
  </w:font>
  <w:font w:name="Avenir Next LT Pro">
    <w:altName w:val="Calibri"/>
    <w:charset w:val="00"/>
    <w:family w:val="swiss"/>
    <w:pitch w:val="variable"/>
    <w:sig w:usb0="800000EF" w:usb1="5000204A" w:usb2="00000000" w:usb3="00000000" w:csb0="00000093" w:csb1="00000000"/>
  </w:font>
  <w:font w:name="Arial">
    <w:panose1 w:val="020B0604020202020204"/>
    <w:charset w:val="00"/>
    <w:family w:val="swiss"/>
    <w:pitch w:val="variable"/>
    <w:sig w:usb0="E0002EFF" w:usb1="C000785B" w:usb2="00000009" w:usb3="00000000" w:csb0="000001FF" w:csb1="00000000"/>
  </w:font>
  <w:font w:name="Avenir Next">
    <w:altName w:val="Cambria"/>
    <w:charset w:val="00"/>
    <w:family w:val="swiss"/>
    <w:pitch w:val="variable"/>
    <w:sig w:usb0="8000002F" w:usb1="5000204A" w:usb2="00000000" w:usb3="00000000" w:csb0="0000009B"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BDA7F6" w14:textId="7281642F" w:rsidR="00F448C8" w:rsidRDefault="00F448C8" w:rsidP="00F448C8">
    <w:pPr>
      <w:pStyle w:val="Footer"/>
      <w:tabs>
        <w:tab w:val="center" w:pos="4680"/>
        <w:tab w:val="right" w:pos="9360"/>
      </w:tabs>
      <w:overflowPunct w:val="0"/>
      <w:autoSpaceDE w:val="0"/>
      <w:autoSpaceDN w:val="0"/>
      <w:adjustRightInd w:val="0"/>
      <w:ind w:left="-720"/>
      <w:rPr>
        <w:rFonts w:ascii="Avenir Next" w:hAnsi="Avenir Next" w:cs="Arial"/>
        <w:sz w:val="16"/>
        <w:szCs w:val="16"/>
      </w:rPr>
    </w:pPr>
  </w:p>
  <w:p w14:paraId="52E16BCC" w14:textId="77777777" w:rsidR="003345B2" w:rsidRPr="00BF0333" w:rsidRDefault="00F448C8" w:rsidP="00264F92">
    <w:pPr>
      <w:pStyle w:val="Footer"/>
      <w:tabs>
        <w:tab w:val="center" w:pos="4680"/>
        <w:tab w:val="right" w:pos="9360"/>
      </w:tabs>
      <w:overflowPunct w:val="0"/>
      <w:autoSpaceDE w:val="0"/>
      <w:autoSpaceDN w:val="0"/>
      <w:adjustRightInd w:val="0"/>
      <w:ind w:left="-720"/>
      <w:rPr>
        <w:rFonts w:ascii="AvenirNext LT Pro Thin" w:hAnsi="AvenirNext LT Pro Thin"/>
        <w:color w:val="202A40"/>
        <w:sz w:val="20"/>
        <w:szCs w:val="20"/>
      </w:rPr>
    </w:pPr>
    <w:r w:rsidRPr="00BF0333">
      <w:rPr>
        <w:rFonts w:ascii="AvenirNext LT Pro Thin" w:hAnsi="AvenirNext LT Pro Thin" w:cs="Arial"/>
        <w:color w:val="202A40"/>
        <w:sz w:val="16"/>
        <w:szCs w:val="16"/>
      </w:rPr>
      <w:t>1551 S Robertson Blvd | Los Angeles, CA 90035</w:t>
    </w:r>
    <w:r w:rsidR="003845C1" w:rsidRPr="00BF0333">
      <w:rPr>
        <w:rFonts w:ascii="AvenirNext LT Pro Thin" w:hAnsi="AvenirNext LT Pro Thin"/>
        <w:noProof/>
        <w:color w:val="202A40"/>
        <w:sz w:val="20"/>
        <w:szCs w:val="20"/>
      </w:rPr>
      <w:drawing>
        <wp:anchor distT="0" distB="0" distL="114300" distR="114300" simplePos="0" relativeHeight="251658241" behindDoc="0" locked="0" layoutInCell="1" allowOverlap="1" wp14:anchorId="53120CE9" wp14:editId="768625E0">
          <wp:simplePos x="0" y="0"/>
          <wp:positionH relativeFrom="column">
            <wp:posOffset>4471035</wp:posOffset>
          </wp:positionH>
          <wp:positionV relativeFrom="paragraph">
            <wp:posOffset>-163830</wp:posOffset>
          </wp:positionV>
          <wp:extent cx="1626235" cy="374650"/>
          <wp:effectExtent l="0" t="0" r="0" b="635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D Name no Chair.png"/>
                  <pic:cNvPicPr/>
                </pic:nvPicPr>
                <pic:blipFill>
                  <a:blip r:embed="rId1"/>
                  <a:stretch>
                    <a:fillRect/>
                  </a:stretch>
                </pic:blipFill>
                <pic:spPr>
                  <a:xfrm>
                    <a:off x="0" y="0"/>
                    <a:ext cx="1626235" cy="374650"/>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9EB0136" w14:textId="77777777" w:rsidR="00570622" w:rsidRDefault="00570622" w:rsidP="00B9593F">
      <w:r>
        <w:separator/>
      </w:r>
    </w:p>
  </w:footnote>
  <w:footnote w:type="continuationSeparator" w:id="0">
    <w:p w14:paraId="77AC3A0F" w14:textId="77777777" w:rsidR="00570622" w:rsidRDefault="00570622" w:rsidP="00B9593F">
      <w:r>
        <w:continuationSeparator/>
      </w:r>
    </w:p>
  </w:footnote>
  <w:footnote w:type="continuationNotice" w:id="1">
    <w:p w14:paraId="5A1D80FA" w14:textId="77777777" w:rsidR="00570622" w:rsidRDefault="0057062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6F771A" w14:textId="68ED6186" w:rsidR="003345B2" w:rsidRDefault="0072038D">
    <w:pPr>
      <w:pStyle w:val="Header"/>
    </w:pPr>
    <w:r w:rsidRPr="00F228B5">
      <w:rPr>
        <w:rFonts w:ascii="AvenirNext LT Pro Thin" w:hAnsi="AvenirNext LT Pro Thin"/>
        <w:noProof/>
        <w:color w:val="202A40"/>
        <w:sz w:val="48"/>
        <w:szCs w:val="48"/>
      </w:rPr>
      <mc:AlternateContent>
        <mc:Choice Requires="wps">
          <w:drawing>
            <wp:anchor distT="0" distB="0" distL="114300" distR="114300" simplePos="0" relativeHeight="251658242" behindDoc="0" locked="0" layoutInCell="1" allowOverlap="1" wp14:anchorId="1D24A898" wp14:editId="22647E33">
              <wp:simplePos x="0" y="0"/>
              <wp:positionH relativeFrom="column">
                <wp:posOffset>-990115</wp:posOffset>
              </wp:positionH>
              <wp:positionV relativeFrom="paragraph">
                <wp:posOffset>0</wp:posOffset>
              </wp:positionV>
              <wp:extent cx="7461504" cy="0"/>
              <wp:effectExtent l="0" t="0" r="6350" b="12700"/>
              <wp:wrapNone/>
              <wp:docPr id="2" name="Straight Connector 2"/>
              <wp:cNvGraphicFramePr/>
              <a:graphic xmlns:a="http://schemas.openxmlformats.org/drawingml/2006/main">
                <a:graphicData uri="http://schemas.microsoft.com/office/word/2010/wordprocessingShape">
                  <wps:wsp>
                    <wps:cNvCnPr/>
                    <wps:spPr>
                      <a:xfrm>
                        <a:off x="0" y="0"/>
                        <a:ext cx="7461504" cy="0"/>
                      </a:xfrm>
                      <a:prstGeom prst="line">
                        <a:avLst/>
                      </a:prstGeom>
                      <a:ln>
                        <a:solidFill>
                          <a:srgbClr val="F04C23"/>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arto="http://schemas.microsoft.com/office/word/2006/arto">
          <w:pict>
            <v:line w14:anchorId="75F8D85A" id="Straight Connector 2"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7.95pt,0" to="509.5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" strokecolor="#f04c23"/>
          </w:pict>
        </mc:Fallback>
      </mc:AlternateContent>
    </w:r>
    <w:r w:rsidR="003845C1">
      <w:rPr>
        <w:noProof/>
      </w:rPr>
      <w:drawing>
        <wp:anchor distT="0" distB="0" distL="114300" distR="114300" simplePos="0" relativeHeight="251658240" behindDoc="0" locked="0" layoutInCell="1" allowOverlap="1" wp14:anchorId="044A4019" wp14:editId="2F89C331">
          <wp:simplePos x="0" y="0"/>
          <wp:positionH relativeFrom="column">
            <wp:posOffset>-994410</wp:posOffset>
          </wp:positionH>
          <wp:positionV relativeFrom="paragraph">
            <wp:posOffset>303530</wp:posOffset>
          </wp:positionV>
          <wp:extent cx="647700" cy="64770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quareChair.png"/>
                  <pic:cNvPicPr/>
                </pic:nvPicPr>
                <pic:blipFill>
                  <a:blip r:embed="rId1"/>
                  <a:stretch>
                    <a:fillRect/>
                  </a:stretch>
                </pic:blipFill>
                <pic:spPr>
                  <a:xfrm>
                    <a:off x="0" y="0"/>
                    <a:ext cx="647700" cy="6477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E87FFB"/>
    <w:multiLevelType w:val="hybridMultilevel"/>
    <w:tmpl w:val="1932D608"/>
    <w:lvl w:ilvl="0" w:tplc="4274AD8A">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573327F"/>
    <w:multiLevelType w:val="hybridMultilevel"/>
    <w:tmpl w:val="6FBC04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E51DC9"/>
    <w:multiLevelType w:val="hybridMultilevel"/>
    <w:tmpl w:val="EA485F0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4426A0"/>
    <w:multiLevelType w:val="hybridMultilevel"/>
    <w:tmpl w:val="16E017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35619D"/>
    <w:multiLevelType w:val="multilevel"/>
    <w:tmpl w:val="231A19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3B62AC"/>
    <w:multiLevelType w:val="hybridMultilevel"/>
    <w:tmpl w:val="666227B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16E2DB2"/>
    <w:multiLevelType w:val="hybridMultilevel"/>
    <w:tmpl w:val="94DC30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DBA3E90"/>
    <w:multiLevelType w:val="hybridMultilevel"/>
    <w:tmpl w:val="666227B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220768F"/>
    <w:multiLevelType w:val="hybridMultilevel"/>
    <w:tmpl w:val="411EA8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4326F98"/>
    <w:multiLevelType w:val="hybridMultilevel"/>
    <w:tmpl w:val="F334A2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9C5596B"/>
    <w:multiLevelType w:val="hybridMultilevel"/>
    <w:tmpl w:val="5CC67D4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2622F00"/>
    <w:multiLevelType w:val="hybridMultilevel"/>
    <w:tmpl w:val="1AC8EA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2640766"/>
    <w:multiLevelType w:val="hybridMultilevel"/>
    <w:tmpl w:val="CB4A691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4492CD8"/>
    <w:multiLevelType w:val="hybridMultilevel"/>
    <w:tmpl w:val="C5BAF016"/>
    <w:lvl w:ilvl="0" w:tplc="E3DE3D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5FC12B9A"/>
    <w:multiLevelType w:val="hybridMultilevel"/>
    <w:tmpl w:val="C48839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05A1B86"/>
    <w:multiLevelType w:val="multilevel"/>
    <w:tmpl w:val="532C4EB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8A36FCE"/>
    <w:multiLevelType w:val="hybridMultilevel"/>
    <w:tmpl w:val="1A0804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33B7BE5"/>
    <w:multiLevelType w:val="hybridMultilevel"/>
    <w:tmpl w:val="93F2368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49127D6"/>
    <w:multiLevelType w:val="hybridMultilevel"/>
    <w:tmpl w:val="07E8C6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98414DE"/>
    <w:multiLevelType w:val="hybridMultilevel"/>
    <w:tmpl w:val="1EA887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29658450">
    <w:abstractNumId w:val="13"/>
  </w:num>
  <w:num w:numId="2" w16cid:durableId="1962151515">
    <w:abstractNumId w:val="10"/>
  </w:num>
  <w:num w:numId="3" w16cid:durableId="78527573">
    <w:abstractNumId w:val="5"/>
  </w:num>
  <w:num w:numId="4" w16cid:durableId="2094935119">
    <w:abstractNumId w:val="7"/>
  </w:num>
  <w:num w:numId="5" w16cid:durableId="402144110">
    <w:abstractNumId w:val="12"/>
  </w:num>
  <w:num w:numId="6" w16cid:durableId="690181030">
    <w:abstractNumId w:val="0"/>
  </w:num>
  <w:num w:numId="7" w16cid:durableId="896668837">
    <w:abstractNumId w:val="2"/>
  </w:num>
  <w:num w:numId="8" w16cid:durableId="788088072">
    <w:abstractNumId w:val="11"/>
  </w:num>
  <w:num w:numId="9" w16cid:durableId="1586382060">
    <w:abstractNumId w:val="19"/>
  </w:num>
  <w:num w:numId="10" w16cid:durableId="687365442">
    <w:abstractNumId w:val="14"/>
  </w:num>
  <w:num w:numId="11" w16cid:durableId="211579620">
    <w:abstractNumId w:val="9"/>
  </w:num>
  <w:num w:numId="12" w16cid:durableId="593560753">
    <w:abstractNumId w:val="17"/>
  </w:num>
  <w:num w:numId="13" w16cid:durableId="1639802200">
    <w:abstractNumId w:val="15"/>
  </w:num>
  <w:num w:numId="14" w16cid:durableId="1521966942">
    <w:abstractNumId w:val="4"/>
  </w:num>
  <w:num w:numId="15" w16cid:durableId="554050836">
    <w:abstractNumId w:val="3"/>
  </w:num>
  <w:num w:numId="16" w16cid:durableId="37900370">
    <w:abstractNumId w:val="1"/>
  </w:num>
  <w:num w:numId="17" w16cid:durableId="1113473222">
    <w:abstractNumId w:val="16"/>
  </w:num>
  <w:num w:numId="18" w16cid:durableId="649213593">
    <w:abstractNumId w:val="8"/>
  </w:num>
  <w:num w:numId="19" w16cid:durableId="1409771003">
    <w:abstractNumId w:val="18"/>
  </w:num>
  <w:num w:numId="20" w16cid:durableId="45398278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236"/>
    <w:rsid w:val="00033061"/>
    <w:rsid w:val="00052CE2"/>
    <w:rsid w:val="000A3218"/>
    <w:rsid w:val="000A70B0"/>
    <w:rsid w:val="000A7877"/>
    <w:rsid w:val="0010577F"/>
    <w:rsid w:val="0011715D"/>
    <w:rsid w:val="00124D3A"/>
    <w:rsid w:val="00125582"/>
    <w:rsid w:val="00165B01"/>
    <w:rsid w:val="001808F7"/>
    <w:rsid w:val="00184B38"/>
    <w:rsid w:val="001B50A3"/>
    <w:rsid w:val="001C2E09"/>
    <w:rsid w:val="001C4002"/>
    <w:rsid w:val="001F52A9"/>
    <w:rsid w:val="00227409"/>
    <w:rsid w:val="00230AB7"/>
    <w:rsid w:val="00230BBE"/>
    <w:rsid w:val="00245673"/>
    <w:rsid w:val="00264F92"/>
    <w:rsid w:val="0027782F"/>
    <w:rsid w:val="002C7BF9"/>
    <w:rsid w:val="002D680F"/>
    <w:rsid w:val="002E3F89"/>
    <w:rsid w:val="002F3FC4"/>
    <w:rsid w:val="00310E16"/>
    <w:rsid w:val="00311F5D"/>
    <w:rsid w:val="00316F78"/>
    <w:rsid w:val="00322D13"/>
    <w:rsid w:val="003345B2"/>
    <w:rsid w:val="00340657"/>
    <w:rsid w:val="00354504"/>
    <w:rsid w:val="003769E6"/>
    <w:rsid w:val="003845C1"/>
    <w:rsid w:val="003B5B2D"/>
    <w:rsid w:val="003E2A6D"/>
    <w:rsid w:val="004009C6"/>
    <w:rsid w:val="004066AB"/>
    <w:rsid w:val="00407AAA"/>
    <w:rsid w:val="00413747"/>
    <w:rsid w:val="00424EB6"/>
    <w:rsid w:val="0048190C"/>
    <w:rsid w:val="00494A07"/>
    <w:rsid w:val="004A5186"/>
    <w:rsid w:val="004A7BC1"/>
    <w:rsid w:val="004D1DE9"/>
    <w:rsid w:val="004E1EFF"/>
    <w:rsid w:val="004F58C2"/>
    <w:rsid w:val="0053044E"/>
    <w:rsid w:val="00554C9A"/>
    <w:rsid w:val="00555979"/>
    <w:rsid w:val="00570622"/>
    <w:rsid w:val="00582481"/>
    <w:rsid w:val="0059434B"/>
    <w:rsid w:val="005D1FF6"/>
    <w:rsid w:val="00604EB2"/>
    <w:rsid w:val="00627D6B"/>
    <w:rsid w:val="006439EC"/>
    <w:rsid w:val="0065152E"/>
    <w:rsid w:val="00660A87"/>
    <w:rsid w:val="00684E9D"/>
    <w:rsid w:val="006979ED"/>
    <w:rsid w:val="006A5E2A"/>
    <w:rsid w:val="006E3108"/>
    <w:rsid w:val="0070075C"/>
    <w:rsid w:val="007123E0"/>
    <w:rsid w:val="0071413B"/>
    <w:rsid w:val="0072038D"/>
    <w:rsid w:val="00725240"/>
    <w:rsid w:val="00727FDB"/>
    <w:rsid w:val="00786D86"/>
    <w:rsid w:val="007956CD"/>
    <w:rsid w:val="007B4C75"/>
    <w:rsid w:val="007C5DC0"/>
    <w:rsid w:val="007E2F81"/>
    <w:rsid w:val="007E449C"/>
    <w:rsid w:val="0080084C"/>
    <w:rsid w:val="00833679"/>
    <w:rsid w:val="00846BAF"/>
    <w:rsid w:val="00852B5E"/>
    <w:rsid w:val="00886404"/>
    <w:rsid w:val="00891D59"/>
    <w:rsid w:val="008C3281"/>
    <w:rsid w:val="008C67DF"/>
    <w:rsid w:val="008D5557"/>
    <w:rsid w:val="008D7F32"/>
    <w:rsid w:val="00924473"/>
    <w:rsid w:val="00936CAC"/>
    <w:rsid w:val="0093798D"/>
    <w:rsid w:val="00941D74"/>
    <w:rsid w:val="00970CCB"/>
    <w:rsid w:val="00975D69"/>
    <w:rsid w:val="00995236"/>
    <w:rsid w:val="00996B19"/>
    <w:rsid w:val="009B102A"/>
    <w:rsid w:val="009D64D2"/>
    <w:rsid w:val="009E083D"/>
    <w:rsid w:val="009F63BD"/>
    <w:rsid w:val="00A25A9F"/>
    <w:rsid w:val="00A27D90"/>
    <w:rsid w:val="00A32E4D"/>
    <w:rsid w:val="00A37010"/>
    <w:rsid w:val="00A47DFE"/>
    <w:rsid w:val="00A84F3A"/>
    <w:rsid w:val="00A863C4"/>
    <w:rsid w:val="00AA0D3C"/>
    <w:rsid w:val="00AA1780"/>
    <w:rsid w:val="00AB7DA1"/>
    <w:rsid w:val="00AC0845"/>
    <w:rsid w:val="00AC1810"/>
    <w:rsid w:val="00AC3E49"/>
    <w:rsid w:val="00AD0332"/>
    <w:rsid w:val="00AE0EBE"/>
    <w:rsid w:val="00B078C0"/>
    <w:rsid w:val="00B436FF"/>
    <w:rsid w:val="00B500C3"/>
    <w:rsid w:val="00B74E8E"/>
    <w:rsid w:val="00B76DCB"/>
    <w:rsid w:val="00B86051"/>
    <w:rsid w:val="00B9593F"/>
    <w:rsid w:val="00B9706C"/>
    <w:rsid w:val="00BA2EAF"/>
    <w:rsid w:val="00BD04E4"/>
    <w:rsid w:val="00BD7834"/>
    <w:rsid w:val="00BF0333"/>
    <w:rsid w:val="00C22BA8"/>
    <w:rsid w:val="00C304D8"/>
    <w:rsid w:val="00C36F48"/>
    <w:rsid w:val="00C708A3"/>
    <w:rsid w:val="00C71F1A"/>
    <w:rsid w:val="00C83AAB"/>
    <w:rsid w:val="00C94E9D"/>
    <w:rsid w:val="00C958AC"/>
    <w:rsid w:val="00CC0C2A"/>
    <w:rsid w:val="00CE32A8"/>
    <w:rsid w:val="00CE550A"/>
    <w:rsid w:val="00CF4175"/>
    <w:rsid w:val="00D30119"/>
    <w:rsid w:val="00D6565C"/>
    <w:rsid w:val="00D86F91"/>
    <w:rsid w:val="00D87254"/>
    <w:rsid w:val="00DC2865"/>
    <w:rsid w:val="00DD21E7"/>
    <w:rsid w:val="00DF371D"/>
    <w:rsid w:val="00E179C7"/>
    <w:rsid w:val="00E409D3"/>
    <w:rsid w:val="00E5259F"/>
    <w:rsid w:val="00E54C82"/>
    <w:rsid w:val="00E56115"/>
    <w:rsid w:val="00E92E44"/>
    <w:rsid w:val="00EA2C3A"/>
    <w:rsid w:val="00EB3CA1"/>
    <w:rsid w:val="00ED7D07"/>
    <w:rsid w:val="00F00EC4"/>
    <w:rsid w:val="00F015C2"/>
    <w:rsid w:val="00F228B5"/>
    <w:rsid w:val="00F2606F"/>
    <w:rsid w:val="00F448C8"/>
    <w:rsid w:val="00F63A00"/>
    <w:rsid w:val="00F8538C"/>
    <w:rsid w:val="00FE2D2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7716283"/>
  <w14:defaultImageDpi w14:val="300"/>
  <w15:docId w15:val="{060B1FF6-8B70-4FC4-BBC8-533AB6173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9593F"/>
    <w:pPr>
      <w:tabs>
        <w:tab w:val="center" w:pos="4320"/>
        <w:tab w:val="right" w:pos="8640"/>
      </w:tabs>
    </w:pPr>
  </w:style>
  <w:style w:type="character" w:customStyle="1" w:styleId="HeaderChar">
    <w:name w:val="Header Char"/>
    <w:basedOn w:val="DefaultParagraphFont"/>
    <w:link w:val="Header"/>
    <w:uiPriority w:val="99"/>
    <w:rsid w:val="00B9593F"/>
  </w:style>
  <w:style w:type="paragraph" w:styleId="Footer">
    <w:name w:val="footer"/>
    <w:basedOn w:val="Normal"/>
    <w:link w:val="FooterChar"/>
    <w:uiPriority w:val="99"/>
    <w:unhideWhenUsed/>
    <w:rsid w:val="00B9593F"/>
    <w:pPr>
      <w:tabs>
        <w:tab w:val="center" w:pos="4320"/>
        <w:tab w:val="right" w:pos="8640"/>
      </w:tabs>
    </w:pPr>
  </w:style>
  <w:style w:type="character" w:customStyle="1" w:styleId="FooterChar">
    <w:name w:val="Footer Char"/>
    <w:basedOn w:val="DefaultParagraphFont"/>
    <w:link w:val="Footer"/>
    <w:uiPriority w:val="99"/>
    <w:rsid w:val="00B9593F"/>
  </w:style>
  <w:style w:type="paragraph" w:styleId="BalloonText">
    <w:name w:val="Balloon Text"/>
    <w:basedOn w:val="Normal"/>
    <w:link w:val="BalloonTextChar"/>
    <w:uiPriority w:val="99"/>
    <w:semiHidden/>
    <w:unhideWhenUsed/>
    <w:rsid w:val="00B9593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B9593F"/>
    <w:rPr>
      <w:rFonts w:ascii="Lucida Grande" w:hAnsi="Lucida Grande" w:cs="Lucida Grande"/>
      <w:sz w:val="18"/>
      <w:szCs w:val="18"/>
    </w:rPr>
  </w:style>
  <w:style w:type="paragraph" w:styleId="ListParagraph">
    <w:name w:val="List Paragraph"/>
    <w:basedOn w:val="Normal"/>
    <w:uiPriority w:val="34"/>
    <w:qFormat/>
    <w:rsid w:val="00EA2C3A"/>
    <w:pPr>
      <w:ind w:left="720"/>
      <w:contextualSpacing/>
    </w:pPr>
  </w:style>
  <w:style w:type="paragraph" w:styleId="DocumentMap">
    <w:name w:val="Document Map"/>
    <w:basedOn w:val="Normal"/>
    <w:link w:val="DocumentMapChar"/>
    <w:uiPriority w:val="99"/>
    <w:semiHidden/>
    <w:unhideWhenUsed/>
    <w:rsid w:val="00554C9A"/>
    <w:rPr>
      <w:rFonts w:ascii="Times New Roman" w:hAnsi="Times New Roman" w:cs="Times New Roman"/>
    </w:rPr>
  </w:style>
  <w:style w:type="character" w:customStyle="1" w:styleId="DocumentMapChar">
    <w:name w:val="Document Map Char"/>
    <w:basedOn w:val="DefaultParagraphFont"/>
    <w:link w:val="DocumentMap"/>
    <w:uiPriority w:val="99"/>
    <w:semiHidden/>
    <w:rsid w:val="00554C9A"/>
    <w:rPr>
      <w:rFonts w:ascii="Times New Roman" w:hAnsi="Times New Roman" w:cs="Times New Roman"/>
    </w:rPr>
  </w:style>
  <w:style w:type="character" w:styleId="Hyperlink">
    <w:name w:val="Hyperlink"/>
    <w:basedOn w:val="DefaultParagraphFont"/>
    <w:uiPriority w:val="99"/>
    <w:unhideWhenUsed/>
    <w:rsid w:val="00924473"/>
    <w:rPr>
      <w:color w:val="0000FF" w:themeColor="hyperlink"/>
      <w:u w:val="single"/>
    </w:rPr>
  </w:style>
  <w:style w:type="character" w:styleId="UnresolvedMention">
    <w:name w:val="Unresolved Mention"/>
    <w:basedOn w:val="DefaultParagraphFont"/>
    <w:uiPriority w:val="99"/>
    <w:rsid w:val="00924473"/>
    <w:rPr>
      <w:color w:val="605E5C"/>
      <w:shd w:val="clear" w:color="auto" w:fill="E1DFDD"/>
    </w:rPr>
  </w:style>
  <w:style w:type="character" w:styleId="FollowedHyperlink">
    <w:name w:val="FollowedHyperlink"/>
    <w:basedOn w:val="DefaultParagraphFont"/>
    <w:uiPriority w:val="99"/>
    <w:semiHidden/>
    <w:unhideWhenUsed/>
    <w:rsid w:val="006E3108"/>
    <w:rPr>
      <w:color w:val="800080" w:themeColor="followedHyperlink"/>
      <w:u w:val="single"/>
    </w:rPr>
  </w:style>
  <w:style w:type="table" w:customStyle="1" w:styleId="ListTable3-Accent11">
    <w:name w:val="List Table 3 - Accent 11"/>
    <w:basedOn w:val="TableNormal"/>
    <w:next w:val="ListTable3-Accent1"/>
    <w:uiPriority w:val="48"/>
    <w:rsid w:val="003769E6"/>
    <w:rPr>
      <w:rFonts w:ascii="Leelawadee UI" w:eastAsia="Times New Roman" w:hAnsi="Leelawadee UI"/>
      <w:bCs/>
      <w:color w:val="000000"/>
      <w:sz w:val="21"/>
      <w:szCs w:val="21"/>
    </w:rPr>
    <w:tblPr>
      <w:tblStyleRowBandSize w:val="1"/>
      <w:tblStyleColBandSize w:val="1"/>
      <w:tblBorders>
        <w:top w:val="single" w:sz="4" w:space="0" w:color="4F81BD"/>
        <w:left w:val="single" w:sz="4" w:space="0" w:color="4F81BD"/>
        <w:bottom w:val="single" w:sz="4" w:space="0" w:color="4F81BD"/>
        <w:right w:val="single" w:sz="4" w:space="0" w:color="4F81BD"/>
      </w:tblBorders>
    </w:tblPr>
    <w:tblStylePr w:type="firstRow">
      <w:rPr>
        <w:b/>
        <w:bCs/>
        <w:color w:val="FFFFFF"/>
      </w:rPr>
      <w:tblPr/>
      <w:tcPr>
        <w:shd w:val="clear" w:color="auto" w:fill="4F81BD"/>
      </w:tcPr>
    </w:tblStylePr>
    <w:tblStylePr w:type="lastRow">
      <w:rPr>
        <w:b/>
        <w:bCs/>
      </w:rPr>
      <w:tblPr/>
      <w:tcPr>
        <w:tcBorders>
          <w:top w:val="double" w:sz="4" w:space="0" w:color="4F81B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F81BD"/>
          <w:right w:val="single" w:sz="4" w:space="0" w:color="4F81BD"/>
        </w:tcBorders>
      </w:tcPr>
    </w:tblStylePr>
    <w:tblStylePr w:type="band1Horz">
      <w:tblPr/>
      <w:tcPr>
        <w:tcBorders>
          <w:top w:val="single" w:sz="4" w:space="0" w:color="4F81BD"/>
          <w:bottom w:val="single" w:sz="4" w:space="0" w:color="4F81B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left w:val="nil"/>
        </w:tcBorders>
      </w:tcPr>
    </w:tblStylePr>
    <w:tblStylePr w:type="swCell">
      <w:tblPr/>
      <w:tcPr>
        <w:tcBorders>
          <w:top w:val="double" w:sz="4" w:space="0" w:color="4F81BD"/>
          <w:right w:val="nil"/>
        </w:tcBorders>
      </w:tcPr>
    </w:tblStylePr>
  </w:style>
  <w:style w:type="table" w:styleId="ListTable3-Accent1">
    <w:name w:val="List Table 3 Accent 1"/>
    <w:basedOn w:val="TableNormal"/>
    <w:uiPriority w:val="48"/>
    <w:rsid w:val="003769E6"/>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8827344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genhart%20Family\Downloads\SD%20Letterhead%20202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D4335BF8BFE2454FA7559BD3EF9872EF" ma:contentTypeVersion="13" ma:contentTypeDescription="Create a new document." ma:contentTypeScope="" ma:versionID="345d489aad56c7dfaedc79f0e11e0606">
  <xsd:schema xmlns:xsd="http://www.w3.org/2001/XMLSchema" xmlns:xs="http://www.w3.org/2001/XMLSchema" xmlns:p="http://schemas.microsoft.com/office/2006/metadata/properties" xmlns:ns2="8f7967ef-d4b9-46eb-a00a-cea76822065d" xmlns:ns3="597ffc3d-bf2f-4287-acb8-5d708c02fe16" targetNamespace="http://schemas.microsoft.com/office/2006/metadata/properties" ma:root="true" ma:fieldsID="12176e0d0f22d8122547f7b0a34884e8" ns2:_="" ns3:_="">
    <xsd:import namespace="8f7967ef-d4b9-46eb-a00a-cea76822065d"/>
    <xsd:import namespace="597ffc3d-bf2f-4287-acb8-5d708c02fe16"/>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ServiceObjectDetectorVersion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7967ef-d4b9-46eb-a00a-cea76822065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6e8d7e2-ec86-4f22-a023-aaa323732ca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97ffc3d-bf2f-4287-acb8-5d708c02fe16"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ff24ceac-1051-48b5-85f6-c7e5541f9c4b}" ma:internalName="TaxCatchAll" ma:showField="CatchAllData" ma:web="597ffc3d-bf2f-4287-acb8-5d708c02fe1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f7967ef-d4b9-46eb-a00a-cea76822065d">
      <Terms xmlns="http://schemas.microsoft.com/office/infopath/2007/PartnerControls"/>
    </lcf76f155ced4ddcb4097134ff3c332f>
    <TaxCatchAll xmlns="597ffc3d-bf2f-4287-acb8-5d708c02fe16" xsi:nil="true"/>
  </documentManagement>
</p:properties>
</file>

<file path=customXml/itemProps1.xml><?xml version="1.0" encoding="utf-8"?>
<ds:datastoreItem xmlns:ds="http://schemas.openxmlformats.org/officeDocument/2006/customXml" ds:itemID="{8333037C-0CF7-0B4F-BB99-5D563C93433C}">
  <ds:schemaRefs>
    <ds:schemaRef ds:uri="http://schemas.openxmlformats.org/officeDocument/2006/bibliography"/>
  </ds:schemaRefs>
</ds:datastoreItem>
</file>

<file path=customXml/itemProps2.xml><?xml version="1.0" encoding="utf-8"?>
<ds:datastoreItem xmlns:ds="http://schemas.openxmlformats.org/officeDocument/2006/customXml" ds:itemID="{99383E2D-4D93-41B9-A58F-F323FEF5E6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f7967ef-d4b9-46eb-a00a-cea76822065d"/>
    <ds:schemaRef ds:uri="597ffc3d-bf2f-4287-acb8-5d708c02fe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57A57E2-3B5E-4D4A-B4DC-FC825F4B4FB7}">
  <ds:schemaRefs>
    <ds:schemaRef ds:uri="http://schemas.microsoft.com/sharepoint/v3/contenttype/forms"/>
  </ds:schemaRefs>
</ds:datastoreItem>
</file>

<file path=customXml/itemProps4.xml><?xml version="1.0" encoding="utf-8"?>
<ds:datastoreItem xmlns:ds="http://schemas.openxmlformats.org/officeDocument/2006/customXml" ds:itemID="{8603EFF8-AEB7-4E38-A6AE-8B9ED155486E}">
  <ds:schemaRefs>
    <ds:schemaRef ds:uri="http://schemas.microsoft.com/office/2006/metadata/properties"/>
    <ds:schemaRef ds:uri="http://schemas.microsoft.com/office/infopath/2007/PartnerControls"/>
    <ds:schemaRef ds:uri="8f7967ef-d4b9-46eb-a00a-cea76822065d"/>
    <ds:schemaRef ds:uri="597ffc3d-bf2f-4287-acb8-5d708c02fe16"/>
  </ds:schemaRefs>
</ds:datastoreItem>
</file>

<file path=docProps/app.xml><?xml version="1.0" encoding="utf-8"?>
<Properties xmlns="http://schemas.openxmlformats.org/officeDocument/2006/extended-properties" xmlns:vt="http://schemas.openxmlformats.org/officeDocument/2006/docPropsVTypes">
  <Template>SD Letterhead 2022.dotx</Template>
  <TotalTime>6</TotalTime>
  <Pages>1</Pages>
  <Words>945</Words>
  <Characters>5392</Characters>
  <Application>Microsoft Office Word</Application>
  <DocSecurity>4</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Dagenhart Family</dc:creator>
  <cp:keywords/>
  <dc:description/>
  <cp:lastModifiedBy>Risa Dagenhart</cp:lastModifiedBy>
  <cp:revision>9</cp:revision>
  <cp:lastPrinted>2020-01-17T18:23:00Z</cp:lastPrinted>
  <dcterms:created xsi:type="dcterms:W3CDTF">2023-02-13T02:38:00Z</dcterms:created>
  <dcterms:modified xsi:type="dcterms:W3CDTF">2024-01-15T18:20:00Z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0x010100D4335BF8BFE2454FA7559BD3EF9872EF</vt:lpwstr>
  </property>
  <property fmtid="{D5CDD505-2E9C-101B-9397-08002B2CF9AE}" pid="3" name="MediaServiceImageTags">
    <vt:lpwstr/>
  </property>
</Properties>
</file>