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77777777" w:rsidR="00AF4A58" w:rsidRDefault="00AF4A58" w:rsidP="00AF4A58">
      <w:pPr>
        <w:pStyle w:val="Titelunderrubrik"/>
        <w:ind w:left="567"/>
      </w:pPr>
      <w:r>
        <w:t>&lt;Sajtens namn&gt;</w:t>
      </w:r>
      <w:r>
        <w:br/>
      </w:r>
      <w:r w:rsidRPr="00AF4A58">
        <w:rPr>
          <w:sz w:val="32"/>
        </w:rPr>
        <w:t>&lt;Studentens namn&gt;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5737C789" w:rsidR="00AF4A58" w:rsidRPr="00DC3A0C" w:rsidRDefault="00DC3A0C" w:rsidP="00AB171B">
      <w:pPr>
        <w:ind w:firstLine="1304"/>
      </w:pPr>
      <w:r w:rsidRPr="00DC3A0C">
        <w:rPr>
          <w:rFonts w:ascii="Arial" w:hAnsi="Arial" w:cs="Arial"/>
        </w:rPr>
        <w:t xml:space="preserve">Baserat på </w:t>
      </w:r>
      <w:r w:rsidRPr="00DC3A0C">
        <w:rPr>
          <w:rFonts w:ascii="Arial" w:hAnsi="Arial" w:cs="Arial"/>
        </w:rPr>
        <w:t>ingrediens</w:t>
      </w:r>
      <w:r>
        <w:rPr>
          <w:rFonts w:ascii="Arial" w:hAnsi="Arial" w:cs="Arial"/>
        </w:rPr>
        <w:t>en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5FD3C2B6" w14:textId="77777777" w:rsidR="00AF4A58" w:rsidRPr="00AF4A58" w:rsidRDefault="00AF4A58" w:rsidP="00AF4A58">
      <w:pPr>
        <w:ind w:left="1276"/>
      </w:pP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t>Sitemap</w:t>
      </w:r>
      <w:bookmarkEnd w:id="12"/>
      <w:proofErr w:type="spellEnd"/>
    </w:p>
    <w:p w14:paraId="5FD3C2B8" w14:textId="77777777" w:rsidR="00AF4A58" w:rsidRPr="00AF4A58" w:rsidRDefault="00AF4A58" w:rsidP="00AF4A58">
      <w:pPr>
        <w:ind w:left="1276"/>
      </w:pP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A" w14:textId="77777777" w:rsidR="00AF4A58" w:rsidRPr="00AF4A58" w:rsidRDefault="00AF4A58" w:rsidP="00AF4A58">
      <w:pPr>
        <w:ind w:left="1276"/>
      </w:pPr>
    </w:p>
    <w:p w14:paraId="5FD3C2BB" w14:textId="77777777" w:rsidR="00543D94" w:rsidRPr="00543D94" w:rsidRDefault="00543D94" w:rsidP="00543D94"/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lastRenderedPageBreak/>
        <w:t>Layout och Design</w:t>
      </w:r>
      <w:bookmarkEnd w:id="14"/>
    </w:p>
    <w:p w14:paraId="5FD3C2BD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77777777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8"/>
      <w:headerReference w:type="default" r:id="rId9"/>
      <w:footerReference w:type="default" r:id="rId10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3C2C3" w14:textId="77777777" w:rsidR="00412F03" w:rsidRDefault="00412F03">
      <w:pPr>
        <w:spacing w:after="0" w:line="240" w:lineRule="auto"/>
      </w:pPr>
      <w:r>
        <w:separator/>
      </w:r>
    </w:p>
  </w:endnote>
  <w:endnote w:type="continuationSeparator" w:id="0">
    <w:p w14:paraId="5FD3C2C4" w14:textId="77777777" w:rsidR="00412F03" w:rsidRDefault="004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3C2C1" w14:textId="77777777" w:rsidR="00412F03" w:rsidRDefault="00412F03">
      <w:pPr>
        <w:spacing w:after="0" w:line="240" w:lineRule="auto"/>
      </w:pPr>
      <w:r>
        <w:separator/>
      </w:r>
    </w:p>
  </w:footnote>
  <w:footnote w:type="continuationSeparator" w:id="0">
    <w:p w14:paraId="5FD3C2C2" w14:textId="77777777" w:rsidR="00412F03" w:rsidRDefault="004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7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c>
        <w:tcPr>
          <w:tcW w:w="4111" w:type="dxa"/>
        </w:tcPr>
        <w:p w14:paraId="5FD3C2C8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77777777" w:rsidR="003A45C4" w:rsidRDefault="00AF4A58">
          <w:pPr>
            <w:pStyle w:val="Header"/>
          </w:pPr>
          <w:proofErr w:type="spellStart"/>
          <w:r>
            <w:t>åååå-mm-dd</w:t>
          </w:r>
          <w:proofErr w:type="spellEnd"/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6"/>
  </w:num>
  <w:num w:numId="23" w16cid:durableId="442892753">
    <w:abstractNumId w:val="7"/>
  </w:num>
  <w:num w:numId="24" w16cid:durableId="949169320">
    <w:abstractNumId w:val="4"/>
  </w:num>
  <w:num w:numId="25" w16cid:durableId="1810131659">
    <w:abstractNumId w:val="1"/>
  </w:num>
  <w:num w:numId="26" w16cid:durableId="1126772048">
    <w:abstractNumId w:val="8"/>
  </w:num>
  <w:num w:numId="27" w16cid:durableId="354615649">
    <w:abstractNumId w:val="5"/>
  </w:num>
  <w:num w:numId="28" w16cid:durableId="1796094301">
    <w:abstractNumId w:val="3"/>
  </w:num>
  <w:num w:numId="29" w16cid:durableId="81619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51E85"/>
    <w:rsid w:val="0005788B"/>
    <w:rsid w:val="00073999"/>
    <w:rsid w:val="00074155"/>
    <w:rsid w:val="00097B69"/>
    <w:rsid w:val="000B212E"/>
    <w:rsid w:val="000B5D46"/>
    <w:rsid w:val="000C60B5"/>
    <w:rsid w:val="000D7A29"/>
    <w:rsid w:val="000E7341"/>
    <w:rsid w:val="00105913"/>
    <w:rsid w:val="00127D99"/>
    <w:rsid w:val="001418EC"/>
    <w:rsid w:val="001623F6"/>
    <w:rsid w:val="00174F33"/>
    <w:rsid w:val="001A2051"/>
    <w:rsid w:val="001B5C06"/>
    <w:rsid w:val="001C6906"/>
    <w:rsid w:val="001D4C60"/>
    <w:rsid w:val="002000B4"/>
    <w:rsid w:val="00213A48"/>
    <w:rsid w:val="00241018"/>
    <w:rsid w:val="00242A9A"/>
    <w:rsid w:val="00246433"/>
    <w:rsid w:val="00274DE0"/>
    <w:rsid w:val="002C76EB"/>
    <w:rsid w:val="002D22FD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12F03"/>
    <w:rsid w:val="004259C7"/>
    <w:rsid w:val="00437EFA"/>
    <w:rsid w:val="00454F96"/>
    <w:rsid w:val="00463B2D"/>
    <w:rsid w:val="00482D16"/>
    <w:rsid w:val="004A5535"/>
    <w:rsid w:val="004B3265"/>
    <w:rsid w:val="004C2670"/>
    <w:rsid w:val="00506A98"/>
    <w:rsid w:val="00543D94"/>
    <w:rsid w:val="00564878"/>
    <w:rsid w:val="0057576D"/>
    <w:rsid w:val="00577932"/>
    <w:rsid w:val="00581160"/>
    <w:rsid w:val="00586C65"/>
    <w:rsid w:val="005909E2"/>
    <w:rsid w:val="00591C1A"/>
    <w:rsid w:val="005B6B19"/>
    <w:rsid w:val="005D509F"/>
    <w:rsid w:val="0061336A"/>
    <w:rsid w:val="006368CE"/>
    <w:rsid w:val="006420C6"/>
    <w:rsid w:val="00652BFC"/>
    <w:rsid w:val="006A4A22"/>
    <w:rsid w:val="006B7DC7"/>
    <w:rsid w:val="006D61FA"/>
    <w:rsid w:val="006F7DF1"/>
    <w:rsid w:val="00704C75"/>
    <w:rsid w:val="007203BD"/>
    <w:rsid w:val="007209D5"/>
    <w:rsid w:val="00720D80"/>
    <w:rsid w:val="00745767"/>
    <w:rsid w:val="00775A76"/>
    <w:rsid w:val="007817BA"/>
    <w:rsid w:val="00792DB1"/>
    <w:rsid w:val="007A2E20"/>
    <w:rsid w:val="007B6755"/>
    <w:rsid w:val="007C7AC7"/>
    <w:rsid w:val="007F2B88"/>
    <w:rsid w:val="008011E7"/>
    <w:rsid w:val="008019E6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F381B"/>
    <w:rsid w:val="00911786"/>
    <w:rsid w:val="009155F2"/>
    <w:rsid w:val="009166D0"/>
    <w:rsid w:val="00977176"/>
    <w:rsid w:val="00993AEE"/>
    <w:rsid w:val="009B0741"/>
    <w:rsid w:val="009C234A"/>
    <w:rsid w:val="009C2A8E"/>
    <w:rsid w:val="009F27D7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D175A"/>
    <w:rsid w:val="00AD5AFB"/>
    <w:rsid w:val="00AF4A58"/>
    <w:rsid w:val="00AF7D53"/>
    <w:rsid w:val="00B0762F"/>
    <w:rsid w:val="00B40FEC"/>
    <w:rsid w:val="00B42F59"/>
    <w:rsid w:val="00B64691"/>
    <w:rsid w:val="00B82E36"/>
    <w:rsid w:val="00B92A26"/>
    <w:rsid w:val="00B96B9B"/>
    <w:rsid w:val="00BB09AF"/>
    <w:rsid w:val="00BC68E4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F4574"/>
    <w:rsid w:val="00DF493F"/>
    <w:rsid w:val="00DF4ED1"/>
    <w:rsid w:val="00E230D0"/>
    <w:rsid w:val="00E37CA5"/>
    <w:rsid w:val="00E465EB"/>
    <w:rsid w:val="00E67BFC"/>
    <w:rsid w:val="00E75093"/>
    <w:rsid w:val="00E81CD6"/>
    <w:rsid w:val="00E87BCC"/>
    <w:rsid w:val="00E902CA"/>
    <w:rsid w:val="00EB4713"/>
    <w:rsid w:val="00EC32FE"/>
    <w:rsid w:val="00EC3D88"/>
    <w:rsid w:val="00EC63B1"/>
    <w:rsid w:val="00F107E4"/>
    <w:rsid w:val="00F43905"/>
    <w:rsid w:val="00F85280"/>
    <w:rsid w:val="00F975F8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D3C294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40</TotalTime>
  <Pages>4</Pages>
  <Words>261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72</cp:revision>
  <cp:lastPrinted>2018-04-25T08:58:00Z</cp:lastPrinted>
  <dcterms:created xsi:type="dcterms:W3CDTF">2022-10-26T12:33:00Z</dcterms:created>
  <dcterms:modified xsi:type="dcterms:W3CDTF">2025-10-28T23:00:00Z</dcterms:modified>
</cp:coreProperties>
</file>