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rtfolio_tracker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Portfolio Tracker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 Excel-based portfolio tracker for monitoring holdings, allocation, gains/losses, and top positions across stocks, ETFs, and alternative assets. The workbook currently contains a main portfolio overview sheet and a secondary data/history sheet, with summary metrics including total market value, total cost, total gain/loss, total return, asset allocation, and top 5 holdings [file:2].</w:t>
      </w:r>
    </w:p>
    <w:p>
      <w:pPr>
        <w:spacing w:line="360" w:before="315" w:after="105" w:lineRule="auto"/>
        <w:ind w:left="-30"/>
        <w:jc w:val="left"/>
      </w:pPr>
      <w:bookmarkStart w:id="1" w:name="what_this_workbook_do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this workbook does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tracker records each position with fields for ticker, name, shares, cost basis, current price, market value, total cost, gain/loss, return percentage, and portfolio weight [file:2]. It groups holdings into three buckets — stocks, ETFs, and alternative assets — and rolls them into a portfolio total section plus a summary area for allocation and concentration analysis [file:2].</w:t>
      </w:r>
    </w:p>
    <w:p>
      <w:pPr>
        <w:spacing w:line="360" w:before="315" w:after="105" w:lineRule="auto"/>
        <w:ind w:left="-30"/>
        <w:jc w:val="left"/>
      </w:pPr>
      <w:bookmarkStart w:id="2" w:name="workbook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Workbook structure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sheet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Sheet1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the main dashboard and holdings sheet. It includes the full position list, portfolio totals, asset-class allocation, and a ranked top-5 holdings section, making it the primary operating sheet for updates and review [file:2].</w:t>
      </w:r>
    </w:p>
    <w:p>
      <w:pPr>
        <w:spacing w:line="360" w:before="315" w:after="105" w:lineRule="auto"/>
        <w:ind w:left="-30"/>
        <w:jc w:val="left"/>
      </w:pPr>
      <w:bookmarkStart w:id="4" w:name="sheet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Sheet2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sheet appears to store supporting market data or price-history inputs, including date and close fields that can be used to feed pricing or chart logic elsewhere in the workbook [file:2].</w:t>
      </w:r>
    </w:p>
    <w:p>
      <w:pPr>
        <w:spacing w:line="360" w:before="315" w:after="105" w:lineRule="auto"/>
        <w:ind w:left="-30"/>
        <w:jc w:val="left"/>
      </w:pPr>
      <w:bookmarkStart w:id="5" w:name="main_metrics_track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Main metrics tracked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Total market value of the portfolio [file:2]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Total cost basis across all holdings [file:2]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Absolute gain/loss [file:2]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Total portfolio return percentage [file:2]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Number of holdings [file:2]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Asset allocation by category: stocks, ETFs, and alternatives [file:2]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Top 5 holdings by amount [file:2]</w:t>
      </w:r>
    </w:p>
    <w:p>
      <w:pPr>
        <w:spacing w:line="360" w:before="315" w:after="105" w:lineRule="auto"/>
        <w:ind w:left="-30"/>
        <w:jc w:val="left"/>
      </w:pPr>
      <w:bookmarkStart w:id="6" w:name="asset_categories_currently_us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Asset categories currently used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Stocks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Individual equity positions such as NVIDIA, Apple, Microsoft, Alphabet, Coca-Cola, PepsiCo, Meta, Amazon, Waste Management, Hormel, Nike, ASML, TELUS, Duke Energy, and Enbridge [file:2]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ETFs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Broad or thematic fund exposure, including QQQ-related and S&amp;P 500 positions [file:2]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Alternative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Non-core diversifiers such as gold, bitcoin exposure, and other non-traditional positions [file:2]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how_to_use_i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use it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Update the latest prices or refresh the input data feeding the current price column [file:2].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or edit positions in the holdings table by adjusting ticker, shares, and cost basis fields as needed [file:2].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Review the summary block to monitor total return, allocation drift, and concentration in the top holdings [file:2].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the ranking area and allocation section to spot overweights, underweights, and whether the portfolio is becoming too dependent on a few names [file:2].</w:t>
      </w:r>
    </w:p>
    <w:p>
      <w:pPr>
        <w:spacing w:line="360" w:before="315" w:after="105" w:lineRule="auto"/>
        <w:ind w:left="-30"/>
        <w:jc w:val="left"/>
      </w:pPr>
      <w:bookmarkStart w:id="8" w:name="why_this_tracker_is_usefu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Why this tracker is useful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workbook gives a compact view of both performance and risk concentration in a single file [file:2]. The combination of position-level return data, category allocation, and top-holdings ranking makes it practical for periodic rebalancing and for checking whether the portfolio still matches the intended strategy [file:2].</w:t>
      </w:r>
    </w:p>
    <w:p>
      <w:pPr>
        <w:spacing w:line="360" w:before="315" w:after="105" w:lineRule="auto"/>
        <w:ind w:left="-30"/>
        <w:jc w:val="left"/>
      </w:pPr>
      <w:bookmarkStart w:id="9" w:name="improvement_ide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Improvement ideas</w:t>
      </w:r>
      <w:bookmarkEnd w:id="9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a transaction log sheet so performance can be linked to buys, sells, dividends, and fees.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Separate input cells from formula cells with color coding and sheet protection.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benchmark tracking versus indices such as the S&amp;P 500, Nasdaq 100, or MSCI World.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time-series charts for portfolio value, drawdown, and allocation changes.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currency tracking if positions span USD, EUR, and other markets.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Include target allocation bands and automatic rebalance flags.</w:t>
      </w:r>
    </w:p>
    <w:p>
      <w:pPr>
        <w:spacing w:line="360" w:before="315" w:after="105" w:lineRule="auto"/>
        <w:ind w:left="-30"/>
        <w:jc w:val="left"/>
      </w:pPr>
      <w:bookmarkStart w:id="10" w:name="no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Notes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README reflects the workbook structure visible in the attached file at the time of review, including Sheet1 and Sheet2 plus the summary blocks and holdings categories currently present [file:2]. If formulas, data connections, or dashboard features are added later, this documentation should be updated to match the next version [file:2].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2026-06-02T19:31:40.512Z</dcterms:created>
  <dcterms:modified xsi:type="dcterms:W3CDTF">2026-06-02T19:31:40.512Z</dcterms:modified>
</cp:coreProperties>
</file>