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7379" w14:textId="19CCCA58" w:rsidR="00C4006C" w:rsidRDefault="00C4006C" w:rsidP="00C4006C">
      <w:r>
        <w:t>Insulin synthesis short notes:</w:t>
      </w:r>
    </w:p>
    <w:p w14:paraId="65D64611" w14:textId="52913F04" w:rsidR="00C4006C" w:rsidRDefault="00C4006C" w:rsidP="00C4006C">
      <w:pPr>
        <w:pStyle w:val="ListParagraph"/>
        <w:numPr>
          <w:ilvl w:val="0"/>
          <w:numId w:val="2"/>
        </w:numPr>
      </w:pPr>
      <w:r>
        <w:t>Includes H202 production through PDIA1disulfide bond creation and regeneration through ERO1 which turns 2 O2 into 2H2O2</w:t>
      </w:r>
    </w:p>
    <w:p w14:paraId="527CE0F0" w14:textId="3CD26894" w:rsidR="00C4006C" w:rsidRDefault="00C4006C" w:rsidP="00C4006C">
      <w:pPr>
        <w:pStyle w:val="ListParagraph"/>
        <w:numPr>
          <w:ilvl w:val="0"/>
          <w:numId w:val="2"/>
        </w:numPr>
      </w:pPr>
      <w:r>
        <w:t>SEC12 is important for COPII coat formation with pro-insulin, however on knockout this leads to aggregation of pro-insulin and other proteins which then lead to misfolding</w:t>
      </w:r>
    </w:p>
    <w:p w14:paraId="5712594A" w14:textId="72B97DDB" w:rsidR="00F077C6" w:rsidRDefault="00F077C6" w:rsidP="00C4006C">
      <w:pPr>
        <w:pStyle w:val="ListParagraph"/>
        <w:numPr>
          <w:ilvl w:val="0"/>
          <w:numId w:val="2"/>
        </w:numPr>
      </w:pPr>
      <w:r>
        <w:t>Sec62-depndent SRP recognition also exists, and is implied to be important in pre-pro-insulin translation, however the specific pathway is not known and thus not included here.</w:t>
      </w:r>
    </w:p>
    <w:p w14:paraId="30C0DD86" w14:textId="311388AB" w:rsidR="00C4006C" w:rsidRDefault="00C4006C" w:rsidP="00C4006C">
      <w:pPr>
        <w:pStyle w:val="ListParagraph"/>
        <w:numPr>
          <w:ilvl w:val="0"/>
          <w:numId w:val="2"/>
        </w:numPr>
      </w:pPr>
      <w:r>
        <w:t>The evidence for SEC24B’s involvement in pro-insulin trafficking is somewhat limited</w:t>
      </w:r>
    </w:p>
    <w:p w14:paraId="19DC8C2C" w14:textId="39217951" w:rsidR="00C4006C" w:rsidRDefault="00C4006C" w:rsidP="00C4006C">
      <w:pPr>
        <w:pStyle w:val="ListParagraph"/>
        <w:numPr>
          <w:ilvl w:val="0"/>
          <w:numId w:val="2"/>
        </w:numPr>
      </w:pPr>
      <w:r>
        <w:t xml:space="preserve">MIA2 or cTAGE5 is only involved directly in mouse cells (even though they did return </w:t>
      </w:r>
      <w:r w:rsidR="00321815">
        <w:t>function after adding human MIA2 to their cells after knockout)</w:t>
      </w:r>
    </w:p>
    <w:p w14:paraId="029ABDC4" w14:textId="51902241" w:rsidR="00321815" w:rsidRDefault="00321815" w:rsidP="00C4006C">
      <w:pPr>
        <w:pStyle w:val="ListParagraph"/>
        <w:numPr>
          <w:ilvl w:val="0"/>
          <w:numId w:val="2"/>
        </w:numPr>
      </w:pPr>
      <w:r>
        <w:t>SEC31B has low RNA expression (but potentially high protein-to-RNA ratio) in pancreatic islet cells. In addition the evidence for whether SEC31A or B (or both) are involved is missing (both are included in an OR rule for now)</w:t>
      </w:r>
    </w:p>
    <w:p w14:paraId="76969BE4" w14:textId="5D50FBF8" w:rsidR="00C4006C" w:rsidRDefault="00C4006C" w:rsidP="00C4006C">
      <w:pPr>
        <w:pStyle w:val="ListParagraph"/>
        <w:numPr>
          <w:ilvl w:val="0"/>
          <w:numId w:val="2"/>
        </w:numPr>
      </w:pPr>
      <w:r>
        <w:t>Is utilizing base COPII-mediated transpor</w:t>
      </w:r>
      <w:r w:rsidR="0092632B">
        <w:t>t</w:t>
      </w:r>
      <w:r>
        <w:t xml:space="preserve"> in addition to</w:t>
      </w:r>
      <w:r w:rsidR="0092632B">
        <w:t>: Sec16a, WFS1, SURF4, ERP29, MIA2, IER3IP1</w:t>
      </w:r>
    </w:p>
    <w:p w14:paraId="3D08307C" w14:textId="5FF3FBB5" w:rsidR="00C4006C" w:rsidRDefault="00C4006C" w:rsidP="00C4006C">
      <w:pPr>
        <w:pStyle w:val="ListParagraph"/>
        <w:numPr>
          <w:ilvl w:val="0"/>
          <w:numId w:val="2"/>
        </w:numPr>
      </w:pPr>
      <w:r>
        <w:t xml:space="preserve">Is utilizing base clathrin-mediated transport with AP-1 mu1 adapters, in addition to: </w:t>
      </w:r>
      <w:r w:rsidR="00E7022D">
        <w:t>CHG, VGF, PTPRN2, SGC3, ARF1, PICK1, ICA1</w:t>
      </w:r>
    </w:p>
    <w:p w14:paraId="220B36C6" w14:textId="01737791" w:rsidR="0092632B" w:rsidRDefault="0092632B" w:rsidP="00C4006C">
      <w:pPr>
        <w:pStyle w:val="ListParagraph"/>
        <w:numPr>
          <w:ilvl w:val="0"/>
          <w:numId w:val="2"/>
        </w:numPr>
      </w:pPr>
      <w:r>
        <w:t>Chromogranin A and B are most likely paralogs, but form together in granules. This might be further elucidated as the evidence is a little scarce.</w:t>
      </w:r>
    </w:p>
    <w:p w14:paraId="202F67BA" w14:textId="7F5016FF" w:rsidR="00321815" w:rsidRDefault="00321815" w:rsidP="00C4006C">
      <w:pPr>
        <w:pStyle w:val="ListParagraph"/>
        <w:numPr>
          <w:ilvl w:val="0"/>
          <w:numId w:val="2"/>
        </w:numPr>
      </w:pPr>
      <w:r>
        <w:t>AP-1 mu1 also (according to STRING) interacts with 2 additional subunits G2 and S3, which weren’t mentioned in the canonical AP1</w:t>
      </w:r>
      <w:r w:rsidR="00B51804">
        <w:t xml:space="preserve"> subunits, but might with further searching also be involved in pro-insulin trafficking to the stress granules</w:t>
      </w:r>
    </w:p>
    <w:p w14:paraId="13B7B2CA" w14:textId="4785AFCC" w:rsidR="00B51804" w:rsidRDefault="00B51804" w:rsidP="00C4006C">
      <w:pPr>
        <w:pStyle w:val="ListParagraph"/>
        <w:numPr>
          <w:ilvl w:val="0"/>
          <w:numId w:val="2"/>
        </w:numPr>
      </w:pPr>
      <w:r>
        <w:t>Compartment stress granule [s] has been added in this task</w:t>
      </w:r>
    </w:p>
    <w:p w14:paraId="63979A81" w14:textId="7C870F00" w:rsidR="00FD096F" w:rsidRDefault="00FD096F" w:rsidP="00C4006C">
      <w:pPr>
        <w:pStyle w:val="ListParagraph"/>
        <w:numPr>
          <w:ilvl w:val="0"/>
          <w:numId w:val="2"/>
        </w:numPr>
      </w:pPr>
      <w:r>
        <w:t>It is not entirely clear whether PC2’s dependence on 7B2 is the case for first PC2 reaction, or also for the PC2 +CPE reaction.</w:t>
      </w:r>
    </w:p>
    <w:p w14:paraId="12E27295" w14:textId="2AF1CE83" w:rsidR="00556C2D" w:rsidRDefault="00556C2D" w:rsidP="00C4006C">
      <w:pPr>
        <w:pStyle w:val="ListParagraph"/>
        <w:numPr>
          <w:ilvl w:val="0"/>
          <w:numId w:val="2"/>
        </w:numPr>
      </w:pPr>
      <w:r>
        <w:t xml:space="preserve">It also somewhat unclear what pro-insulin-dimerization actually means, as it appears that some articles indicate </w:t>
      </w:r>
      <w:r w:rsidR="00AA3758">
        <w:t>that it is the hetero/homo dimerization of 2 beta chains of separate pro-insulin molecules.</w:t>
      </w:r>
    </w:p>
    <w:p w14:paraId="42F9C0A7" w14:textId="39700933" w:rsidR="00C4006C" w:rsidRPr="00C4006C" w:rsidRDefault="00AA3758" w:rsidP="00FD096F">
      <w:pPr>
        <w:pStyle w:val="ListParagraph"/>
        <w:numPr>
          <w:ilvl w:val="0"/>
          <w:numId w:val="2"/>
        </w:numPr>
      </w:pPr>
      <w:r>
        <w:t xml:space="preserve">Pro-insulin is o-glycosylated, however this was only recently found through mass-spec and no involved enzyme was identified, nor is its function relevant. </w:t>
      </w:r>
      <w:r>
        <w:rPr>
          <w:b/>
          <w:bCs/>
        </w:rPr>
        <w:t xml:space="preserve">Therefore </w:t>
      </w:r>
      <w:r w:rsidR="00F5332F">
        <w:rPr>
          <w:b/>
          <w:bCs/>
        </w:rPr>
        <w:t xml:space="preserve">we added an </w:t>
      </w:r>
      <w:r w:rsidR="00BB3F70">
        <w:rPr>
          <w:b/>
          <w:bCs/>
        </w:rPr>
        <w:t>orphan</w:t>
      </w:r>
      <w:r>
        <w:rPr>
          <w:b/>
          <w:bCs/>
        </w:rPr>
        <w:t xml:space="preserve"> reaction with glycosylation</w:t>
      </w:r>
      <w:r w:rsidR="00FF1B1C">
        <w:rPr>
          <w:b/>
          <w:bCs/>
        </w:rPr>
        <w:t xml:space="preserve">, in later research we might want to find the responsible enzyme </w:t>
      </w:r>
      <w:r w:rsidRPr="00AA3758">
        <w:rPr>
          <w:b/>
          <w:bCs/>
        </w:rPr>
        <w:t>https://pmc.ncbi.nlm.nih.gov/articles/PMC6314835/</w:t>
      </w:r>
    </w:p>
    <w:sectPr w:rsidR="00C4006C" w:rsidRPr="00C4006C" w:rsidSect="00462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4CE3F" w14:textId="77777777" w:rsidR="0023251B" w:rsidRDefault="0023251B" w:rsidP="00742673">
      <w:pPr>
        <w:spacing w:after="0" w:line="240" w:lineRule="auto"/>
      </w:pPr>
      <w:r>
        <w:separator/>
      </w:r>
    </w:p>
  </w:endnote>
  <w:endnote w:type="continuationSeparator" w:id="0">
    <w:p w14:paraId="37ACA317" w14:textId="77777777" w:rsidR="0023251B" w:rsidRDefault="0023251B" w:rsidP="00742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BF64A" w14:textId="77777777" w:rsidR="0023251B" w:rsidRDefault="0023251B" w:rsidP="00742673">
      <w:pPr>
        <w:spacing w:after="0" w:line="240" w:lineRule="auto"/>
      </w:pPr>
      <w:r>
        <w:separator/>
      </w:r>
    </w:p>
  </w:footnote>
  <w:footnote w:type="continuationSeparator" w:id="0">
    <w:p w14:paraId="0474DEC2" w14:textId="77777777" w:rsidR="0023251B" w:rsidRDefault="0023251B" w:rsidP="00742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11EEB"/>
    <w:multiLevelType w:val="hybridMultilevel"/>
    <w:tmpl w:val="4C8E6ADA"/>
    <w:lvl w:ilvl="0" w:tplc="36024D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20290"/>
    <w:multiLevelType w:val="hybridMultilevel"/>
    <w:tmpl w:val="B4B4150A"/>
    <w:lvl w:ilvl="0" w:tplc="915853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725372">
    <w:abstractNumId w:val="1"/>
  </w:num>
  <w:num w:numId="2" w16cid:durableId="1277254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60"/>
    <w:rsid w:val="000074CF"/>
    <w:rsid w:val="00007E60"/>
    <w:rsid w:val="00074ADD"/>
    <w:rsid w:val="000819D2"/>
    <w:rsid w:val="000966C1"/>
    <w:rsid w:val="00143A89"/>
    <w:rsid w:val="00186BC7"/>
    <w:rsid w:val="001E11D7"/>
    <w:rsid w:val="001E2895"/>
    <w:rsid w:val="001E50BC"/>
    <w:rsid w:val="00213B9A"/>
    <w:rsid w:val="0023251B"/>
    <w:rsid w:val="002737C1"/>
    <w:rsid w:val="002863C5"/>
    <w:rsid w:val="00296A8C"/>
    <w:rsid w:val="002A67A0"/>
    <w:rsid w:val="002D0C2D"/>
    <w:rsid w:val="00321815"/>
    <w:rsid w:val="003230F8"/>
    <w:rsid w:val="00350F22"/>
    <w:rsid w:val="00361C55"/>
    <w:rsid w:val="003E685D"/>
    <w:rsid w:val="0044431E"/>
    <w:rsid w:val="004626FE"/>
    <w:rsid w:val="00463B1F"/>
    <w:rsid w:val="0047762C"/>
    <w:rsid w:val="004A18C6"/>
    <w:rsid w:val="004A27AB"/>
    <w:rsid w:val="004A2BE2"/>
    <w:rsid w:val="004B75A6"/>
    <w:rsid w:val="004C5A29"/>
    <w:rsid w:val="0054390E"/>
    <w:rsid w:val="00556C2D"/>
    <w:rsid w:val="00574FA9"/>
    <w:rsid w:val="00585630"/>
    <w:rsid w:val="00591A1F"/>
    <w:rsid w:val="005B568A"/>
    <w:rsid w:val="005C4B20"/>
    <w:rsid w:val="005C74A5"/>
    <w:rsid w:val="006071CA"/>
    <w:rsid w:val="006F0A7E"/>
    <w:rsid w:val="00700985"/>
    <w:rsid w:val="00722E12"/>
    <w:rsid w:val="00742673"/>
    <w:rsid w:val="007A1EA9"/>
    <w:rsid w:val="008045A7"/>
    <w:rsid w:val="00824DE6"/>
    <w:rsid w:val="00857310"/>
    <w:rsid w:val="0087142D"/>
    <w:rsid w:val="008C3587"/>
    <w:rsid w:val="008D726D"/>
    <w:rsid w:val="0092632B"/>
    <w:rsid w:val="009362CB"/>
    <w:rsid w:val="00944BAC"/>
    <w:rsid w:val="009B2C10"/>
    <w:rsid w:val="00A02E18"/>
    <w:rsid w:val="00A31CDB"/>
    <w:rsid w:val="00A84640"/>
    <w:rsid w:val="00AA3758"/>
    <w:rsid w:val="00B072E5"/>
    <w:rsid w:val="00B15585"/>
    <w:rsid w:val="00B27EDE"/>
    <w:rsid w:val="00B37156"/>
    <w:rsid w:val="00B41B1A"/>
    <w:rsid w:val="00B51804"/>
    <w:rsid w:val="00B8127F"/>
    <w:rsid w:val="00B87F27"/>
    <w:rsid w:val="00BB3F70"/>
    <w:rsid w:val="00C21E94"/>
    <w:rsid w:val="00C4006C"/>
    <w:rsid w:val="00C470CA"/>
    <w:rsid w:val="00C738FD"/>
    <w:rsid w:val="00E23208"/>
    <w:rsid w:val="00E456E4"/>
    <w:rsid w:val="00E7022D"/>
    <w:rsid w:val="00E95DA3"/>
    <w:rsid w:val="00F02D9D"/>
    <w:rsid w:val="00F05F60"/>
    <w:rsid w:val="00F07796"/>
    <w:rsid w:val="00F077C6"/>
    <w:rsid w:val="00F417CD"/>
    <w:rsid w:val="00F5332F"/>
    <w:rsid w:val="00F63328"/>
    <w:rsid w:val="00F65A85"/>
    <w:rsid w:val="00FC427F"/>
    <w:rsid w:val="00FD096F"/>
    <w:rsid w:val="00FF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3A1D"/>
  <w15:chartTrackingRefBased/>
  <w15:docId w15:val="{4EA79C7B-6B00-4801-B253-3CF5BB89A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E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E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2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673"/>
  </w:style>
  <w:style w:type="paragraph" w:styleId="Footer">
    <w:name w:val="footer"/>
    <w:basedOn w:val="Normal"/>
    <w:link w:val="FooterChar"/>
    <w:uiPriority w:val="99"/>
    <w:unhideWhenUsed/>
    <w:rsid w:val="00742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619F2-EFFF-43A0-9D90-B5C81E6C6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Bonthuis, Jelle (MACSBIO)</dc:creator>
  <cp:keywords/>
  <dc:description/>
  <cp:lastModifiedBy>Bonthuis, Jelle (MACSBIO)</cp:lastModifiedBy>
  <cp:revision>28</cp:revision>
  <dcterms:created xsi:type="dcterms:W3CDTF">2025-11-27T10:05:00Z</dcterms:created>
  <dcterms:modified xsi:type="dcterms:W3CDTF">2025-12-17T12:18:00Z</dcterms:modified>
</cp:coreProperties>
</file>