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DEA6" w14:textId="77777777" w:rsidR="00A12191" w:rsidRDefault="00000000">
      <w:pPr>
        <w:rPr>
          <w:rFonts w:ascii="Roboto" w:eastAsia="Roboto" w:hAnsi="Roboto" w:cs="Roboto"/>
          <w:b/>
          <w:bCs/>
          <w:sz w:val="26"/>
          <w:szCs w:val="26"/>
        </w:rPr>
      </w:pPr>
      <w:r>
        <w:rPr>
          <w:rFonts w:ascii="Roboto" w:eastAsia="Roboto" w:hAnsi="Roboto" w:cs="Roboto"/>
          <w:b/>
          <w:bCs/>
          <w:sz w:val="26"/>
          <w:szCs w:val="26"/>
        </w:rPr>
        <w:t>Gastrin short notes</w:t>
      </w:r>
    </w:p>
    <w:p w14:paraId="4BB7549B" w14:textId="77777777" w:rsidR="00A12191" w:rsidRDefault="00000000">
      <w:pPr>
        <w:numPr>
          <w:ilvl w:val="0"/>
          <w:numId w:val="5"/>
        </w:numPr>
        <w:shd w:val="clear" w:color="auto" w:fill="FFFFFF"/>
        <w:spacing w:line="342" w:lineRule="auto"/>
        <w:jc w:val="both"/>
        <w:rPr>
          <w:rFonts w:ascii="Roboto" w:eastAsia="Roboto" w:hAnsi="Roboto" w:cs="Roboto"/>
          <w:b/>
          <w:bCs/>
          <w:color w:val="444746"/>
          <w:highlight w:val="white"/>
        </w:rPr>
      </w:pPr>
      <w:r>
        <w:rPr>
          <w:rFonts w:ascii="Roboto" w:eastAsia="Roboto" w:hAnsi="Roboto" w:cs="Roboto"/>
          <w:b/>
          <w:bCs/>
          <w:color w:val="444746"/>
          <w:highlight w:val="white"/>
        </w:rPr>
        <w:t xml:space="preserve">No specific information about the transport of progastrin to the ER by SRP was found. We assumed that this was a general pathway for many secretory proteins, which is the case for gastrin, and therefore included it. </w:t>
      </w:r>
    </w:p>
    <w:p w14:paraId="53359107" w14:textId="77777777" w:rsidR="00A12191" w:rsidRDefault="00000000">
      <w:pPr>
        <w:numPr>
          <w:ilvl w:val="0"/>
          <w:numId w:val="5"/>
        </w:numPr>
        <w:shd w:val="clear" w:color="auto" w:fill="FFFFFF"/>
        <w:spacing w:line="342" w:lineRule="auto"/>
        <w:jc w:val="both"/>
        <w:rPr>
          <w:rFonts w:ascii="Roboto" w:eastAsia="Roboto" w:hAnsi="Roboto" w:cs="Roboto"/>
          <w:b/>
          <w:bCs/>
          <w:color w:val="444746"/>
          <w:highlight w:val="white"/>
        </w:rPr>
      </w:pPr>
      <w:r>
        <w:rPr>
          <w:rFonts w:ascii="Roboto" w:eastAsia="Roboto" w:hAnsi="Roboto" w:cs="Roboto"/>
          <w:b/>
          <w:bCs/>
          <w:color w:val="444746"/>
          <w:highlight w:val="white"/>
        </w:rPr>
        <w:t xml:space="preserve">For the GPR rules of the SRP enzyme  it is unclear whether SRP68 and SRP72 have to be both present in order for it to work as the image suggests either of them can be present. This is also observed in SRP9 and SRP14. </w:t>
      </w:r>
      <w:r>
        <w:rPr>
          <w:rFonts w:ascii="Roboto" w:eastAsia="Roboto" w:hAnsi="Roboto" w:cs="Roboto"/>
          <w:noProof/>
        </w:rPr>
        <w:drawing>
          <wp:inline distT="114300" distB="114300" distL="114300" distR="114300" wp14:anchorId="7720B076" wp14:editId="3C1E9268">
            <wp:extent cx="3586163" cy="23048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586163" cy="2304849"/>
                    </a:xfrm>
                    <a:prstGeom prst="rect">
                      <a:avLst/>
                    </a:prstGeom>
                    <a:ln/>
                  </pic:spPr>
                </pic:pic>
              </a:graphicData>
            </a:graphic>
          </wp:inline>
        </w:drawing>
      </w:r>
    </w:p>
    <w:p w14:paraId="4909A7C3" w14:textId="77777777" w:rsidR="00A12191" w:rsidRDefault="00000000">
      <w:pPr>
        <w:rPr>
          <w:rFonts w:ascii="Roboto" w:eastAsia="Roboto" w:hAnsi="Roboto" w:cs="Roboto"/>
        </w:rPr>
      </w:pPr>
      <w:r>
        <w:rPr>
          <w:rFonts w:ascii="Roboto" w:eastAsia="Roboto" w:hAnsi="Roboto" w:cs="Roboto"/>
          <w:b/>
          <w:bCs/>
          <w:color w:val="2A2A2A"/>
          <w:highlight w:val="white"/>
        </w:rPr>
        <w:t xml:space="preserve">From: </w:t>
      </w:r>
      <w:hyperlink r:id="rId8">
        <w:r>
          <w:rPr>
            <w:rFonts w:ascii="Roboto" w:eastAsia="Roboto" w:hAnsi="Roboto" w:cs="Roboto"/>
            <w:b/>
            <w:bCs/>
            <w:color w:val="1155CC"/>
            <w:highlight w:val="white"/>
            <w:u w:val="single"/>
          </w:rPr>
          <w:t>NEW EMBO MEMBER’S REVIEW: Structure, function and evolution of the signal recognition particle - PMC</w:t>
        </w:r>
      </w:hyperlink>
    </w:p>
    <w:p w14:paraId="1275C51A" w14:textId="77777777" w:rsidR="00A12191" w:rsidRDefault="00A12191">
      <w:pPr>
        <w:rPr>
          <w:rFonts w:ascii="Roboto" w:eastAsia="Roboto" w:hAnsi="Roboto" w:cs="Roboto"/>
        </w:rPr>
      </w:pPr>
    </w:p>
    <w:p w14:paraId="4B172114" w14:textId="77777777" w:rsidR="00A12191" w:rsidRDefault="00000000">
      <w:pPr>
        <w:numPr>
          <w:ilvl w:val="0"/>
          <w:numId w:val="3"/>
        </w:numPr>
        <w:rPr>
          <w:rFonts w:ascii="Roboto" w:eastAsia="Roboto" w:hAnsi="Roboto" w:cs="Roboto"/>
        </w:rPr>
      </w:pPr>
      <w:r>
        <w:rPr>
          <w:rFonts w:ascii="Roboto" w:eastAsia="Roboto" w:hAnsi="Roboto" w:cs="Roboto"/>
          <w:b/>
          <w:bCs/>
          <w:color w:val="444746"/>
          <w:highlight w:val="white"/>
        </w:rPr>
        <w:t>Unlike most peptide hormones, gastrin synthesis does not include disulfide bond formation, as progastrin does not have cysteine residues in its amino acid sequence.</w:t>
      </w:r>
    </w:p>
    <w:p w14:paraId="515CE3AA" w14:textId="77777777" w:rsidR="00A12191" w:rsidRDefault="00000000">
      <w:pPr>
        <w:rPr>
          <w:rFonts w:ascii="Roboto" w:eastAsia="Roboto" w:hAnsi="Roboto" w:cs="Roboto"/>
        </w:rPr>
      </w:pPr>
      <w:r>
        <w:rPr>
          <w:rFonts w:ascii="Roboto" w:eastAsia="Roboto" w:hAnsi="Roboto" w:cs="Roboto"/>
          <w:noProof/>
        </w:rPr>
        <w:drawing>
          <wp:inline distT="114300" distB="114300" distL="114300" distR="114300" wp14:anchorId="7BE37D10" wp14:editId="6141D47C">
            <wp:extent cx="4971929" cy="326231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971929" cy="3262313"/>
                    </a:xfrm>
                    <a:prstGeom prst="rect">
                      <a:avLst/>
                    </a:prstGeom>
                    <a:ln/>
                  </pic:spPr>
                </pic:pic>
              </a:graphicData>
            </a:graphic>
          </wp:inline>
        </w:drawing>
      </w:r>
    </w:p>
    <w:p w14:paraId="7396E412" w14:textId="77777777" w:rsidR="00A12191" w:rsidRDefault="00000000">
      <w:pPr>
        <w:rPr>
          <w:rFonts w:ascii="Roboto" w:eastAsia="Roboto" w:hAnsi="Roboto" w:cs="Roboto"/>
        </w:rPr>
      </w:pPr>
      <w:r>
        <w:rPr>
          <w:rFonts w:ascii="Roboto" w:eastAsia="Roboto" w:hAnsi="Roboto" w:cs="Roboto"/>
          <w:b/>
          <w:bCs/>
          <w:color w:val="444746"/>
          <w:highlight w:val="white"/>
        </w:rPr>
        <w:t>From</w:t>
      </w:r>
      <w:r>
        <w:rPr>
          <w:rFonts w:ascii="Roboto" w:eastAsia="Roboto" w:hAnsi="Roboto" w:cs="Roboto"/>
        </w:rPr>
        <w:t xml:space="preserve">: </w:t>
      </w:r>
      <w:hyperlink r:id="rId10">
        <w:r>
          <w:rPr>
            <w:rFonts w:ascii="Roboto" w:eastAsia="Roboto" w:hAnsi="Roboto" w:cs="Roboto"/>
            <w:color w:val="1155CC"/>
            <w:u w:val="single"/>
          </w:rPr>
          <w:t>Gastrin Processing: From Biochemical Obscurity to Unique Physiological Actions</w:t>
        </w:r>
      </w:hyperlink>
    </w:p>
    <w:p w14:paraId="7EB87548" w14:textId="77777777" w:rsidR="00A12191" w:rsidRDefault="00000000">
      <w:pPr>
        <w:numPr>
          <w:ilvl w:val="0"/>
          <w:numId w:val="1"/>
        </w:numPr>
        <w:rPr>
          <w:rFonts w:ascii="Roboto" w:eastAsia="Roboto" w:hAnsi="Roboto" w:cs="Roboto"/>
        </w:rPr>
      </w:pPr>
      <w:r>
        <w:rPr>
          <w:rFonts w:ascii="Roboto" w:eastAsia="Roboto" w:hAnsi="Roboto" w:cs="Roboto"/>
          <w:b/>
          <w:bCs/>
          <w:color w:val="444746"/>
          <w:highlight w:val="white"/>
        </w:rPr>
        <w:lastRenderedPageBreak/>
        <w:t>Literature suggests that progastrin does not require folding in order to be transported from the ER to the golgi and it enters the Golgi apparatus as a dodecapeptide sequence that later undergoes post translational modifications. We assumed there was no folding, only processing by post-translational modifications.</w:t>
      </w:r>
    </w:p>
    <w:p w14:paraId="057836D5" w14:textId="77777777" w:rsidR="00A12191" w:rsidRDefault="00000000">
      <w:pPr>
        <w:rPr>
          <w:rFonts w:ascii="Roboto" w:eastAsia="Roboto" w:hAnsi="Roboto" w:cs="Roboto"/>
        </w:rPr>
      </w:pPr>
      <w:r>
        <w:rPr>
          <w:rFonts w:ascii="Roboto" w:eastAsia="Roboto" w:hAnsi="Roboto" w:cs="Roboto"/>
          <w:noProof/>
        </w:rPr>
        <w:drawing>
          <wp:inline distT="114300" distB="114300" distL="114300" distR="114300" wp14:anchorId="358174AF" wp14:editId="42663D08">
            <wp:extent cx="5731200" cy="749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749300"/>
                    </a:xfrm>
                    <a:prstGeom prst="rect">
                      <a:avLst/>
                    </a:prstGeom>
                    <a:ln/>
                  </pic:spPr>
                </pic:pic>
              </a:graphicData>
            </a:graphic>
          </wp:inline>
        </w:drawing>
      </w:r>
    </w:p>
    <w:p w14:paraId="6FDC3D9A" w14:textId="77777777" w:rsidR="00A12191" w:rsidRDefault="00000000">
      <w:pPr>
        <w:rPr>
          <w:rFonts w:ascii="Roboto" w:eastAsia="Roboto" w:hAnsi="Roboto" w:cs="Roboto"/>
        </w:rPr>
      </w:pPr>
      <w:r>
        <w:rPr>
          <w:rFonts w:ascii="Roboto" w:eastAsia="Roboto" w:hAnsi="Roboto" w:cs="Roboto"/>
          <w:noProof/>
        </w:rPr>
        <w:drawing>
          <wp:inline distT="114300" distB="114300" distL="114300" distR="114300" wp14:anchorId="6740457A" wp14:editId="27B656E7">
            <wp:extent cx="5731200" cy="762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762000"/>
                    </a:xfrm>
                    <a:prstGeom prst="rect">
                      <a:avLst/>
                    </a:prstGeom>
                    <a:ln/>
                  </pic:spPr>
                </pic:pic>
              </a:graphicData>
            </a:graphic>
          </wp:inline>
        </w:drawing>
      </w:r>
    </w:p>
    <w:p w14:paraId="6F342DEF" w14:textId="77777777" w:rsidR="00A12191" w:rsidRDefault="00000000">
      <w:pPr>
        <w:rPr>
          <w:rFonts w:ascii="Roboto" w:eastAsia="Roboto" w:hAnsi="Roboto" w:cs="Roboto"/>
        </w:rPr>
      </w:pPr>
      <w:r>
        <w:rPr>
          <w:rFonts w:ascii="Roboto" w:eastAsia="Roboto" w:hAnsi="Roboto" w:cs="Roboto"/>
          <w:b/>
          <w:bCs/>
          <w:color w:val="444746"/>
          <w:highlight w:val="white"/>
        </w:rPr>
        <w:t>From:</w:t>
      </w:r>
      <w:r>
        <w:rPr>
          <w:rFonts w:ascii="Roboto" w:eastAsia="Roboto" w:hAnsi="Roboto" w:cs="Roboto"/>
        </w:rPr>
        <w:t xml:space="preserve"> </w:t>
      </w:r>
      <w:hyperlink r:id="rId13">
        <w:r>
          <w:rPr>
            <w:rFonts w:ascii="Roboto" w:eastAsia="Roboto" w:hAnsi="Roboto" w:cs="Roboto"/>
            <w:color w:val="1155CC"/>
            <w:u w:val="single"/>
          </w:rPr>
          <w:t>https://www.jbc.org/article/S0021-9258(17)32058-6/pdf</w:t>
        </w:r>
      </w:hyperlink>
      <w:r>
        <w:rPr>
          <w:rFonts w:ascii="Roboto" w:eastAsia="Roboto" w:hAnsi="Roboto" w:cs="Roboto"/>
        </w:rPr>
        <w:t xml:space="preserve"> </w:t>
      </w:r>
    </w:p>
    <w:p w14:paraId="3FD326BB" w14:textId="77777777" w:rsidR="00A12191" w:rsidRDefault="00A12191">
      <w:pPr>
        <w:rPr>
          <w:rFonts w:ascii="Roboto" w:eastAsia="Roboto" w:hAnsi="Roboto" w:cs="Roboto"/>
        </w:rPr>
      </w:pPr>
    </w:p>
    <w:p w14:paraId="2281A5FB" w14:textId="77777777" w:rsidR="00A12191" w:rsidRDefault="00000000">
      <w:pPr>
        <w:numPr>
          <w:ilvl w:val="0"/>
          <w:numId w:val="2"/>
        </w:numPr>
        <w:rPr>
          <w:rFonts w:ascii="Roboto" w:eastAsia="Roboto" w:hAnsi="Roboto" w:cs="Roboto"/>
        </w:rPr>
      </w:pPr>
      <w:r>
        <w:rPr>
          <w:rFonts w:ascii="Roboto" w:eastAsia="Roboto" w:hAnsi="Roboto" w:cs="Roboto"/>
          <w:b/>
          <w:bCs/>
          <w:color w:val="444746"/>
          <w:highlight w:val="white"/>
        </w:rPr>
        <w:t>Ca2+ seems to be involved in progastrin stability</w:t>
      </w:r>
    </w:p>
    <w:p w14:paraId="62C9640D" w14:textId="77777777" w:rsidR="00A12191" w:rsidRDefault="00000000">
      <w:pPr>
        <w:spacing w:after="160" w:line="300" w:lineRule="auto"/>
        <w:rPr>
          <w:rFonts w:ascii="Roboto" w:eastAsia="Roboto" w:hAnsi="Roboto" w:cs="Roboto"/>
          <w:b/>
          <w:bCs/>
        </w:rPr>
      </w:pPr>
      <w:r>
        <w:rPr>
          <w:rFonts w:ascii="Roboto" w:eastAsia="Roboto" w:hAnsi="Roboto" w:cs="Roboto"/>
          <w:b/>
          <w:bCs/>
          <w:noProof/>
        </w:rPr>
        <w:drawing>
          <wp:inline distT="114300" distB="114300" distL="114300" distR="114300" wp14:anchorId="19309FE1" wp14:editId="79724AE9">
            <wp:extent cx="5731200" cy="2006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2006600"/>
                    </a:xfrm>
                    <a:prstGeom prst="rect">
                      <a:avLst/>
                    </a:prstGeom>
                    <a:ln/>
                  </pic:spPr>
                </pic:pic>
              </a:graphicData>
            </a:graphic>
          </wp:inline>
        </w:drawing>
      </w:r>
    </w:p>
    <w:p w14:paraId="631026B4" w14:textId="77777777" w:rsidR="00A12191" w:rsidRDefault="00000000">
      <w:pPr>
        <w:spacing w:after="160" w:line="300" w:lineRule="auto"/>
        <w:rPr>
          <w:rFonts w:ascii="Roboto" w:eastAsia="Roboto" w:hAnsi="Roboto" w:cs="Roboto"/>
          <w:b/>
          <w:bCs/>
        </w:rPr>
      </w:pPr>
      <w:r>
        <w:rPr>
          <w:rFonts w:ascii="Roboto" w:eastAsia="Roboto" w:hAnsi="Roboto" w:cs="Roboto"/>
          <w:b/>
          <w:bCs/>
        </w:rPr>
        <w:t xml:space="preserve">From: </w:t>
      </w:r>
      <w:hyperlink r:id="rId15">
        <w:r>
          <w:rPr>
            <w:rFonts w:ascii="Roboto" w:eastAsia="Roboto" w:hAnsi="Roboto" w:cs="Roboto"/>
            <w:b/>
            <w:bCs/>
            <w:color w:val="1155CC"/>
            <w:u w:val="single"/>
          </w:rPr>
          <w:t>https://www.jbc.org/article/S0021-9258(19)32117-9/fulltext</w:t>
        </w:r>
      </w:hyperlink>
    </w:p>
    <w:p w14:paraId="7DA9BB60" w14:textId="77777777" w:rsidR="00A12191" w:rsidRDefault="00000000">
      <w:pPr>
        <w:numPr>
          <w:ilvl w:val="0"/>
          <w:numId w:val="4"/>
        </w:numPr>
        <w:shd w:val="clear" w:color="auto" w:fill="FFFFFF"/>
        <w:spacing w:line="342" w:lineRule="auto"/>
        <w:jc w:val="both"/>
        <w:rPr>
          <w:rFonts w:ascii="Roboto" w:eastAsia="Roboto" w:hAnsi="Roboto" w:cs="Roboto"/>
          <w:b/>
          <w:bCs/>
          <w:color w:val="444746"/>
          <w:highlight w:val="white"/>
        </w:rPr>
      </w:pPr>
      <w:r>
        <w:rPr>
          <w:rFonts w:ascii="Roboto" w:eastAsia="Roboto" w:hAnsi="Roboto" w:cs="Roboto"/>
          <w:b/>
          <w:bCs/>
          <w:color w:val="444746"/>
          <w:highlight w:val="white"/>
        </w:rPr>
        <w:t>No specific information on how gastrin goes from the ER to the Golgi apparatus. However, since this process seems to be common for most prohormones, we included it (COPII coated vesicles).</w:t>
      </w:r>
    </w:p>
    <w:p w14:paraId="738658F8" w14:textId="77777777" w:rsidR="00A12191" w:rsidRDefault="00000000">
      <w:pPr>
        <w:numPr>
          <w:ilvl w:val="0"/>
          <w:numId w:val="4"/>
        </w:numPr>
        <w:shd w:val="clear" w:color="auto" w:fill="FFFFFF"/>
        <w:spacing w:line="342" w:lineRule="auto"/>
        <w:jc w:val="both"/>
        <w:rPr>
          <w:rFonts w:ascii="Roboto" w:eastAsia="Roboto" w:hAnsi="Roboto" w:cs="Roboto"/>
          <w:b/>
          <w:bCs/>
          <w:color w:val="444746"/>
          <w:highlight w:val="white"/>
        </w:rPr>
      </w:pPr>
      <w:r>
        <w:rPr>
          <w:rFonts w:ascii="Roboto" w:eastAsia="Roboto" w:hAnsi="Roboto" w:cs="Roboto"/>
          <w:b/>
          <w:bCs/>
          <w:color w:val="444746"/>
          <w:highlight w:val="white"/>
        </w:rPr>
        <w:t>Unclear information about the order in which the post-translational modifications happened in the Golgi. We assumed sulfation occurs first and then phosphorylation.</w:t>
      </w:r>
    </w:p>
    <w:p w14:paraId="04100F1E" w14:textId="77777777" w:rsidR="00A12191" w:rsidRDefault="00A12191">
      <w:pPr>
        <w:spacing w:after="160" w:line="300" w:lineRule="auto"/>
      </w:pPr>
    </w:p>
    <w:sectPr w:rsidR="00A12191">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CF38" w14:textId="77777777" w:rsidR="008D0248" w:rsidRDefault="008D0248">
      <w:pPr>
        <w:spacing w:line="240" w:lineRule="auto"/>
      </w:pPr>
      <w:r>
        <w:separator/>
      </w:r>
    </w:p>
  </w:endnote>
  <w:endnote w:type="continuationSeparator" w:id="0">
    <w:p w14:paraId="4B1F7393" w14:textId="77777777" w:rsidR="008D0248" w:rsidRDefault="008D02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7C15D2-7319-364B-81F1-3B436392950C}"/>
  </w:font>
  <w:font w:name="Arial">
    <w:panose1 w:val="020B0604020202020204"/>
    <w:charset w:val="00"/>
    <w:family w:val="swiss"/>
    <w:pitch w:val="variable"/>
    <w:sig w:usb0="E0002AFF" w:usb1="C0007843" w:usb2="00000009" w:usb3="00000000" w:csb0="000001FF" w:csb1="00000000"/>
    <w:embedRegular r:id="rId2" w:fontKey="{4B4B81FE-8C62-F741-8D8F-45F7F3656AE4}"/>
    <w:embedItalic r:id="rId3" w:fontKey="{4FA0B08F-500D-BB47-842B-D951FAA83861}"/>
  </w:font>
  <w:font w:name="Roboto">
    <w:panose1 w:val="02000000000000000000"/>
    <w:charset w:val="00"/>
    <w:family w:val="auto"/>
    <w:pitch w:val="variable"/>
    <w:sig w:usb0="E0000AFF" w:usb1="5000217F" w:usb2="00000021" w:usb3="00000000" w:csb0="0000019F" w:csb1="00000000"/>
    <w:embedRegular r:id="rId4" w:fontKey="{BFF69910-92EF-1545-919E-929C6A8D6151}"/>
    <w:embedBold r:id="rId5" w:fontKey="{3E519A94-C533-BC49-A0E9-032DDB4D07DD}"/>
  </w:font>
  <w:font w:name="Calibri">
    <w:panose1 w:val="020F0502020204030204"/>
    <w:charset w:val="00"/>
    <w:family w:val="modern"/>
    <w:pitch w:val="variable"/>
    <w:sig w:usb0="00000003" w:usb1="00000000" w:usb2="00000000" w:usb3="00000000" w:csb0="00000001" w:csb1="00000000"/>
    <w:embedRegular r:id="rId6" w:fontKey="{7C88DDB6-3516-184D-99A3-E16F372DE9CF}"/>
  </w:font>
  <w:font w:name="Cambria">
    <w:panose1 w:val="02040503050406030204"/>
    <w:charset w:val="00"/>
    <w:family w:val="roman"/>
    <w:notTrueType/>
    <w:pitch w:val="default"/>
    <w:embedRegular r:id="rId7" w:fontKey="{54FAB016-DD27-374B-8E22-051DAE0E09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5F4A8" w14:textId="77777777" w:rsidR="008D0248" w:rsidRDefault="008D0248">
      <w:pPr>
        <w:spacing w:line="240" w:lineRule="auto"/>
      </w:pPr>
      <w:r>
        <w:separator/>
      </w:r>
    </w:p>
  </w:footnote>
  <w:footnote w:type="continuationSeparator" w:id="0">
    <w:p w14:paraId="3E322315" w14:textId="77777777" w:rsidR="008D0248" w:rsidRDefault="008D02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838C" w14:textId="77777777" w:rsidR="00A12191" w:rsidRDefault="00A121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72317"/>
    <w:multiLevelType w:val="multilevel"/>
    <w:tmpl w:val="A9E4F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A43795"/>
    <w:multiLevelType w:val="multilevel"/>
    <w:tmpl w:val="B0BCB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E80A5D"/>
    <w:multiLevelType w:val="multilevel"/>
    <w:tmpl w:val="71B6C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35299F"/>
    <w:multiLevelType w:val="multilevel"/>
    <w:tmpl w:val="C32AD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DE0408"/>
    <w:multiLevelType w:val="multilevel"/>
    <w:tmpl w:val="CCD23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4680331">
    <w:abstractNumId w:val="1"/>
  </w:num>
  <w:num w:numId="2" w16cid:durableId="1602376886">
    <w:abstractNumId w:val="0"/>
  </w:num>
  <w:num w:numId="3" w16cid:durableId="377901095">
    <w:abstractNumId w:val="4"/>
  </w:num>
  <w:num w:numId="4" w16cid:durableId="473063137">
    <w:abstractNumId w:val="3"/>
  </w:num>
  <w:num w:numId="5" w16cid:durableId="1651902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191"/>
    <w:rsid w:val="000322AD"/>
    <w:rsid w:val="005F3B9E"/>
    <w:rsid w:val="008D0248"/>
    <w:rsid w:val="00A121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01FA89E"/>
  <w15:docId w15:val="{AADD8D55-9406-5140-8FE4-FD13F172E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65607/" TargetMode="External"/><Relationship Id="rId13" Type="http://schemas.openxmlformats.org/officeDocument/2006/relationships/hyperlink" Target="https://www.jbc.org/article/S0021-9258(17)32058-6/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jbc.org/article/S0021-9258(19)32117-9/fulltext" TargetMode="External"/><Relationship Id="rId10" Type="http://schemas.openxmlformats.org/officeDocument/2006/relationships/hyperlink" Target="https://journals.physiology.org/doi/epdf/10.1152/physiologyonline.1997.12.1.9"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1678</Characters>
  <Application>Microsoft Office Word</Application>
  <DocSecurity>0</DocSecurity>
  <Lines>13</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empar sanjulian</cp:lastModifiedBy>
  <cp:revision>2</cp:revision>
  <dcterms:created xsi:type="dcterms:W3CDTF">2026-01-18T11:14:00Z</dcterms:created>
  <dcterms:modified xsi:type="dcterms:W3CDTF">2026-01-18T11:14:00Z</dcterms:modified>
</cp:coreProperties>
</file>