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u w:val="single"/>
        </w:rPr>
      </w:pPr>
      <w:r w:rsidDel="00000000" w:rsidR="00000000" w:rsidRPr="00000000">
        <w:rPr>
          <w:b w:val="1"/>
          <w:bCs w:val="1"/>
          <w:sz w:val="24"/>
          <w:szCs w:val="24"/>
          <w:u w:val="single"/>
          <w:rtl w:val="0"/>
        </w:rPr>
        <w:t xml:space="preserve">Peer review- Oxytocin</w:t>
      </w:r>
    </w:p>
    <w:p w:rsidR="00000000" w:rsidDel="00000000" w:rsidP="00000000" w:rsidRDefault="00000000" w:rsidRPr="00000000" w14:paraId="00000002">
      <w:pPr>
        <w:jc w:val="center"/>
        <w:rPr>
          <w:sz w:val="20"/>
          <w:szCs w:val="20"/>
        </w:rPr>
      </w:pP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Reviewed by: Julia waldmeier, Sara C</w:t>
      </w:r>
      <w:r w:rsidDel="00000000" w:rsidR="00000000" w:rsidRPr="00000000">
        <w:rPr>
          <w:sz w:val="20"/>
          <w:szCs w:val="20"/>
          <w:rtl w:val="0"/>
        </w:rPr>
        <w:t xml:space="preserve">arvalho Fangueiro, and Henriette Ruckert</w:t>
      </w:r>
    </w:p>
    <w:p w:rsidR="00000000" w:rsidDel="00000000" w:rsidP="00000000" w:rsidRDefault="00000000" w:rsidRPr="00000000" w14:paraId="00000004">
      <w:pP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rPr>
          <w:b w:val="1"/>
          <w:bCs w:val="1"/>
          <w:color w:val="cc0000"/>
          <w:sz w:val="24"/>
          <w:szCs w:val="24"/>
          <w:u w:val="single"/>
        </w:rPr>
      </w:pPr>
      <w:r w:rsidDel="00000000" w:rsidR="00000000" w:rsidRPr="00000000">
        <w:rPr>
          <w:b w:val="1"/>
          <w:bCs w:val="1"/>
          <w:color w:val="cc0000"/>
          <w:sz w:val="24"/>
          <w:szCs w:val="24"/>
          <w:u w:val="single"/>
          <w:rtl w:val="0"/>
        </w:rPr>
        <w:t xml:space="preserve">Documentation file</w:t>
      </w:r>
    </w:p>
    <w:p w:rsidR="00000000" w:rsidDel="00000000" w:rsidP="00000000" w:rsidRDefault="00000000" w:rsidRPr="00000000" w14:paraId="00000006">
      <w:pPr>
        <w:rPr>
          <w:sz w:val="24"/>
          <w:szCs w:val="24"/>
          <w:u w:val="single"/>
        </w:rPr>
      </w:pPr>
      <w:r w:rsidDel="00000000" w:rsidR="00000000" w:rsidRPr="00000000">
        <w:rPr>
          <w:rtl w:val="0"/>
        </w:rPr>
      </w:r>
    </w:p>
    <w:p w:rsidR="00000000" w:rsidDel="00000000" w:rsidP="00000000" w:rsidRDefault="00000000" w:rsidRPr="00000000" w14:paraId="00000007">
      <w:pPr>
        <w:ind w:left="720" w:firstLine="0"/>
        <w:rPr>
          <w:b w:val="1"/>
          <w:bCs w:val="1"/>
          <w:sz w:val="24"/>
          <w:szCs w:val="24"/>
        </w:rPr>
      </w:pP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bCs w:val="1"/>
          <w:sz w:val="24"/>
          <w:szCs w:val="24"/>
          <w:rtl w:val="0"/>
        </w:rPr>
        <w:t xml:space="preserve">Translation of OXT gene into preprohormone</w:t>
      </w:r>
    </w:p>
    <w:p w:rsidR="00000000" w:rsidDel="00000000" w:rsidP="00000000" w:rsidRDefault="00000000" w:rsidRPr="00000000" w14:paraId="00000008">
      <w:pPr>
        <w:rPr>
          <w:sz w:val="24"/>
          <w:szCs w:val="24"/>
          <w:u w:val="single"/>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main transcript of the OXT gene can be found circled in red below. </w:t>
      </w:r>
    </w:p>
    <w:p w:rsidR="00000000" w:rsidDel="00000000" w:rsidP="00000000" w:rsidRDefault="00000000" w:rsidRPr="00000000" w14:paraId="0000000A">
      <w:pPr>
        <w:rPr>
          <w:sz w:val="24"/>
          <w:szCs w:val="24"/>
        </w:rPr>
      </w:pPr>
      <w:r w:rsidDel="00000000" w:rsidR="00000000" w:rsidRPr="00000000">
        <w:rPr>
          <w:sz w:val="24"/>
          <w:szCs w:val="24"/>
        </w:rPr>
        <w:drawing>
          <wp:inline distB="114300" distT="114300" distL="114300" distR="114300">
            <wp:extent cx="5731200" cy="334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Instead of the 2 transcript IDs you included, perhaps use this one instead.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Looking at the rest of the steps of the biosynthesis pathway, it seems that you have included the incorrect main transcript for each gene, however this can be fixed by referring to the image above and with the same format find the correct Main transcript ID that contains the MANE select flag and the rest of the Ensembl flags.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u w:val="single"/>
        </w:rPr>
      </w:pPr>
      <w:r w:rsidDel="00000000" w:rsidR="00000000" w:rsidRPr="00000000">
        <w:rPr>
          <w:b w:val="1"/>
          <w:bCs w:val="1"/>
          <w:sz w:val="24"/>
          <w:szCs w:val="24"/>
          <w:u w:val="single"/>
          <w:rtl w:val="0"/>
        </w:rPr>
        <w:t xml:space="preserve">Reactions</w:t>
      </w:r>
    </w:p>
    <w:p w:rsidR="00000000" w:rsidDel="00000000" w:rsidP="00000000" w:rsidRDefault="00000000" w:rsidRPr="00000000" w14:paraId="00000010">
      <w:pPr>
        <w:rPr>
          <w:sz w:val="20"/>
          <w:szCs w:val="20"/>
        </w:rPr>
      </w:pPr>
      <w:r w:rsidDel="00000000" w:rsidR="00000000" w:rsidRPr="00000000">
        <w:rPr>
          <w:rFonts w:ascii="Arial Unicode MS" w:cs="Arial Unicode MS" w:eastAsia="Arial Unicode MS" w:hAnsi="Arial Unicode MS"/>
          <w:sz w:val="24"/>
          <w:szCs w:val="24"/>
          <w:rtl w:val="0"/>
        </w:rPr>
        <w:t xml:space="preserve">For the reactions, maybe include the place in which the reaction happens according to the [letter] chosen. For example in this reaction prepro-oxyphysin-1[c] → prepro-oxyphysin-2[c], you could later include “c standing for cytoplasm</w:t>
      </w:r>
      <w:r w:rsidDel="00000000" w:rsidR="00000000" w:rsidRPr="00000000">
        <w:rPr>
          <w:sz w:val="20"/>
          <w:szCs w:val="20"/>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u w:val="single"/>
        </w:rPr>
      </w:pPr>
      <w:r w:rsidDel="00000000" w:rsidR="00000000" w:rsidRPr="00000000">
        <w:rPr>
          <w:sz w:val="24"/>
          <w:szCs w:val="24"/>
          <w:u w:val="single"/>
          <w:rtl w:val="0"/>
        </w:rPr>
        <w:t xml:space="preserve">SRP</w:t>
      </w:r>
    </w:p>
    <w:p w:rsidR="00000000" w:rsidDel="00000000" w:rsidP="00000000" w:rsidRDefault="00000000" w:rsidRPr="00000000" w14:paraId="00000013">
      <w:pPr>
        <w:rPr>
          <w:sz w:val="24"/>
          <w:szCs w:val="24"/>
        </w:rPr>
      </w:pPr>
      <w:r w:rsidDel="00000000" w:rsidR="00000000" w:rsidRPr="00000000">
        <w:rPr>
          <w:sz w:val="24"/>
          <w:szCs w:val="24"/>
          <w:rtl w:val="0"/>
        </w:rPr>
        <w:t xml:space="preserve">SRP is a ribonucleoprotein complex, and not an “enzyme”, so maybe replace “enzyme” to “complex”, so it makes sense adding the GPR rules.</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pacing w:line="276.00000545454543" w:lineRule="auto"/>
        <w:ind w:left="720" w:firstLine="0"/>
        <w:rPr>
          <w:color w:val="212121"/>
          <w:highlight w:val="white"/>
        </w:rPr>
      </w:pPr>
      <w:r w:rsidDel="00000000" w:rsidR="00000000" w:rsidRPr="00000000">
        <w:rPr>
          <w:rtl w:val="0"/>
        </w:rPr>
      </w:r>
    </w:p>
    <w:p w:rsidR="00000000" w:rsidDel="00000000" w:rsidP="00000000" w:rsidRDefault="00000000" w:rsidRPr="00000000" w14:paraId="00000019">
      <w:pPr>
        <w:spacing w:line="276.00000545454543" w:lineRule="auto"/>
        <w:rPr>
          <w:b w:val="1"/>
          <w:bCs w:val="1"/>
          <w:color w:val="212121"/>
          <w:sz w:val="26"/>
          <w:szCs w:val="26"/>
          <w:highlight w:val="white"/>
        </w:rPr>
      </w:pPr>
      <w:r w:rsidDel="00000000" w:rsidR="00000000" w:rsidRPr="00000000">
        <w:rPr>
          <w:b w:val="1"/>
          <w:bCs w:val="1"/>
          <w:color w:val="212121"/>
          <w:sz w:val="26"/>
          <w:szCs w:val="26"/>
          <w:highlight w:val="white"/>
          <w:rtl w:val="0"/>
        </w:rPr>
        <w:t xml:space="preserve">3.  Cleavage of preprohormone signal peptide catalysed by a peptidase </w:t>
      </w:r>
    </w:p>
    <w:p w:rsidR="00000000" w:rsidDel="00000000" w:rsidP="00000000" w:rsidRDefault="00000000" w:rsidRPr="00000000" w14:paraId="0000001A">
      <w:pPr>
        <w:spacing w:line="276.00000545454543" w:lineRule="auto"/>
        <w:ind w:left="720" w:firstLine="0"/>
        <w:rPr>
          <w:color w:val="212121"/>
          <w:highlight w:val="white"/>
        </w:rPr>
      </w:pPr>
      <w:r w:rsidDel="00000000" w:rsidR="00000000" w:rsidRPr="00000000">
        <w:rPr>
          <w:rtl w:val="0"/>
        </w:rPr>
      </w:r>
    </w:p>
    <w:p w:rsidR="00000000" w:rsidDel="00000000" w:rsidP="00000000" w:rsidRDefault="00000000" w:rsidRPr="00000000" w14:paraId="0000001B">
      <w:pPr>
        <w:spacing w:line="276.00000545454543" w:lineRule="auto"/>
        <w:ind w:left="0" w:firstLine="0"/>
        <w:rPr>
          <w:sz w:val="24"/>
          <w:szCs w:val="24"/>
        </w:rPr>
      </w:pPr>
      <w:r w:rsidDel="00000000" w:rsidR="00000000" w:rsidRPr="00000000">
        <w:rPr>
          <w:color w:val="212121"/>
          <w:highlight w:val="white"/>
          <w:rtl w:val="0"/>
        </w:rPr>
        <w:t xml:space="preserve">The hormonal precursor pro-ocytocin-neurophysin is activated by selective cleavage at Arg12-Ala13, producing mature ocytocin and neurophysin. </w:t>
      </w:r>
      <w:hyperlink r:id="rId7">
        <w:r w:rsidDel="00000000" w:rsidR="00000000" w:rsidRPr="00000000">
          <w:rPr>
            <w:rFonts w:ascii="Roboto" w:cs="Roboto" w:eastAsia="Roboto" w:hAnsi="Roboto"/>
            <w:color w:val="1155cc"/>
            <w:sz w:val="24"/>
            <w:szCs w:val="24"/>
            <w:highlight w:val="white"/>
            <w:u w:val="single"/>
            <w:rtl w:val="0"/>
          </w:rPr>
          <w:t xml:space="preserve">https://pubmed.ncbi.nlm.nih.gov/9862210/</w:t>
        </w:r>
      </w:hyperlink>
      <w:r w:rsidDel="00000000" w:rsidR="00000000" w:rsidRPr="00000000">
        <w:rPr>
          <w:sz w:val="24"/>
          <w:szCs w:val="24"/>
          <w:rtl w:val="0"/>
        </w:rPr>
        <w:t xml:space="preserve"> </w:t>
      </w:r>
    </w:p>
    <w:p w:rsidR="00000000" w:rsidDel="00000000" w:rsidP="00000000" w:rsidRDefault="00000000" w:rsidRPr="00000000" w14:paraId="0000001C">
      <w:pPr>
        <w:spacing w:line="276.00000545454543" w:lineRule="auto"/>
        <w:ind w:left="0" w:firstLine="0"/>
        <w:rPr>
          <w:sz w:val="24"/>
          <w:szCs w:val="24"/>
        </w:rPr>
      </w:pPr>
      <w:r w:rsidDel="00000000" w:rsidR="00000000" w:rsidRPr="00000000">
        <w:rPr>
          <w:rtl w:val="0"/>
        </w:rPr>
      </w:r>
    </w:p>
    <w:p w:rsidR="00000000" w:rsidDel="00000000" w:rsidP="00000000" w:rsidRDefault="00000000" w:rsidRPr="00000000" w14:paraId="0000001D">
      <w:pPr>
        <w:spacing w:line="276.00000545454543" w:lineRule="auto"/>
        <w:rPr>
          <w:sz w:val="24"/>
          <w:szCs w:val="24"/>
          <w:highlight w:val="white"/>
        </w:rPr>
      </w:pPr>
      <w:r w:rsidDel="00000000" w:rsidR="00000000" w:rsidRPr="00000000">
        <w:rPr>
          <w:sz w:val="24"/>
          <w:szCs w:val="24"/>
          <w:highlight w:val="white"/>
          <w:rtl w:val="0"/>
        </w:rPr>
        <w:t xml:space="preserve">This sentence should be on step 7.1 and not 3, because Arg12-Ala13 acts as a cleavage site that is then recognized by prohormone convertase and not as a signal peptide removal. It is better to put it on step 3 to avoid confusion. </w:t>
      </w:r>
    </w:p>
    <w:p w:rsidR="00000000" w:rsidDel="00000000" w:rsidP="00000000" w:rsidRDefault="00000000" w:rsidRPr="00000000" w14:paraId="0000001E">
      <w:pPr>
        <w:spacing w:line="276.00000545454543" w:lineRule="auto"/>
        <w:rPr>
          <w:sz w:val="24"/>
          <w:szCs w:val="24"/>
          <w:highlight w:val="white"/>
        </w:rPr>
      </w:pPr>
      <w:r w:rsidDel="00000000" w:rsidR="00000000" w:rsidRPr="00000000">
        <w:rPr>
          <w:sz w:val="24"/>
          <w:szCs w:val="24"/>
          <w:highlight w:val="white"/>
          <w:rtl w:val="0"/>
        </w:rPr>
        <w:t xml:space="preserve">“</w:t>
      </w:r>
      <w:r w:rsidDel="00000000" w:rsidR="00000000" w:rsidRPr="00000000">
        <w:rPr>
          <w:rFonts w:ascii="Roboto" w:cs="Roboto" w:eastAsia="Roboto" w:hAnsi="Roboto"/>
          <w:color w:val="212121"/>
          <w:sz w:val="24"/>
          <w:szCs w:val="24"/>
          <w:highlight w:val="white"/>
          <w:rtl w:val="0"/>
        </w:rPr>
        <w:t xml:space="preserve">The putative pro-ocytocin/neurophysin converting enzyme cleaves the Arg12-Ala13 bonds of both pro-ocytocin/neurophysin (1----20) and pro-ocytocin/neurophysin obtained by hemisynthesis.” Source: </w:t>
      </w:r>
      <w:hyperlink r:id="rId8">
        <w:r w:rsidDel="00000000" w:rsidR="00000000" w:rsidRPr="00000000">
          <w:rPr>
            <w:rFonts w:ascii="Roboto" w:cs="Roboto" w:eastAsia="Roboto" w:hAnsi="Roboto"/>
            <w:color w:val="1155cc"/>
            <w:sz w:val="24"/>
            <w:szCs w:val="24"/>
            <w:highlight w:val="white"/>
            <w:u w:val="single"/>
            <w:rtl w:val="0"/>
          </w:rPr>
          <w:t xml:space="preserve">https://pubmed.ncbi.nlm.nih.gov/2674120/</w:t>
        </w:r>
      </w:hyperlink>
      <w:r w:rsidDel="00000000" w:rsidR="00000000" w:rsidRPr="00000000">
        <w:rPr>
          <w:rtl w:val="0"/>
        </w:rPr>
      </w:r>
    </w:p>
    <w:p w:rsidR="00000000" w:rsidDel="00000000" w:rsidP="00000000" w:rsidRDefault="00000000" w:rsidRPr="00000000" w14:paraId="0000001F">
      <w:pPr>
        <w:spacing w:line="276.00000545454543" w:lineRule="auto"/>
        <w:rPr>
          <w:sz w:val="24"/>
          <w:szCs w:val="24"/>
          <w:highlight w:val="white"/>
        </w:rPr>
      </w:pPr>
      <w:r w:rsidDel="00000000" w:rsidR="00000000" w:rsidRPr="00000000">
        <w:rPr>
          <w:rtl w:val="0"/>
        </w:rPr>
      </w:r>
    </w:p>
    <w:p w:rsidR="00000000" w:rsidDel="00000000" w:rsidP="00000000" w:rsidRDefault="00000000" w:rsidRPr="00000000" w14:paraId="00000020">
      <w:pPr>
        <w:spacing w:line="276.00000545454543" w:lineRule="auto"/>
        <w:rPr>
          <w:sz w:val="24"/>
          <w:szCs w:val="24"/>
          <w:highlight w:val="white"/>
        </w:rPr>
      </w:pPr>
      <w:r w:rsidDel="00000000" w:rsidR="00000000" w:rsidRPr="00000000">
        <w:rPr>
          <w:sz w:val="24"/>
          <w:szCs w:val="24"/>
          <w:highlight w:val="white"/>
        </w:rPr>
        <w:drawing>
          <wp:inline distB="114300" distT="114300" distL="114300" distR="114300">
            <wp:extent cx="5731200" cy="20320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00000545454543" w:lineRule="auto"/>
        <w:rPr>
          <w:sz w:val="24"/>
          <w:szCs w:val="24"/>
          <w:highlight w:val="white"/>
        </w:rPr>
      </w:pPr>
      <w:r w:rsidDel="00000000" w:rsidR="00000000" w:rsidRPr="00000000">
        <w:rPr>
          <w:sz w:val="24"/>
          <w:szCs w:val="24"/>
          <w:highlight w:val="white"/>
          <w:rtl w:val="0"/>
        </w:rPr>
        <w:t xml:space="preserve">As noted in the beginning of the document, all notes made by your group are highlighted in green, therefore what is circled above should be green as well.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pubmed.ncbi.nlm.nih.gov/9862210/" TargetMode="External"/><Relationship Id="rId8" Type="http://schemas.openxmlformats.org/officeDocument/2006/relationships/hyperlink" Target="https://pubmed.ncbi.nlm.nih.gov/26741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