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i w:val="1"/>
          <w:iCs w:val="1"/>
        </w:rPr>
      </w:pPr>
      <w:r w:rsidDel="00000000" w:rsidR="00000000" w:rsidRPr="00000000">
        <w:rPr>
          <w:i w:val="1"/>
          <w:iCs w:val="1"/>
          <w:rtl w:val="0"/>
        </w:rPr>
        <w:t xml:space="preserve">Oxytocin synthesis short notes:</w:t>
      </w:r>
    </w:p>
    <w:p w:rsidR="00000000" w:rsidDel="00000000" w:rsidP="00000000" w:rsidRDefault="00000000" w:rsidRPr="00000000" w14:paraId="00000002">
      <w:pPr>
        <w:ind w:left="0" w:firstLine="0"/>
        <w:rPr>
          <w:i w:val="1"/>
          <w:iCs w:val="1"/>
        </w:rPr>
      </w:pPr>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The OXT gene is located on chromosome 20 and encodes a preprohormone containing the signal peptide, oxytocin, and Neurophysin I.</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OXT is highly homologous to Vasopressin (AVP), which is located on the same chromosome but is transcribed in the opposite direction; this suggests shared intergenic regulation (Required further research.).</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The Signal Recognition Particle (SRP) is a ribonucleoprotein that requires a mix of 6 proteins AND 1 RNA molecule (7SL RNA). (Do we include this RNA gene for the SRP complex in our gene list, or only protein-coding genes?).</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It is still not certain if the SRP protein subunits have tissue-specific paralogs in the human hypothalamus. </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Sec61 translocon is modeled as (SEC61A1 OR SEC61A2) AND SEC61B AND SEX61G; we assume that A1 and A2 are interchangeable in oxytocin neurons with no direct evidence that one isoform is favoured, thus both remain in an OR rule.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HSPA5 (BiP) is an ER molecular chaperone involved in general protein folding and overall quality control. There is no direct evidence linking HSPA5 specifically to oxytocin biosynthesis.</w:t>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PRDX4</w:t>
      </w:r>
      <w:r w:rsidDel="00000000" w:rsidR="00000000" w:rsidRPr="00000000">
        <w:rPr>
          <w:rtl w:val="0"/>
        </w:rPr>
        <w:t xml:space="preserve"> can assist in protein disulfide bone formation in the ER by supplying oxidising equivalents to PDI, but its involvement in the biosynthesis of oxytocin has not been specifically demonstrated.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WFS1 was researched in Golgi transport but it’s mainly associated in insulin granule trafficking and ER homeostasis, although some studies suggest an association with hypothalamic function, there is no direct evidence supporting a role in oxytocin transport or processing. </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It is still unclear if amidation of the C-terminal happens fully in the Golgi or in immature secretory granules, so this is simplified into a single Golgi-localized reaction.</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Neural cells contain chaperone proteins (GPR78 and GPR94) which are involved in protein translocation, protein folding and assembly, not yet studied in oxytocin specifically.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Information about where the peptide is cleaved is not found , therefore the peptide sequence in the metabolite additions excel is shown complete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