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64550" w14:textId="47DC7BFD" w:rsidR="00831701" w:rsidRDefault="00831701" w:rsidP="00831701">
      <w:pPr>
        <w:pStyle w:val="Heading1"/>
        <w:rPr>
          <w:b/>
          <w:bCs/>
          <w:sz w:val="24"/>
          <w:szCs w:val="24"/>
        </w:rPr>
      </w:pPr>
      <w:r w:rsidRPr="00CA63A8">
        <w:rPr>
          <w:rFonts w:ascii="Helvetica" w:eastAsia="Times New Roman" w:hAnsi="Helvetica" w:cs="Helvetica"/>
        </w:rPr>
        <w:t>Systematic Characterisation of Velocity-Curvature Power Law Analysis Protocols Across Biologically Informed Parameter Space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  <w:t>Dagmar Scott Fraser</w:t>
      </w:r>
    </w:p>
    <w:p w14:paraId="64DFE336" w14:textId="77777777" w:rsidR="00831701" w:rsidRDefault="00831701" w:rsidP="00831701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831701">
        <w:rPr>
          <w:rFonts w:ascii="Segoe UI" w:hAnsi="Segoe UI" w:cs="Segoe UI"/>
          <w:i/>
          <w:iCs/>
          <w:sz w:val="21"/>
          <w:szCs w:val="21"/>
        </w:rPr>
        <w:t xml:space="preserve">Abstract </w:t>
      </w:r>
    </w:p>
    <w:p w14:paraId="40CDED5F" w14:textId="336FD8E0" w:rsidR="00831701" w:rsidRDefault="00831701" w:rsidP="00831701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Lacquaniti et al.’s (1983) velocity–curvature power law (exponent β ≈ 1/3) is widely regarded as a fundamental property of biological movement, with divergences from this value proposed as sensitive motor biomarkers. Exploiting these biomarkers requires systematic characterisation of how β is calculated. We conducted a pre-registered simulation spanning 18 million biologically informed parameter combinations across six analytical pipelines, validated against seven empirical datasets. The simulation revealed systematic compression of β in the presence of noise, reflecting a mismatch between embodied, fractional kinematics and the integer-order numerical differentiation used in standard analyses. We recover underlying exponents in the range β ≈ 0.40–0.49. The widely reported β ≈ 1/3 emerges only under restricted noise conditions where pipeline compression masks the underlying exponent. These findings indicate that the commonly reported exponent is largely a calculation artefact, highlighting limitations of numerical differentiation in analysing noisy biological signals.</w:t>
      </w:r>
    </w:p>
    <w:p w14:paraId="11CA37C1" w14:textId="77777777" w:rsidR="00A00E29" w:rsidRDefault="00A00E29"/>
    <w:sectPr w:rsidR="00A00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701"/>
    <w:rsid w:val="00605E09"/>
    <w:rsid w:val="00670B1F"/>
    <w:rsid w:val="007D15A5"/>
    <w:rsid w:val="00831701"/>
    <w:rsid w:val="008F6BF8"/>
    <w:rsid w:val="00A00E29"/>
    <w:rsid w:val="00AF7365"/>
    <w:rsid w:val="00CA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78CE8"/>
  <w15:chartTrackingRefBased/>
  <w15:docId w15:val="{AAF9D3DD-65D6-AF43-B48F-68F063DE9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701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1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7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7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7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70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70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70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70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7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31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70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31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701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31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701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31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Dagmar Fraser (Psychology)</dc:creator>
  <cp:keywords/>
  <dc:description/>
  <cp:lastModifiedBy>Dagmar Fraser (Psychology)</cp:lastModifiedBy>
  <cp:revision>1</cp:revision>
  <dcterms:created xsi:type="dcterms:W3CDTF">2026-06-07T21:57:00Z</dcterms:created>
  <dcterms:modified xsi:type="dcterms:W3CDTF">2026-06-07T22:00:00Z</dcterms:modified>
</cp:coreProperties>
</file>