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C584B" w14:textId="05C05781" w:rsidR="00FD5119" w:rsidRDefault="00FD5119">
      <w:r w:rsidRPr="00FD5119">
        <w:t>INSIGHT</w:t>
      </w:r>
    </w:p>
    <w:p w14:paraId="3DDB58A1" w14:textId="77777777" w:rsidR="00FD5119" w:rsidRDefault="00FD5119"/>
    <w:p w14:paraId="44C440EE" w14:textId="6BD3F7EE" w:rsidR="00CF63BB" w:rsidRDefault="00FD5119">
      <w:r w:rsidRPr="00FD5119">
        <w:t xml:space="preserve">The top-performing category </w:t>
      </w:r>
      <w:r w:rsidRPr="00FD5119">
        <w:t>is</w:t>
      </w:r>
      <w:r>
        <w:t xml:space="preserve"> technology and accessories</w:t>
      </w:r>
      <w:r w:rsidRPr="00FD5119">
        <w:t xml:space="preserve"> generating</w:t>
      </w:r>
      <w:r w:rsidRPr="00FD5119">
        <w:t xml:space="preserve"> the highest revenue. This suggests that customers in Maine have the strongest demand for this category compared to others.</w:t>
      </w:r>
    </w:p>
    <w:p w14:paraId="6A673790" w14:textId="53316BF5" w:rsidR="00FD5119" w:rsidRDefault="00FD5119">
      <w:r w:rsidRPr="00FD5119">
        <w:t>“Lower-performing categories may represent opportunities for improvement or indicate weaker demand in those segments.”</w:t>
      </w:r>
    </w:p>
    <w:sectPr w:rsidR="00FD5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119"/>
    <w:rsid w:val="00690C2F"/>
    <w:rsid w:val="00B477A2"/>
    <w:rsid w:val="00CF63BB"/>
    <w:rsid w:val="00FD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D3446"/>
  <w15:chartTrackingRefBased/>
  <w15:docId w15:val="{3E0FE177-E824-42A7-B623-513CA44A7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46</Words>
  <Characters>274</Characters>
  <Application>Microsoft Office Word</Application>
  <DocSecurity>0</DocSecurity>
  <Lines>3</Lines>
  <Paragraphs>2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dagmawi mulugeta</dc:creator>
  <cp:keywords/>
  <dc:description/>
  <cp:lastModifiedBy>dagmawi mulugeta</cp:lastModifiedBy>
  <cp:revision>1</cp:revision>
  <dcterms:created xsi:type="dcterms:W3CDTF">2026-04-26T23:02:00Z</dcterms:created>
  <dcterms:modified xsi:type="dcterms:W3CDTF">2026-04-26T23:07:00Z</dcterms:modified>
</cp:coreProperties>
</file>