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Preguntas para Ellucian</w:t>
      </w:r>
    </w:p>
    <w:p>
      <w:r>
        <w:rPr>
          <w:b/>
          <w:color w:val="4EA72E"/>
          <w:sz w:val="26"/>
        </w:rPr>
        <w:t>Centros Empresariales USS · Reunión del 27/10/2026</w:t>
      </w:r>
    </w:p>
    <w:p>
      <w:pPr>
        <w:pBdr>
          <w:bottom w:val="single" w:sz="8" w:space="4" w:color="7030A0"/>
        </w:pBdr>
      </w:pPr>
      <w:r>
        <w:rPr>
          <w:color w:val="6B6478"/>
          <w:sz w:val="19"/>
        </w:rPr>
        <w:t>Idiomas (Inglés) · Computación (Informática) · Emprendimiento    |    Elaborado por: Dagner Anibal Chuman Lluen</w:t>
      </w:r>
    </w:p>
    <w:tbl>
      <w:tblPr>
        <w:tblW w:type="auto" w:w="0"/>
        <w:jc w:val="center"/>
        <w:tblBorders>
          <w:top w:val="single" w:sz="8" w:space="0" w:color="7030A0"/>
          <w:left w:val="single" w:sz="8" w:space="0" w:color="7030A0"/>
          <w:bottom w:val="single" w:sz="8" w:space="0" w:color="7030A0"/>
          <w:right w:val="single" w:sz="8" w:space="0" w:color="7030A0"/>
          <w:insideH w:val="single" w:sz="8" w:space="0" w:color="7030A0"/>
          <w:insideV w:val="single" w:sz="8" w:space="0" w:color="7030A0"/>
        </w:tblBorders>
        <w:tblCellMar>
          <w:top w:w="60" w:type="dxa"/>
          <w:left w:w="110" w:type="dxa"/>
          <w:bottom w:w="60" w:type="dxa"/>
          <w:right w:w="110" w:type="dxa"/>
        </w:tblCellMar>
        <w:tblLook w:firstColumn="1" w:firstRow="1" w:lastColumn="0" w:lastRow="0" w:noHBand="0" w:noVBand="1" w:val="04A0"/>
      </w:tblPr>
      <w:tblGrid>
        <w:gridCol w:w="9638"/>
      </w:tblGrid>
      <w:tr>
        <w:tc>
          <w:tcPr>
            <w:tcW w:type="dxa" w:w="9638"/>
            <w:shd w:val="clear" w:color="auto" w:fill="F5F0FB"/>
          </w:tcPr>
          <w:p>
            <w:r>
              <w:rPr>
                <w:b/>
                <w:color w:val="5C2193"/>
              </w:rPr>
              <w:t>Cómo usar este documento</w:t>
            </w:r>
          </w:p>
          <w:p>
            <w:pPr>
              <w:spacing w:after="40"/>
            </w:pPr>
            <w:r>
              <w:rPr>
                <w:b/>
                <w:color w:val="7030A0"/>
              </w:rPr>
              <w:t xml:space="preserve">1.  </w:t>
            </w:r>
            <w:r>
              <w:rPr>
                <w:b w:val="0"/>
                <w:i w:val="0"/>
              </w:rPr>
              <w:t>Revise cada pregunta con Ellucian; el código (E01, U32…) es el mismo del registro de dudas.</w:t>
            </w:r>
          </w:p>
          <w:p>
            <w:pPr>
              <w:spacing w:after="40"/>
            </w:pPr>
            <w:r>
              <w:rPr>
                <w:b/>
                <w:color w:val="7030A0"/>
              </w:rPr>
              <w:t xml:space="preserve">2.  </w:t>
            </w:r>
            <w:r>
              <w:rPr>
                <w:b w:val="0"/>
                <w:i w:val="0"/>
              </w:rPr>
              <w:t>Escriba la respuesta en el recuadro «Respuesta», con el nombre de quien respondió.</w:t>
            </w:r>
          </w:p>
          <w:p>
            <w:pPr>
              <w:spacing w:after="40"/>
            </w:pPr>
            <w:r>
              <w:rPr>
                <w:b/>
                <w:color w:val="7030A0"/>
              </w:rPr>
              <w:t xml:space="preserve">3.  </w:t>
            </w:r>
            <w:r>
              <w:rPr>
                <w:b w:val="0"/>
                <w:i w:val="0"/>
              </w:rPr>
              <w:t>Marque el estado: «Resuelta» o «Sigue abierta» (y quién la verá).</w:t>
            </w:r>
          </w:p>
          <w:p>
            <w:pPr>
              <w:spacing w:after="40"/>
            </w:pPr>
            <w:r>
              <w:rPr>
                <w:b/>
                <w:color w:val="7030A0"/>
              </w:rPr>
              <w:t xml:space="preserve">4.  </w:t>
            </w:r>
            <w:r>
              <w:rPr>
                <w:b w:val="0"/>
                <w:i w:val="0"/>
              </w:rPr>
              <w:t>Al terminar, envíe este Word al asistente: pasa cada respuesta al registro (C##), actualiza los datos de cada centro y el asistente aprende la respuesta.</w:t>
            </w:r>
          </w:p>
        </w:tc>
      </w:tr>
    </w:tbl>
    <w:p>
      <w:pPr>
        <w:spacing w:before="200"/>
      </w:pPr>
      <w:r>
        <w:rPr>
          <w:b/>
          <w:color w:val="5C2193"/>
          <w:sz w:val="24"/>
        </w:rPr>
        <w:t>Contenido</w:t>
      </w:r>
    </w:p>
    <w:p>
      <w:pPr>
        <w:spacing w:after="20"/>
      </w:pPr>
      <w:r>
        <w:rPr>
          <w:b/>
        </w:rPr>
        <w:t>1. Para Ellucian</w:t>
      </w:r>
      <w:r>
        <w:rPr>
          <w:color w:val="6B6478"/>
        </w:rPr>
        <w:t xml:space="preserve">  ·  26 preguntas</w:t>
      </w:r>
    </w:p>
    <w:p>
      <w:pPr>
        <w:spacing w:after="0"/>
        <w:ind w:left="340"/>
      </w:pPr>
      <w:r>
        <w:rPr>
          <w:sz w:val="19"/>
        </w:rPr>
        <w:t xml:space="preserve">Notas y asistencia (hoy bloquean el cierre): </w:t>
      </w:r>
      <w:r>
        <w:rPr>
          <w:color w:val="6B6478"/>
          <w:sz w:val="19"/>
        </w:rPr>
        <w:t>U32, E22</w:t>
      </w:r>
    </w:p>
    <w:p>
      <w:pPr>
        <w:spacing w:after="0"/>
        <w:ind w:left="340"/>
      </w:pPr>
      <w:r>
        <w:rPr>
          <w:sz w:val="19"/>
        </w:rPr>
        <w:t xml:space="preserve">Periodos, horas y prerrequisitos: </w:t>
      </w:r>
      <w:r>
        <w:rPr>
          <w:color w:val="6B6478"/>
          <w:sz w:val="19"/>
        </w:rPr>
        <w:t>E01, E03, E13, E04</w:t>
      </w:r>
    </w:p>
    <w:p>
      <w:pPr>
        <w:spacing w:after="0"/>
        <w:ind w:left="340"/>
      </w:pPr>
      <w:r>
        <w:rPr>
          <w:sz w:val="19"/>
        </w:rPr>
        <w:t xml:space="preserve">Mallas y CAPP: </w:t>
      </w:r>
      <w:r>
        <w:rPr>
          <w:color w:val="6B6478"/>
          <w:sz w:val="19"/>
        </w:rPr>
        <w:t>E05, E15, E16</w:t>
      </w:r>
    </w:p>
    <w:p>
      <w:pPr>
        <w:spacing w:after="0"/>
        <w:ind w:left="340"/>
      </w:pPr>
      <w:r>
        <w:rPr>
          <w:sz w:val="19"/>
        </w:rPr>
        <w:t xml:space="preserve">Docentes y carga lectiva: </w:t>
      </w:r>
      <w:r>
        <w:rPr>
          <w:color w:val="6B6478"/>
          <w:sz w:val="19"/>
        </w:rPr>
        <w:t>E14, E20</w:t>
      </w:r>
    </w:p>
    <w:p>
      <w:pPr>
        <w:spacing w:after="0"/>
        <w:ind w:left="340"/>
      </w:pPr>
      <w:r>
        <w:rPr>
          <w:sz w:val="19"/>
        </w:rPr>
        <w:t xml:space="preserve">Finanzas y matrícula: </w:t>
      </w:r>
      <w:r>
        <w:rPr>
          <w:color w:val="6B6478"/>
          <w:sz w:val="19"/>
        </w:rPr>
        <w:t>U29, E23, E24</w:t>
      </w:r>
    </w:p>
    <w:p>
      <w:pPr>
        <w:spacing w:after="0"/>
        <w:ind w:left="340"/>
      </w:pPr>
      <w:r>
        <w:rPr>
          <w:sz w:val="19"/>
        </w:rPr>
        <w:t xml:space="preserve">Aula virtual: </w:t>
      </w:r>
      <w:r>
        <w:rPr>
          <w:color w:val="6B6478"/>
          <w:sz w:val="19"/>
        </w:rPr>
        <w:t>E02</w:t>
      </w:r>
    </w:p>
    <w:p>
      <w:pPr>
        <w:spacing w:after="0"/>
        <w:ind w:left="340"/>
      </w:pPr>
      <w:r>
        <w:rPr>
          <w:sz w:val="19"/>
        </w:rPr>
        <w:t xml:space="preserve">Solicitudes, certificados y seguimiento: </w:t>
      </w:r>
      <w:r>
        <w:rPr>
          <w:color w:val="6B6478"/>
          <w:sz w:val="19"/>
        </w:rPr>
        <w:t>E21, E10, E17, E18, E19</w:t>
      </w:r>
    </w:p>
    <w:p>
      <w:pPr>
        <w:spacing w:after="0"/>
        <w:ind w:left="340"/>
      </w:pPr>
      <w:r>
        <w:rPr>
          <w:sz w:val="19"/>
        </w:rPr>
        <w:t xml:space="preserve">Migración y validación: </w:t>
      </w:r>
      <w:r>
        <w:rPr>
          <w:color w:val="6B6478"/>
          <w:sz w:val="19"/>
        </w:rPr>
        <w:t>E06, E07, E08, E09, E11, E12</w:t>
      </w:r>
    </w:p>
    <w:p>
      <w:pPr>
        <w:spacing w:after="20"/>
      </w:pPr>
      <w:r>
        <w:rPr>
          <w:b/>
        </w:rPr>
        <w:t>2. Para la USS (preparar con los jefes)</w:t>
      </w:r>
      <w:r>
        <w:rPr>
          <w:color w:val="6B6478"/>
        </w:rPr>
        <w:t xml:space="preserve">  ·  19 preguntas</w:t>
      </w:r>
    </w:p>
    <w:p>
      <w:pPr>
        <w:spacing w:after="0"/>
        <w:ind w:left="340"/>
      </w:pPr>
      <w:r>
        <w:rPr>
          <w:sz w:val="19"/>
        </w:rPr>
        <w:t xml:space="preserve">Reglas académicas: </w:t>
      </w:r>
      <w:r>
        <w:rPr>
          <w:color w:val="6B6478"/>
          <w:sz w:val="19"/>
        </w:rPr>
        <w:t>U01, U21, U02, U09</w:t>
      </w:r>
    </w:p>
    <w:p>
      <w:pPr>
        <w:spacing w:after="0"/>
        <w:ind w:left="340"/>
      </w:pPr>
      <w:r>
        <w:rPr>
          <w:sz w:val="19"/>
        </w:rPr>
        <w:t xml:space="preserve">Programas, mallas y catálogo: </w:t>
      </w:r>
      <w:r>
        <w:rPr>
          <w:color w:val="6B6478"/>
          <w:sz w:val="19"/>
        </w:rPr>
        <w:t>U31, U19, U05, U12, U13</w:t>
      </w:r>
    </w:p>
    <w:p>
      <w:pPr>
        <w:spacing w:after="0"/>
        <w:ind w:left="340"/>
      </w:pPr>
      <w:r>
        <w:rPr>
          <w:sz w:val="19"/>
        </w:rPr>
        <w:t xml:space="preserve">Matrícula, permisos y egresados: </w:t>
      </w:r>
      <w:r>
        <w:rPr>
          <w:color w:val="6B6478"/>
          <w:sz w:val="19"/>
        </w:rPr>
        <w:t>U10, U08, U24</w:t>
      </w:r>
    </w:p>
    <w:p>
      <w:pPr>
        <w:spacing w:after="0"/>
        <w:ind w:left="340"/>
      </w:pPr>
      <w:r>
        <w:rPr>
          <w:sz w:val="19"/>
        </w:rPr>
        <w:t xml:space="preserve">Docentes: </w:t>
      </w:r>
      <w:r>
        <w:rPr>
          <w:color w:val="6B6478"/>
          <w:sz w:val="19"/>
        </w:rPr>
        <w:t>U26, U28, U16</w:t>
      </w:r>
    </w:p>
    <w:p>
      <w:pPr>
        <w:spacing w:after="0"/>
        <w:ind w:left="340"/>
      </w:pPr>
      <w:r>
        <w:rPr>
          <w:sz w:val="19"/>
        </w:rPr>
        <w:t xml:space="preserve">Servicios y seguimiento: </w:t>
      </w:r>
      <w:r>
        <w:rPr>
          <w:color w:val="6B6478"/>
          <w:sz w:val="19"/>
        </w:rPr>
        <w:t>U14, U15, U07</w:t>
      </w:r>
    </w:p>
    <w:p>
      <w:pPr>
        <w:spacing w:after="0"/>
        <w:ind w:left="340"/>
      </w:pPr>
      <w:r>
        <w:rPr>
          <w:sz w:val="19"/>
        </w:rPr>
        <w:t xml:space="preserve">Validación contra SEUSS: </w:t>
      </w:r>
      <w:r>
        <w:rPr>
          <w:color w:val="6B6478"/>
          <w:sz w:val="19"/>
        </w:rPr>
        <w:t>U11</w:t>
      </w:r>
    </w:p>
    <w:p>
      <w:pPr>
        <w:spacing w:after="20"/>
      </w:pPr>
      <w:r>
        <w:rPr>
          <w:b/>
        </w:rPr>
        <w:t>3. Lo que necesito para seguir aprendiendo</w:t>
      </w:r>
      <w:r>
        <w:rPr>
          <w:color w:val="6B6478"/>
        </w:rPr>
        <w:t xml:space="preserve">  ·  2 preguntas</w:t>
      </w:r>
    </w:p>
    <w:p>
      <w:pPr>
        <w:spacing w:after="0"/>
        <w:ind w:left="340"/>
      </w:pPr>
      <w:r>
        <w:rPr>
          <w:sz w:val="19"/>
        </w:rPr>
        <w:t xml:space="preserve">Datos para completar las pruebas: </w:t>
      </w:r>
      <w:r>
        <w:rPr>
          <w:color w:val="6B6478"/>
          <w:sz w:val="19"/>
        </w:rPr>
        <w:t>U33, U34</w:t>
      </w:r>
    </w:p>
    <w:p>
      <w:pPr>
        <w:ind w:left="340"/>
      </w:pPr>
      <w:r>
        <w:rPr>
          <w:color w:val="6B6478"/>
          <w:sz w:val="19"/>
        </w:rPr>
        <w:t>Pruebas pendientes en TEST, por script y centro · Cómo enviarme lo que falta · Glosario</w:t>
      </w:r>
    </w:p>
    <w:p>
      <w:pPr>
        <w:spacing w:after="0"/>
      </w:pPr>
      <w:r>
        <w:br w:type="page"/>
      </w:r>
    </w:p>
    <w:p>
      <w:pPr>
        <w:pStyle w:val="Heading1"/>
      </w:pPr>
      <w:r>
        <w:t>1. Para Ellucian</w:t>
      </w:r>
    </w:p>
    <w:p>
      <w:r>
        <w:rPr>
          <w:b w:val="0"/>
          <w:i w:val="0"/>
          <w:color w:val="6B6478"/>
        </w:rPr>
        <w:t>Ordenadas por impacto: primero lo que hoy bloquea la configuración o el cierre, después los detalles.</w:t>
      </w:r>
    </w:p>
    <w:p>
      <w:pPr>
        <w:pStyle w:val="Heading2"/>
      </w:pPr>
      <w:r>
        <w:t>Notas y asistencia (hoy bloquean el cierre)</w:t>
      </w:r>
    </w:p>
    <w:p>
      <w:pPr>
        <w:pStyle w:val="Heading3"/>
      </w:pPr>
      <w:r>
        <w:rPr>
          <w:color w:val="7030A0"/>
        </w:rPr>
        <w:t xml:space="preserve">U32  </w:t>
      </w:r>
      <w:r>
        <w:t>La asistencia no llega sola a ATTRGRD</w:t>
      </w:r>
    </w:p>
    <w:p>
      <w:pPr>
        <w:keepNext/>
      </w:pPr>
      <w:r>
        <w:rPr>
          <w:b w:val="0"/>
          <w:i w:val="0"/>
        </w:rPr>
        <w:t xml:space="preserve">El porcentaje de asistencia no llega a </w:t>
      </w:r>
      <w:r>
        <w:rPr>
          <w:b/>
          <w:i w:val="0"/>
        </w:rPr>
        <w:t>ATTRGRD</w:t>
      </w:r>
      <w:r>
        <w:rPr>
          <w:b/>
          <w:i/>
          <w:color w:val="6B6478"/>
        </w:rPr>
        <w:t xml:space="preserve"> (componente de asistencia)</w:t>
      </w:r>
      <w:r>
        <w:rPr>
          <w:b w:val="0"/>
          <w:i w:val="0"/>
        </w:rPr>
        <w:t xml:space="preserve"> aunque la configuración de TI del instructivo 7.1.0 está completa (GORICCR</w:t>
      </w:r>
      <w:r>
        <w:rPr>
          <w:b w:val="0"/>
          <w:i/>
          <w:color w:val="6B6478"/>
        </w:rPr>
        <w:t xml:space="preserve"> (valores de configuración de las integraciones)</w:t>
      </w:r>
      <w:r>
        <w:rPr>
          <w:b w:val="0"/>
          <w:i w:val="0"/>
        </w:rPr>
        <w:t xml:space="preserve"> en Y, GORRSQL</w:t>
      </w:r>
      <w:r>
        <w:rPr>
          <w:b w:val="0"/>
          <w:i/>
          <w:color w:val="6B6478"/>
        </w:rPr>
        <w:t xml:space="preserve"> (reglas SQL de los procesos)</w:t>
      </w:r>
      <w:r>
        <w:rPr>
          <w:b w:val="0"/>
          <w:i w:val="0"/>
        </w:rPr>
        <w:t xml:space="preserve"> activa y validada). ¿Qué falta revisar: (a) el segundo registro de la regla en GORRSQL; (b) el cálculo por horas, si el panel de Pasar lista muestra «Horas asistidas 00:00» con la unidad Presente/Ausente de SOAATRK</w:t>
      </w:r>
      <w:r>
        <w:rPr>
          <w:b w:val="0"/>
          <w:i/>
          <w:color w:val="6B6478"/>
        </w:rPr>
        <w:t xml:space="preserve"> (regla de control de asistencia del NRC)</w:t>
      </w:r>
      <w:r>
        <w:rPr>
          <w:b w:val="0"/>
          <w:i w:val="0"/>
        </w:rPr>
        <w:t xml:space="preserve">; (c) que el tipo de reunión y la sesión coincidan con </w:t>
      </w:r>
      <w:r>
        <w:rPr>
          <w:rFonts w:ascii="Consolas" w:hAnsi="Consolas"/>
          <w:b w:val="0"/>
          <w:i w:val="0"/>
          <w:sz w:val="19"/>
        </w:rPr>
        <w:t>:MEETING_CODE</w:t>
      </w:r>
      <w:r>
        <w:rPr>
          <w:b w:val="0"/>
          <w:i w:val="0"/>
        </w:rPr>
        <w:t xml:space="preserve"> y </w:t>
      </w:r>
      <w:r>
        <w:rPr>
          <w:rFonts w:ascii="Consolas" w:hAnsi="Consolas"/>
          <w:b w:val="0"/>
          <w:i w:val="0"/>
          <w:sz w:val="19"/>
        </w:rPr>
        <w:t>:SESSION_ID</w:t>
      </w:r>
      <w:r>
        <w:rPr>
          <w:b w:val="0"/>
          <w:i w:val="0"/>
        </w:rPr>
        <w:t>; (d) la acción del docente que dispara el envío?</w:t>
      </w:r>
    </w:p>
    <w:p>
      <w:pPr>
        <w:keepNext/>
        <w:ind w:left="170"/>
      </w:pPr>
      <w:r>
        <w:rPr>
          <w:b/>
          <w:color w:val="4EA72E"/>
          <w:sz w:val="19"/>
        </w:rPr>
        <w:t xml:space="preserve">Lo que ya sabemos: </w:t>
      </w:r>
      <w:r>
        <w:rPr>
          <w:b w:val="0"/>
          <w:i w:val="0"/>
          <w:color w:val="4A4458"/>
          <w:sz w:val="19"/>
        </w:rPr>
        <w:t>Con el porcentaje cargado, la nota final sale INH</w:t>
      </w:r>
      <w:r>
        <w:rPr>
          <w:b w:val="0"/>
          <w:i/>
          <w:color w:val="6B6478"/>
          <w:sz w:val="19"/>
        </w:rPr>
        <w:t xml:space="preserve"> (nota de desaprobado por asistencia)</w:t>
      </w:r>
      <w:r>
        <w:rPr>
          <w:b w:val="0"/>
          <w:i w:val="0"/>
          <w:color w:val="4A4458"/>
          <w:sz w:val="19"/>
        </w:rPr>
        <w:t xml:space="preserve"> en SFASLST</w:t>
      </w:r>
      <w:r>
        <w:rPr>
          <w:b w:val="0"/>
          <w:i/>
          <w:color w:val="6B6478"/>
          <w:sz w:val="19"/>
        </w:rPr>
        <w:t xml:space="preserve"> (notas por backoffice)</w:t>
      </w:r>
      <w:r>
        <w:rPr>
          <w:b w:val="0"/>
          <w:i w:val="0"/>
          <w:color w:val="4A4458"/>
          <w:sz w:val="19"/>
        </w:rPr>
        <w:t xml:space="preserve"> (C105, C107). Según el instructivo 7.1.1 (diap. 56 y 57), el docente pulsa Clase › «Actualizar la asistencia en el libro de calificaciones» (R21); falta probarlo con el NRC</w:t>
      </w:r>
      <w:r>
        <w:rPr>
          <w:b w:val="0"/>
          <w:i/>
          <w:color w:val="6B6478"/>
          <w:sz w:val="19"/>
        </w:rPr>
        <w:t xml:space="preserve"> (Número de Referencia de Curso)</w:t>
      </w:r>
      <w:r>
        <w:rPr>
          <w:b w:val="0"/>
          <w:i w:val="0"/>
          <w:color w:val="4A4458"/>
          <w:sz w:val="19"/>
        </w:rPr>
        <w:t xml:space="preserve"> 10044.</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E22  </w:t>
      </w:r>
      <w:r>
        <w:t>Escala de Idiomas y Emprendimiento en SHAGRDE</w:t>
      </w:r>
    </w:p>
    <w:p>
      <w:pPr>
        <w:keepNext/>
      </w:pPr>
      <w:r>
        <w:rPr>
          <w:b w:val="0"/>
          <w:i w:val="0"/>
        </w:rPr>
        <w:t xml:space="preserve">En Computación el pase a historia falló hasta agregar el modo </w:t>
      </w:r>
      <w:r>
        <w:rPr>
          <w:rFonts w:ascii="Consolas" w:hAnsi="Consolas"/>
          <w:b w:val="0"/>
          <w:i w:val="0"/>
          <w:sz w:val="19"/>
        </w:rPr>
        <w:t>V</w:t>
      </w:r>
      <w:r>
        <w:rPr>
          <w:b w:val="0"/>
          <w:i w:val="0"/>
        </w:rPr>
        <w:t xml:space="preserve"> para el nivel </w:t>
      </w:r>
      <w:r>
        <w:rPr>
          <w:rFonts w:ascii="Consolas" w:hAnsi="Consolas"/>
          <w:b w:val="0"/>
          <w:i w:val="0"/>
          <w:sz w:val="19"/>
        </w:rPr>
        <w:t>C</w:t>
      </w:r>
      <w:r>
        <w:rPr>
          <w:b w:val="0"/>
          <w:i w:val="0"/>
        </w:rPr>
        <w:t xml:space="preserve"> (U20, C35). ¿Ya existen en SHAGRDE</w:t>
      </w:r>
      <w:r>
        <w:rPr>
          <w:b w:val="0"/>
          <w:i/>
          <w:color w:val="6B6478"/>
        </w:rPr>
        <w:t xml:space="preserve"> (códigos de calificación)</w:t>
      </w:r>
      <w:r>
        <w:rPr>
          <w:b w:val="0"/>
          <w:i w:val="0"/>
        </w:rPr>
        <w:t xml:space="preserve"> los códigos del modo </w:t>
      </w:r>
      <w:r>
        <w:rPr>
          <w:rFonts w:ascii="Consolas" w:hAnsi="Consolas"/>
          <w:b w:val="0"/>
          <w:i w:val="0"/>
          <w:sz w:val="19"/>
        </w:rPr>
        <w:t>C</w:t>
      </w:r>
      <w:r>
        <w:rPr>
          <w:b w:val="0"/>
          <w:i w:val="0"/>
        </w:rPr>
        <w:t xml:space="preserve"> (00 a 100) para el nivel </w:t>
      </w:r>
      <w:r>
        <w:rPr>
          <w:rFonts w:ascii="Consolas" w:hAnsi="Consolas"/>
          <w:b w:val="0"/>
          <w:i w:val="0"/>
          <w:sz w:val="19"/>
        </w:rPr>
        <w:t>I</w:t>
      </w:r>
      <w:r>
        <w:rPr>
          <w:b w:val="0"/>
          <w:i w:val="0"/>
        </w:rPr>
        <w:t xml:space="preserve"> y del modo </w:t>
      </w:r>
      <w:r>
        <w:rPr>
          <w:rFonts w:ascii="Consolas" w:hAnsi="Consolas"/>
          <w:b w:val="0"/>
          <w:i w:val="0"/>
          <w:sz w:val="19"/>
        </w:rPr>
        <w:t>V</w:t>
      </w:r>
      <w:r>
        <w:rPr>
          <w:b w:val="0"/>
          <w:i w:val="0"/>
        </w:rPr>
        <w:t xml:space="preserve"> (00 a 20) para el nivel </w:t>
      </w:r>
      <w:r>
        <w:rPr>
          <w:rFonts w:ascii="Consolas" w:hAnsi="Consolas"/>
          <w:b w:val="0"/>
          <w:i w:val="0"/>
          <w:sz w:val="19"/>
        </w:rPr>
        <w:t>M</w:t>
      </w:r>
      <w:r>
        <w:rPr>
          <w:b w:val="0"/>
          <w:i w:val="0"/>
        </w:rPr>
        <w:t xml:space="preserve">, con </w:t>
      </w:r>
      <w:r>
        <w:rPr>
          <w:rFonts w:ascii="Consolas" w:hAnsi="Consolas"/>
          <w:b w:val="0"/>
          <w:i w:val="0"/>
          <w:sz w:val="19"/>
        </w:rPr>
        <w:t>INH</w:t>
      </w:r>
      <w:r>
        <w:rPr>
          <w:b w:val="0"/>
          <w:i w:val="0"/>
        </w:rPr>
        <w:t>? ¿Quién los crea antes del primer cierre?</w:t>
      </w:r>
    </w:p>
    <w:p>
      <w:pPr>
        <w:keepNext/>
        <w:ind w:left="170"/>
      </w:pPr>
      <w:r>
        <w:rPr>
          <w:b/>
          <w:color w:val="4EA72E"/>
          <w:sz w:val="19"/>
        </w:rPr>
        <w:t xml:space="preserve">Lo que ya sabemos: </w:t>
      </w:r>
      <w:r>
        <w:rPr>
          <w:b w:val="0"/>
          <w:i w:val="0"/>
          <w:color w:val="4A4458"/>
          <w:sz w:val="19"/>
        </w:rPr>
        <w:t>Idiomas califica con el modo C (00 a 100, aprueba con 70); Computación y Emprendimiento con el modo V (00 a 20, aprueba con 11) (C65, ADR-009).</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2"/>
      </w:pPr>
      <w:r>
        <w:t>Periodos, horas y prerrequisitos</w:t>
      </w:r>
    </w:p>
    <w:p>
      <w:pPr>
        <w:pStyle w:val="Heading3"/>
      </w:pPr>
      <w:r>
        <w:rPr>
          <w:color w:val="7030A0"/>
        </w:rPr>
        <w:t xml:space="preserve">E01  </w:t>
      </w:r>
      <w:r>
        <w:t>Hora de clase de 45 y 50 minutos en el mismo periodo</w:t>
      </w:r>
    </w:p>
    <w:p>
      <w:pPr>
        <w:keepNext/>
      </w:pPr>
      <w:r>
        <w:rPr>
          <w:b w:val="0"/>
          <w:i w:val="0"/>
        </w:rPr>
        <w:t xml:space="preserve">Hora de clase de </w:t>
      </w:r>
      <w:r>
        <w:rPr>
          <w:b/>
          <w:i w:val="0"/>
        </w:rPr>
        <w:t>45 min (día)</w:t>
      </w:r>
      <w:r>
        <w:rPr>
          <w:b w:val="0"/>
          <w:i w:val="0"/>
        </w:rPr>
        <w:t xml:space="preserve"> y </w:t>
      </w:r>
      <w:r>
        <w:rPr>
          <w:b/>
          <w:i w:val="0"/>
        </w:rPr>
        <w:t>50 min (noche)</w:t>
      </w:r>
      <w:r>
        <w:rPr>
          <w:b w:val="0"/>
          <w:i w:val="0"/>
        </w:rPr>
        <w:t xml:space="preserve"> en el mismo periodo: ¿cómo se configura si SIATERM</w:t>
      </w:r>
      <w:r>
        <w:rPr>
          <w:b w:val="0"/>
          <w:i/>
          <w:color w:val="6B6478"/>
        </w:rPr>
        <w:t xml:space="preserve"> (Control de periodo de carga docente)</w:t>
      </w:r>
      <w:r>
        <w:rPr>
          <w:b w:val="0"/>
          <w:i w:val="0"/>
        </w:rPr>
        <w:t xml:space="preserve"> tiene un solo factor de duración? ¿Se ajustan a mano las horas del NRC en SSASECT</w:t>
      </w:r>
      <w:r>
        <w:rPr>
          <w:b w:val="0"/>
          <w:i/>
          <w:color w:val="6B6478"/>
        </w:rPr>
        <w:t xml:space="preserve"> (Programar NRC)</w:t>
      </w:r>
      <w:r>
        <w:rPr>
          <w:b w:val="0"/>
          <w:i w:val="0"/>
        </w:rPr>
        <w:t>?</w:t>
      </w:r>
    </w:p>
    <w:p>
      <w:pPr>
        <w:keepNext/>
        <w:ind w:left="170"/>
      </w:pPr>
      <w:r>
        <w:rPr>
          <w:b/>
          <w:color w:val="4EA72E"/>
          <w:sz w:val="19"/>
        </w:rPr>
        <w:t xml:space="preserve">Lo que ya sabemos: </w:t>
      </w:r>
      <w:r>
        <w:rPr>
          <w:b w:val="0"/>
          <w:i w:val="0"/>
          <w:color w:val="4A4458"/>
          <w:sz w:val="19"/>
        </w:rPr>
        <w:t>SIATERM tiene un solo factor de duración por periodo y SSASECT calcula las horas con ese valor (R07; 5.2, diap. 12). Hoy en SEUSS</w:t>
      </w:r>
      <w:r>
        <w:rPr>
          <w:b w:val="0"/>
          <w:i/>
          <w:color w:val="6B6478"/>
          <w:sz w:val="19"/>
        </w:rPr>
        <w:t xml:space="preserve"> (sistema académico actual de la USS)</w:t>
      </w:r>
      <w:r>
        <w:rPr>
          <w:b w:val="0"/>
          <w:i w:val="0"/>
          <w:color w:val="4A4458"/>
          <w:sz w:val="19"/>
        </w:rPr>
        <w:t>: 45 min de día y 50 de noche cuentan como 1 hora (C05).</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E03  </w:t>
      </w:r>
      <w:r>
        <w:t>Hora de 60 minutos</w:t>
      </w:r>
    </w:p>
    <w:p>
      <w:pPr>
        <w:keepNext/>
      </w:pPr>
      <w:r>
        <w:rPr>
          <w:b w:val="0"/>
          <w:i w:val="0"/>
        </w:rPr>
        <w:t xml:space="preserve">Hora de </w:t>
      </w:r>
      <w:r>
        <w:rPr>
          <w:b/>
          <w:i w:val="0"/>
        </w:rPr>
        <w:t>60 minutos</w:t>
      </w:r>
      <w:r>
        <w:rPr>
          <w:b w:val="0"/>
          <w:i w:val="0"/>
        </w:rPr>
        <w:t>: si se necesita (carga o pago del docente), ¿dónde se registra?</w:t>
      </w:r>
    </w:p>
    <w:p>
      <w:pPr>
        <w:keepNext/>
        <w:ind w:left="170"/>
      </w:pPr>
      <w:r>
        <w:rPr>
          <w:b/>
          <w:color w:val="4EA72E"/>
          <w:sz w:val="19"/>
        </w:rPr>
        <w:t xml:space="preserve">Lo que ya sabemos: </w:t>
      </w:r>
      <w:r>
        <w:rPr>
          <w:b w:val="0"/>
          <w:i w:val="0"/>
          <w:color w:val="4A4458"/>
          <w:sz w:val="19"/>
        </w:rPr>
        <w:t>Además de la hora de clase existe una hora presencial de 60 min, como la hora de trabajo (C05).</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E13  </w:t>
      </w:r>
      <w:r>
        <w:t>«En progreso» con grupos seguidos</w:t>
      </w:r>
    </w:p>
    <w:p>
      <w:pPr>
        <w:keepNext/>
      </w:pPr>
      <w:r>
        <w:rPr>
          <w:b w:val="0"/>
          <w:i w:val="0"/>
        </w:rPr>
        <w:t xml:space="preserve">Casilla </w:t>
      </w:r>
      <w:r>
        <w:rPr>
          <w:b/>
          <w:i w:val="0"/>
        </w:rPr>
        <w:t>«En progreso»</w:t>
      </w:r>
      <w:r>
        <w:rPr>
          <w:b w:val="0"/>
          <w:i w:val="0"/>
        </w:rPr>
        <w:t xml:space="preserve"> de SOATERM</w:t>
      </w:r>
      <w:r>
        <w:rPr>
          <w:b w:val="0"/>
          <w:i/>
          <w:color w:val="6B6478"/>
        </w:rPr>
        <w:t xml:space="preserve"> (Control de periodo)</w:t>
      </w:r>
      <w:r>
        <w:rPr>
          <w:b w:val="0"/>
          <w:i w:val="0"/>
        </w:rPr>
        <w:t>: con grupos seguidos (I04 termina el 31/5 e I06 empieza el 1/6), ¿se marca? Si se marca y luego desaprueba BASIC I, ¿Banner lo retira de BASIC II o se hace a mano?</w:t>
      </w:r>
    </w:p>
    <w:p>
      <w:pPr>
        <w:keepNext/>
        <w:ind w:left="170"/>
      </w:pPr>
      <w:r>
        <w:rPr>
          <w:b/>
          <w:color w:val="4EA72E"/>
          <w:sz w:val="19"/>
        </w:rPr>
        <w:t xml:space="preserve">Lo que ya sabemos: </w:t>
      </w:r>
      <w:r>
        <w:rPr>
          <w:b w:val="0"/>
          <w:i w:val="0"/>
          <w:color w:val="4A4458"/>
          <w:sz w:val="19"/>
        </w:rPr>
        <w:t>Con «En progreso» marcado en SOATERM, el curso en curso cuenta como completo para el prerrequisito; se revisa contra SSAPREQ</w:t>
      </w:r>
      <w:r>
        <w:rPr>
          <w:b w:val="0"/>
          <w:i/>
          <w:color w:val="6B6478"/>
          <w:sz w:val="19"/>
        </w:rPr>
        <w:t xml:space="preserve"> (prerrequisitos del NRC)</w:t>
      </w:r>
      <w:r>
        <w:rPr>
          <w:b w:val="0"/>
          <w:i w:val="0"/>
          <w:color w:val="4A4458"/>
          <w:sz w:val="19"/>
        </w:rPr>
        <w:t xml:space="preserve"> al calificar (R10; 1.1.2, diap. 18 y 19).</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E04  </w:t>
      </w:r>
      <w:r>
        <w:t>BASIC I después de pasar con examen de suficiencia</w:t>
      </w:r>
    </w:p>
    <w:p>
      <w:pPr>
        <w:keepNext/>
      </w:pPr>
      <w:r>
        <w:rPr>
          <w:b w:val="0"/>
          <w:i w:val="0"/>
        </w:rPr>
        <w:t xml:space="preserve">Si un participante pasa a BASIC II con </w:t>
      </w:r>
      <w:r>
        <w:rPr>
          <w:b/>
          <w:i w:val="0"/>
        </w:rPr>
        <w:t>examen de suficiencia</w:t>
      </w:r>
      <w:r>
        <w:rPr>
          <w:b w:val="0"/>
          <w:i w:val="0"/>
        </w:rPr>
        <w:t>, ¿cómo queda BASIC I en la historia y en CAPP</w:t>
      </w:r>
      <w:r>
        <w:rPr>
          <w:b w:val="0"/>
          <w:i/>
          <w:color w:val="6B6478"/>
        </w:rPr>
        <w:t xml:space="preserve"> (evaluación del avance en la malla)</w:t>
      </w:r>
      <w:r>
        <w:rPr>
          <w:b w:val="0"/>
          <w:i w:val="0"/>
        </w:rPr>
        <w:t>: pendiente o reconocido?</w:t>
      </w:r>
    </w:p>
    <w:p>
      <w:pPr>
        <w:keepNext/>
        <w:ind w:left="170"/>
      </w:pPr>
      <w:r>
        <w:rPr>
          <w:b/>
          <w:color w:val="4EA72E"/>
          <w:sz w:val="19"/>
        </w:rPr>
        <w:t xml:space="preserve">Lo que ya sabemos: </w:t>
      </w:r>
      <w:r>
        <w:rPr>
          <w:b w:val="0"/>
          <w:i w:val="0"/>
          <w:color w:val="4A4458"/>
          <w:sz w:val="19"/>
        </w:rPr>
        <w:t>El prerrequisito «BASIC I aprobado o suficiencia con puntaje mínimo» va en SCAPREQ</w:t>
      </w:r>
      <w:r>
        <w:rPr>
          <w:b w:val="0"/>
          <w:i/>
          <w:color w:val="6B6478"/>
          <w:sz w:val="19"/>
        </w:rPr>
        <w:t xml:space="preserve"> (prerrequisitos y puntajes de examen del catálogo)</w:t>
      </w:r>
      <w:r>
        <w:rPr>
          <w:b w:val="0"/>
          <w:i w:val="0"/>
          <w:color w:val="4A4458"/>
          <w:sz w:val="19"/>
        </w:rPr>
        <w:t xml:space="preserve"> y el puntaje en SOATEST</w:t>
      </w:r>
      <w:r>
        <w:rPr>
          <w:b w:val="0"/>
          <w:i/>
          <w:color w:val="6B6478"/>
          <w:sz w:val="19"/>
        </w:rPr>
        <w:t xml:space="preserve"> (puntajes de examen del estudiante)</w:t>
      </w:r>
      <w:r>
        <w:rPr>
          <w:b w:val="0"/>
          <w:i w:val="0"/>
          <w:color w:val="4A4458"/>
          <w:sz w:val="19"/>
        </w:rPr>
        <w:t xml:space="preserve"> (R03, R09). En Idiomas, quien desaprueba no avanza salvo con suficiencia (C11).</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2"/>
      </w:pPr>
      <w:r>
        <w:t>Mallas y CAPP</w:t>
      </w:r>
    </w:p>
    <w:p>
      <w:pPr>
        <w:pStyle w:val="Heading3"/>
      </w:pPr>
      <w:r>
        <w:rPr>
          <w:color w:val="7030A0"/>
        </w:rPr>
        <w:t xml:space="preserve">E05  </w:t>
      </w:r>
      <w:r>
        <w:t>Malla de los centros en CAPP</w:t>
      </w:r>
    </w:p>
    <w:p>
      <w:pPr>
        <w:keepNext/>
      </w:pPr>
      <w:r>
        <w:rPr>
          <w:b w:val="0"/>
          <w:i w:val="0"/>
        </w:rPr>
        <w:t xml:space="preserve">¿Los programas de los tres centros tendrán su </w:t>
      </w:r>
      <w:r>
        <w:rPr>
          <w:b/>
          <w:i w:val="0"/>
        </w:rPr>
        <w:t>malla en CAPP</w:t>
      </w:r>
      <w:r>
        <w:rPr>
          <w:b w:val="0"/>
          <w:i w:val="0"/>
        </w:rPr>
        <w:t xml:space="preserve"> (SMAPROG</w:t>
      </w:r>
      <w:r>
        <w:rPr>
          <w:b w:val="0"/>
          <w:i/>
          <w:color w:val="6B6478"/>
        </w:rPr>
        <w:t xml:space="preserve"> (requerimientos del programa: la malla)</w:t>
      </w:r>
      <w:r>
        <w:rPr>
          <w:b w:val="0"/>
          <w:i w:val="0"/>
        </w:rPr>
        <w:t>, SMAAREA</w:t>
      </w:r>
      <w:r>
        <w:rPr>
          <w:b w:val="0"/>
          <w:i/>
          <w:color w:val="6B6478"/>
        </w:rPr>
        <w:t xml:space="preserve"> (requerimientos de área de la malla)</w:t>
      </w:r>
      <w:r>
        <w:rPr>
          <w:b w:val="0"/>
          <w:i w:val="0"/>
        </w:rPr>
        <w:t>)? Si no, ¿cómo funciona la inscripción proyectada?</w:t>
      </w:r>
    </w:p>
    <w:p>
      <w:pPr>
        <w:keepNext/>
        <w:ind w:left="170"/>
      </w:pPr>
      <w:r>
        <w:rPr>
          <w:b/>
          <w:color w:val="4EA72E"/>
          <w:sz w:val="19"/>
        </w:rPr>
        <w:t xml:space="preserve">Lo que ya sabemos: </w:t>
      </w:r>
      <w:r>
        <w:rPr>
          <w:b w:val="0"/>
          <w:i w:val="0"/>
          <w:color w:val="4A4458"/>
          <w:sz w:val="19"/>
        </w:rPr>
        <w:t>Reglas curriculares cargadas: Idiomas MI03-01 y MI03-02; Computación MC38-01 (regla ECOM-01); Emprendimiento MM01-01 a MM01-03. La matrícula por Proyecciones del Autoservicio ya se validó (C71).</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E15  </w:t>
      </w:r>
      <w:r>
        <w:t>Programa sin plan completo al abrir 20271</w:t>
      </w:r>
    </w:p>
    <w:p>
      <w:pPr>
        <w:keepNext/>
      </w:pPr>
      <w:r>
        <w:rPr>
          <w:b w:val="0"/>
          <w:i w:val="0"/>
        </w:rPr>
        <w:t>¿Qué se hace si un programa no tiene su plan completo (cursos, versión, equivalencias) al abrir 20271?</w:t>
      </w:r>
    </w:p>
    <w:p>
      <w:pPr>
        <w:keepNext/>
        <w:ind w:left="170"/>
      </w:pPr>
      <w:r>
        <w:rPr>
          <w:b/>
          <w:color w:val="4EA72E"/>
          <w:sz w:val="19"/>
        </w:rPr>
        <w:t xml:space="preserve">Lo que ya sabemos: </w:t>
      </w:r>
      <w:r>
        <w:rPr>
          <w:b w:val="0"/>
          <w:i w:val="0"/>
          <w:color w:val="4A4458"/>
          <w:sz w:val="19"/>
        </w:rPr>
        <w:t>Sin cursos en el catálogo no hay NRC; los cursos nuevos se crean antes de cambiar las áreas y los equivalentes deben existir antes (R12).</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E16  </w:t>
      </w:r>
      <w:r>
        <w:t>Lo que ve el tutor sin malla cargada</w:t>
      </w:r>
    </w:p>
    <w:p>
      <w:pPr>
        <w:keepNext/>
      </w:pPr>
      <w:r>
        <w:rPr>
          <w:b w:val="0"/>
          <w:i w:val="0"/>
        </w:rPr>
        <w:t>Tutores: ¿qué ve el tutor en el autoservicio si el programa del estudiante no tiene su malla cargada?</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2"/>
      </w:pPr>
      <w:r>
        <w:t>Docentes y carga lectiva</w:t>
      </w:r>
    </w:p>
    <w:p>
      <w:pPr>
        <w:pStyle w:val="Heading3"/>
      </w:pPr>
      <w:r>
        <w:rPr>
          <w:color w:val="7030A0"/>
        </w:rPr>
        <w:t xml:space="preserve">E14  </w:t>
      </w:r>
      <w:r>
        <w:t>Reemplazo de un docente a mitad del curso</w:t>
      </w:r>
    </w:p>
    <w:p>
      <w:pPr>
        <w:keepNext/>
      </w:pPr>
      <w:r>
        <w:rPr>
          <w:b w:val="0"/>
          <w:i w:val="0"/>
        </w:rPr>
        <w:t>Reemplazo de docente: ¿el docente anterior se deja en el NRC con su % (historial y pago) o se elimina? ¿Qué pasa con sus notas ya registradas y con la encuesta de evaluación docente?</w:t>
      </w:r>
    </w:p>
    <w:p>
      <w:pPr>
        <w:keepNext/>
        <w:ind w:left="170"/>
      </w:pPr>
      <w:r>
        <w:rPr>
          <w:b/>
          <w:color w:val="4EA72E"/>
          <w:sz w:val="19"/>
        </w:rPr>
        <w:t xml:space="preserve">Lo que ya sabemos: </w:t>
      </w:r>
      <w:r>
        <w:rPr>
          <w:b w:val="0"/>
          <w:i w:val="0"/>
          <w:color w:val="4A4458"/>
          <w:sz w:val="19"/>
        </w:rPr>
        <w:t>El nuevo docente se asigna en SSASECT como principal con su % de responsabilidad; si PRIMINSTR</w:t>
      </w:r>
      <w:r>
        <w:rPr>
          <w:b w:val="0"/>
          <w:i/>
          <w:color w:val="6B6478"/>
          <w:sz w:val="19"/>
        </w:rPr>
        <w:t xml:space="preserve"> (regla que define si solo el docente principal registra notas)</w:t>
      </w:r>
      <w:r>
        <w:rPr>
          <w:b w:val="0"/>
          <w:i w:val="0"/>
          <w:color w:val="4A4458"/>
          <w:sz w:val="19"/>
        </w:rPr>
        <w:t xml:space="preserve"> = Y, solo el principal registra notas (R11).</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E20  </w:t>
      </w:r>
      <w:r>
        <w:t>SIAFLRT o SIAFLCT y el factor FTE</w:t>
      </w:r>
    </w:p>
    <w:p>
      <w:pPr>
        <w:keepNext/>
      </w:pPr>
      <w:r>
        <w:rPr>
          <w:b w:val="0"/>
          <w:i w:val="0"/>
        </w:rPr>
        <w:t xml:space="preserve">(A) ¿Se pueden usar </w:t>
      </w:r>
      <w:r>
        <w:rPr>
          <w:b/>
          <w:i w:val="0"/>
        </w:rPr>
        <w:t>SIAFLRT</w:t>
      </w:r>
      <w:r>
        <w:rPr>
          <w:b/>
          <w:i/>
          <w:color w:val="6B6478"/>
        </w:rPr>
        <w:t xml:space="preserve"> (reglas de carga docente)</w:t>
      </w:r>
      <w:r>
        <w:rPr>
          <w:b w:val="0"/>
          <w:i w:val="0"/>
        </w:rPr>
        <w:t xml:space="preserve"> (regla de carga, en SIAASGN</w:t>
      </w:r>
      <w:r>
        <w:rPr>
          <w:b w:val="0"/>
          <w:i/>
          <w:color w:val="6B6478"/>
        </w:rPr>
        <w:t xml:space="preserve"> (Asignación de docente, su carga)</w:t>
      </w:r>
      <w:r>
        <w:rPr>
          <w:b w:val="0"/>
          <w:i w:val="0"/>
        </w:rPr>
        <w:t xml:space="preserve">) y </w:t>
      </w:r>
      <w:r>
        <w:rPr>
          <w:b/>
          <w:i w:val="0"/>
        </w:rPr>
        <w:t>SIAFLCT</w:t>
      </w:r>
      <w:r>
        <w:rPr>
          <w:b/>
          <w:i/>
          <w:color w:val="6B6478"/>
        </w:rPr>
        <w:t xml:space="preserve"> (reglas de carga por tipo de contrato)</w:t>
      </w:r>
      <w:r>
        <w:rPr>
          <w:b w:val="0"/>
          <w:i w:val="0"/>
        </w:rPr>
        <w:t xml:space="preserve"> (contrato, en SIACONA</w:t>
      </w:r>
      <w:r>
        <w:rPr>
          <w:b w:val="0"/>
          <w:i/>
          <w:color w:val="6B6478"/>
        </w:rPr>
        <w:t xml:space="preserve"> (análisis de la carga por contrato)</w:t>
      </w:r>
      <w:r>
        <w:rPr>
          <w:b w:val="0"/>
          <w:i w:val="0"/>
        </w:rPr>
        <w:t xml:space="preserve">) a la vez, o recomiendan una sola? (b) En los periodos de Centros, ¿conviene poner el </w:t>
      </w:r>
      <w:r>
        <w:rPr>
          <w:b/>
          <w:i w:val="0"/>
        </w:rPr>
        <w:t>factor FTE</w:t>
      </w:r>
      <w:r>
        <w:rPr>
          <w:b/>
          <w:i/>
          <w:color w:val="6B6478"/>
        </w:rPr>
        <w:t xml:space="preserve"> (equivalente a tiempo completo)</w:t>
      </w:r>
      <w:r>
        <w:rPr>
          <w:b/>
          <w:i w:val="0"/>
        </w:rPr>
        <w:t xml:space="preserve"> de SIATERM en 48</w:t>
      </w:r>
      <w:r>
        <w:rPr>
          <w:b w:val="0"/>
          <w:i w:val="0"/>
        </w:rPr>
        <w:t>, para que un especialista de 48 horas sea 1 FTE?</w:t>
      </w:r>
    </w:p>
    <w:p>
      <w:pPr>
        <w:keepNext/>
        <w:ind w:left="170"/>
      </w:pPr>
      <w:r>
        <w:rPr>
          <w:b/>
          <w:color w:val="4EA72E"/>
          <w:sz w:val="19"/>
        </w:rPr>
        <w:t xml:space="preserve">Lo que ya sabemos: </w:t>
      </w:r>
      <w:r>
        <w:rPr>
          <w:b w:val="0"/>
          <w:i w:val="0"/>
          <w:color w:val="4A4458"/>
          <w:sz w:val="19"/>
        </w:rPr>
        <w:t>El instructivo las presenta como dos formas de evaluar la carga, no excluyentes (R19). ADR-020 recomienda medir por contrato (SIAFLCT y SIACONA). Contratos ES (48 h) y FC ya creados (C54 a C57).</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2"/>
      </w:pPr>
      <w:r>
        <w:t>Finanzas y matrícula</w:t>
      </w:r>
    </w:p>
    <w:p>
      <w:pPr>
        <w:pStyle w:val="Heading3"/>
      </w:pPr>
      <w:r>
        <w:rPr>
          <w:color w:val="7030A0"/>
        </w:rPr>
        <w:t xml:space="preserve">U29  </w:t>
      </w:r>
      <w:r>
        <w:t>Cambio de modalidad de pago entre partes de periodo</w:t>
      </w:r>
    </w:p>
    <w:p>
      <w:pPr>
        <w:keepNext/>
      </w:pPr>
      <w:r>
        <w:rPr>
          <w:b w:val="0"/>
          <w:i w:val="0"/>
        </w:rPr>
        <w:t>¿Un estudiante que eligió una modalidad de pago (ej. 3 cuotas) para su primer curso (ej. parte de periodo I04), puede cambiar su modalidad de pago si inicia un segundo curso en otra parte de periodo dentro del mismo semestre (ej. I05)? Pregunta planteada por Sandra Valdiviezo (USS) en chat de coordinación de Centros.</w:t>
      </w:r>
    </w:p>
    <w:p>
      <w:pPr>
        <w:keepNext/>
        <w:ind w:left="170"/>
      </w:pPr>
      <w:r>
        <w:rPr>
          <w:b/>
          <w:color w:val="4EA72E"/>
          <w:sz w:val="19"/>
        </w:rPr>
        <w:t xml:space="preserve">Lo que ya sabemos: </w:t>
      </w:r>
      <w:r>
        <w:rPr>
          <w:b w:val="0"/>
          <w:i w:val="0"/>
          <w:color w:val="4A4458"/>
          <w:sz w:val="19"/>
        </w:rPr>
        <w:t>Pregunta de Sandra Valdiviezo (USS) en el chat de coordinación. El plan de cuotas I1 se probó en TEST (TSAISTC, TSPISTA, C76 a C80).</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E23  </w:t>
      </w:r>
      <w:r>
        <w:t>Estimación en línea para pagar al matricular</w:t>
      </w:r>
    </w:p>
    <w:p>
      <w:pPr>
        <w:keepNext/>
      </w:pPr>
      <w:r>
        <w:rPr>
          <w:b w:val="0"/>
          <w:i w:val="0"/>
        </w:rPr>
        <w:t>¿Quién la habilita (SOATERM, SFARGFE</w:t>
      </w:r>
      <w:r>
        <w:rPr>
          <w:b w:val="0"/>
          <w:i/>
          <w:color w:val="6B6478"/>
        </w:rPr>
        <w:t xml:space="preserve"> (reglas de cobro de la inscripción)</w:t>
      </w:r>
      <w:r>
        <w:rPr>
          <w:b w:val="0"/>
          <w:i w:val="0"/>
        </w:rPr>
        <w:t>) para que el cargo se liquide al matricular y el alumno pague en línea, y desde cuándo?</w:t>
      </w:r>
    </w:p>
    <w:p>
      <w:pPr>
        <w:keepNext/>
        <w:ind w:left="170"/>
      </w:pPr>
      <w:r>
        <w:rPr>
          <w:b/>
          <w:color w:val="4EA72E"/>
          <w:sz w:val="19"/>
        </w:rPr>
        <w:t xml:space="preserve">Lo que ya sabemos: </w:t>
      </w:r>
      <w:r>
        <w:rPr>
          <w:b w:val="0"/>
          <w:i w:val="0"/>
          <w:color w:val="4A4458"/>
          <w:sz w:val="19"/>
        </w:rPr>
        <w:t>Liliana Ocampo (Ellucian) indicó que hay que habilitarla para que el cargo se liquide al instante, sin esperar el proceso por lotes SFRFASC</w:t>
      </w:r>
      <w:r>
        <w:rPr>
          <w:b w:val="0"/>
          <w:i/>
          <w:color w:val="6B6478"/>
          <w:sz w:val="19"/>
        </w:rPr>
        <w:t xml:space="preserve"> (estimación de cuotas por lotes)</w:t>
      </w:r>
      <w:r>
        <w:rPr>
          <w:b w:val="0"/>
          <w:i w:val="0"/>
          <w:color w:val="4A4458"/>
          <w:sz w:val="19"/>
        </w:rPr>
        <w:t xml:space="preserve"> (C82).</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E24  </w:t>
      </w:r>
      <w:r>
        <w:t>GAP de Finanzas para elegir el plan de pagos</w:t>
      </w:r>
    </w:p>
    <w:p>
      <w:pPr>
        <w:keepNext/>
      </w:pPr>
      <w:r>
        <w:rPr>
          <w:b w:val="0"/>
          <w:i w:val="0"/>
        </w:rPr>
        <w:t>¿En qué estado está y cuándo entra? Mientras tanto, ¿el plan de cuotas se asigna en SAAADMS</w:t>
      </w:r>
      <w:r>
        <w:rPr>
          <w:b w:val="0"/>
          <w:i/>
          <w:color w:val="6B6478"/>
        </w:rPr>
        <w:t xml:space="preserve"> (solicitud de admisión)</w:t>
      </w:r>
      <w:r>
        <w:rPr>
          <w:b w:val="0"/>
          <w:i w:val="0"/>
        </w:rPr>
        <w:t xml:space="preserve"> como se probó en TEST (C78)?</w:t>
      </w:r>
    </w:p>
    <w:p>
      <w:pPr>
        <w:keepNext/>
        <w:ind w:left="170"/>
      </w:pPr>
      <w:r>
        <w:rPr>
          <w:b/>
          <w:color w:val="4EA72E"/>
          <w:sz w:val="19"/>
        </w:rPr>
        <w:t xml:space="preserve">Lo que ya sabemos: </w:t>
      </w:r>
      <w:r>
        <w:rPr>
          <w:b w:val="0"/>
          <w:i w:val="0"/>
          <w:color w:val="4A4458"/>
          <w:sz w:val="19"/>
        </w:rPr>
        <w:t>La selección del plan por el alumno entrará con un desarrollo a medida pedido por Finanzas (C82). En TEST el plan se asignó en SAAADMS (C78).</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2"/>
      </w:pPr>
      <w:r>
        <w:t>Aula virtual</w:t>
      </w:r>
    </w:p>
    <w:p>
      <w:pPr>
        <w:pStyle w:val="Heading3"/>
      </w:pPr>
      <w:r>
        <w:rPr>
          <w:color w:val="7030A0"/>
        </w:rPr>
        <w:t xml:space="preserve">E02  </w:t>
      </w:r>
      <w:r>
        <w:t>Qué sale al aula virtual y si las notas regresan</w:t>
      </w:r>
    </w:p>
    <w:p>
      <w:pPr>
        <w:keepNext/>
      </w:pPr>
      <w:r>
        <w:rPr>
          <w:b w:val="0"/>
          <w:i w:val="0"/>
        </w:rPr>
        <w:t xml:space="preserve">Aula virtual: ¿las </w:t>
      </w:r>
      <w:r>
        <w:rPr>
          <w:b/>
          <w:i w:val="0"/>
        </w:rPr>
        <w:t>notas regresan</w:t>
      </w:r>
      <w:r>
        <w:rPr>
          <w:b w:val="0"/>
          <w:i w:val="0"/>
        </w:rPr>
        <w:t xml:space="preserve"> a Banner? ¿Qué datos salen (NRC, docente, participantes, plan de evaluación)?</w:t>
      </w:r>
    </w:p>
    <w:p>
      <w:pPr>
        <w:keepNext/>
        <w:ind w:left="170"/>
      </w:pPr>
      <w:r>
        <w:rPr>
          <w:b/>
          <w:color w:val="4EA72E"/>
          <w:sz w:val="19"/>
        </w:rPr>
        <w:t xml:space="preserve">Lo que ya sabemos: </w:t>
      </w:r>
      <w:r>
        <w:rPr>
          <w:b w:val="0"/>
          <w:i w:val="0"/>
          <w:color w:val="4A4458"/>
          <w:sz w:val="19"/>
        </w:rPr>
        <w:t>El NRC se vincula con el campo «Socio de integración» de SSASECT; los datos del NRC salen al aula virtual (R06; 6.2.4, diap. 10 a 14).</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2"/>
      </w:pPr>
      <w:r>
        <w:t>Solicitudes, certificados y seguimiento</w:t>
      </w:r>
    </w:p>
    <w:p>
      <w:pPr>
        <w:pStyle w:val="Heading3"/>
      </w:pPr>
      <w:r>
        <w:rPr>
          <w:color w:val="7030A0"/>
        </w:rPr>
        <w:t xml:space="preserve">E21  </w:t>
      </w:r>
      <w:r>
        <w:t>Certificados y documentos del alumno</w:t>
      </w:r>
    </w:p>
    <w:p>
      <w:pPr>
        <w:keepNext/>
      </w:pPr>
      <w:r>
        <w:rPr>
          <w:b w:val="0"/>
          <w:i w:val="0"/>
        </w:rPr>
        <w:t xml:space="preserve">(A) ¿Banner </w:t>
      </w:r>
      <w:r>
        <w:rPr>
          <w:b/>
          <w:i w:val="0"/>
        </w:rPr>
        <w:t>genera el certificado</w:t>
      </w:r>
      <w:r>
        <w:rPr>
          <w:b w:val="0"/>
          <w:i w:val="0"/>
        </w:rPr>
        <w:t xml:space="preserve"> (reporte o plantilla) o se hace fuera? (b) ¿El servicio </w:t>
      </w:r>
      <w:r>
        <w:rPr>
          <w:rFonts w:ascii="Consolas" w:hAnsi="Consolas"/>
          <w:b w:val="0"/>
          <w:i w:val="0"/>
          <w:sz w:val="19"/>
        </w:rPr>
        <w:t>CER</w:t>
      </w:r>
      <w:r>
        <w:rPr>
          <w:b w:val="0"/>
          <w:i w:val="0"/>
        </w:rPr>
        <w:t xml:space="preserve"> </w:t>
      </w:r>
      <w:r>
        <w:rPr>
          <w:b/>
          <w:i w:val="0"/>
        </w:rPr>
        <w:t>cobra</w:t>
      </w:r>
      <w:r>
        <w:rPr>
          <w:b w:val="0"/>
          <w:i w:val="0"/>
        </w:rPr>
        <w:t xml:space="preserve"> al pedirlo? (c) ¿Dónde se </w:t>
      </w:r>
      <w:r>
        <w:rPr>
          <w:b/>
          <w:i w:val="0"/>
        </w:rPr>
        <w:t>guardan los documentos</w:t>
      </w:r>
      <w:r>
        <w:rPr>
          <w:b w:val="0"/>
          <w:i w:val="0"/>
        </w:rPr>
        <w:t xml:space="preserve"> del alumno (certificados, carpeta de grado)? ¿Hay un gestor documental conectado a Banner? ¿Quién los sube? (d) ¿Habrá un certificado propio de los Centros?</w:t>
      </w:r>
    </w:p>
    <w:p>
      <w:pPr>
        <w:keepNext/>
        <w:ind w:left="170"/>
      </w:pPr>
      <w:r>
        <w:rPr>
          <w:b/>
          <w:color w:val="4EA72E"/>
          <w:sz w:val="19"/>
        </w:rPr>
        <w:t xml:space="preserve">Lo que ya sabemos: </w:t>
      </w:r>
      <w:r>
        <w:rPr>
          <w:b w:val="0"/>
          <w:i w:val="0"/>
          <w:color w:val="4A4458"/>
          <w:sz w:val="19"/>
        </w:rPr>
        <w:t>El certificado es una solicitud de servicio (CER) que el alumno crea en el Autoservicio y el área atiende en SVASVPR</w:t>
      </w:r>
      <w:r>
        <w:rPr>
          <w:b w:val="0"/>
          <w:i/>
          <w:color w:val="6B6478"/>
          <w:sz w:val="19"/>
        </w:rPr>
        <w:t xml:space="preserve"> (administración de solicitudes de servicio)</w:t>
      </w:r>
      <w:r>
        <w:rPr>
          <w:b w:val="0"/>
          <w:i w:val="0"/>
          <w:color w:val="4A4458"/>
          <w:sz w:val="19"/>
        </w:rPr>
        <w:t>; se validó con Computación (C44, R20).</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E10  </w:t>
      </w:r>
      <w:r>
        <w:t>Certificado de los centros como grado</w:t>
      </w:r>
    </w:p>
    <w:p>
      <w:pPr>
        <w:keepNext/>
      </w:pPr>
      <w:r>
        <w:rPr>
          <w:b w:val="0"/>
          <w:i w:val="0"/>
        </w:rPr>
        <w:t>¿El certificado de los centros se registra como grado (SHADEGR</w:t>
      </w:r>
      <w:r>
        <w:rPr>
          <w:b w:val="0"/>
          <w:i/>
          <w:color w:val="6B6478"/>
        </w:rPr>
        <w:t xml:space="preserve"> (grado del estudiante)</w:t>
      </w:r>
      <w:r>
        <w:rPr>
          <w:b w:val="0"/>
          <w:i w:val="0"/>
        </w:rPr>
        <w:t>)?</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E17  </w:t>
      </w:r>
      <w:r>
        <w:t>Aviso por correo y derivación a Gobierno de Personas</w:t>
      </w:r>
    </w:p>
    <w:p>
      <w:pPr>
        <w:keepNext/>
      </w:pPr>
      <w:r>
        <w:rPr>
          <w:b w:val="0"/>
          <w:i w:val="0"/>
        </w:rPr>
        <w:t>¿Las solicitudes de servicio pueden avisar por correo o asignarse a Gobierno de Personas? ¿Hay integración con su sistema?</w:t>
      </w:r>
    </w:p>
    <w:p>
      <w:pPr>
        <w:keepNext/>
        <w:ind w:left="170"/>
      </w:pPr>
      <w:r>
        <w:rPr>
          <w:b/>
          <w:color w:val="4EA72E"/>
          <w:sz w:val="19"/>
        </w:rPr>
        <w:t xml:space="preserve">Lo que ya sabemos: </w:t>
      </w:r>
      <w:r>
        <w:rPr>
          <w:b w:val="0"/>
          <w:i w:val="0"/>
          <w:color w:val="4A4458"/>
          <w:sz w:val="19"/>
        </w:rPr>
        <w:t>Una queja se registra como solicitud de servicio (R14). En SVVSRVC</w:t>
      </w:r>
      <w:r>
        <w:rPr>
          <w:b w:val="0"/>
          <w:i/>
          <w:color w:val="6B6478"/>
          <w:sz w:val="19"/>
        </w:rPr>
        <w:t xml:space="preserve"> (catálogo de solicitudes de servicio)</w:t>
      </w:r>
      <w:r>
        <w:rPr>
          <w:b w:val="0"/>
          <w:i w:val="0"/>
          <w:color w:val="4A4458"/>
          <w:sz w:val="19"/>
        </w:rPr>
        <w:t xml:space="preserve"> hay 17 servicios y ninguno es de queja (C44).</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E18  </w:t>
      </w:r>
      <w:r>
        <w:t>Quién atiende cada servicio y confidencialidad</w:t>
      </w:r>
    </w:p>
    <w:p>
      <w:pPr>
        <w:keepNext/>
      </w:pPr>
      <w:r>
        <w:rPr>
          <w:b w:val="0"/>
          <w:i w:val="0"/>
        </w:rPr>
        <w:t>¿Cómo se define quién atiende cada servicio y quién puede ver una queja (confidencialidad)?</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E19  </w:t>
      </w:r>
      <w:r>
        <w:t>Alertas tempranas por faltas o notas bajas</w:t>
      </w:r>
    </w:p>
    <w:p>
      <w:pPr>
        <w:keepNext/>
      </w:pPr>
      <w:r>
        <w:rPr>
          <w:b w:val="0"/>
          <w:i w:val="0"/>
        </w:rPr>
        <w:t>¿Banner tiene alertas tempranas por faltas o notas bajas, o solo reportes y comunicaciones?</w:t>
      </w:r>
    </w:p>
    <w:p>
      <w:pPr>
        <w:keepNext/>
        <w:ind w:left="170"/>
      </w:pPr>
      <w:r>
        <w:rPr>
          <w:b/>
          <w:color w:val="4EA72E"/>
          <w:sz w:val="19"/>
        </w:rPr>
        <w:t xml:space="preserve">Lo que ya sabemos: </w:t>
      </w:r>
      <w:r>
        <w:rPr>
          <w:b w:val="0"/>
          <w:i w:val="0"/>
          <w:color w:val="4A4458"/>
          <w:sz w:val="19"/>
        </w:rPr>
        <w:t>Los instructivos traen seguimiento en SPACMNT</w:t>
      </w:r>
      <w:r>
        <w:rPr>
          <w:b w:val="0"/>
          <w:i/>
          <w:color w:val="6B6478"/>
          <w:sz w:val="19"/>
        </w:rPr>
        <w:t xml:space="preserve"> (comentarios de la persona)</w:t>
      </w:r>
      <w:r>
        <w:rPr>
          <w:b w:val="0"/>
          <w:i w:val="0"/>
          <w:color w:val="4A4458"/>
          <w:sz w:val="19"/>
        </w:rPr>
        <w:t>, estado académico y comunicaciones, pero no alertas tempranas (R16).</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2"/>
      </w:pPr>
      <w:r>
        <w:t>Migración y validación</w:t>
      </w:r>
    </w:p>
    <w:p>
      <w:pPr>
        <w:pStyle w:val="Heading3"/>
      </w:pPr>
      <w:r>
        <w:rPr>
          <w:color w:val="7030A0"/>
        </w:rPr>
        <w:t xml:space="preserve">E06  </w:t>
      </w:r>
      <w:r>
        <w:t>Historia de los centros en la migración</w:t>
      </w:r>
    </w:p>
    <w:p>
      <w:pPr>
        <w:keepNext/>
      </w:pPr>
      <w:r>
        <w:rPr>
          <w:b w:val="0"/>
          <w:i w:val="0"/>
        </w:rPr>
        <w:t>¿Se migra la historia de los centros? ¿A qué periodos de Banner van los cursos llevados en SEUSS?</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E07  </w:t>
      </w:r>
      <w:r>
        <w:t>Carga LD01 con equivalencias</w:t>
      </w:r>
    </w:p>
    <w:p>
      <w:pPr>
        <w:keepNext/>
      </w:pPr>
      <w:r>
        <w:rPr>
          <w:b w:val="0"/>
          <w:i w:val="0"/>
        </w:rPr>
        <w:t>¿Qué incluye la «Carga LD01 con equivalencias»? ¿Tiene cursos de los centros?</w:t>
      </w:r>
    </w:p>
    <w:p>
      <w:pPr>
        <w:keepNext/>
        <w:ind w:left="170"/>
      </w:pPr>
      <w:r>
        <w:rPr>
          <w:b/>
          <w:color w:val="4EA72E"/>
          <w:sz w:val="19"/>
        </w:rPr>
        <w:t xml:space="preserve">Lo que ya sabemos: </w:t>
      </w:r>
      <w:r>
        <w:rPr>
          <w:b w:val="0"/>
          <w:i w:val="0"/>
          <w:color w:val="4A4458"/>
          <w:sz w:val="19"/>
        </w:rPr>
        <w:t>Ellucian indicó que cada fila de equivalencias debe ir con el plan de su modalidad (C58).</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E08  </w:t>
      </w:r>
      <w:r>
        <w:t>Alumnos de los centros en la muestra de validación</w:t>
      </w:r>
    </w:p>
    <w:p>
      <w:pPr>
        <w:keepNext/>
      </w:pPr>
      <w:r>
        <w:rPr>
          <w:b w:val="0"/>
          <w:i w:val="0"/>
        </w:rPr>
        <w:t>¿La muestra de validación incluye participantes de los centros? ¿Cuántos y quién los elige? (propuesta: 16 por centro)</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E09  </w:t>
      </w:r>
      <w:r>
        <w:t>Quién ejecuta SMARQCM y SFPPROJ en TEST</w:t>
      </w:r>
    </w:p>
    <w:p>
      <w:pPr>
        <w:keepNext/>
      </w:pPr>
      <w:r>
        <w:rPr>
          <w:b w:val="0"/>
          <w:i w:val="0"/>
        </w:rPr>
        <w:t>¿Quién ejecuta SMARQCM</w:t>
      </w:r>
      <w:r>
        <w:rPr>
          <w:b w:val="0"/>
          <w:i/>
          <w:color w:val="6B6478"/>
        </w:rPr>
        <w:t xml:space="preserve"> (CAPP de un estudiante)</w:t>
      </w:r>
      <w:r>
        <w:rPr>
          <w:b w:val="0"/>
          <w:i w:val="0"/>
        </w:rPr>
        <w:t xml:space="preserve"> y SFPPROJ</w:t>
      </w:r>
      <w:r>
        <w:rPr>
          <w:b w:val="0"/>
          <w:i/>
          <w:color w:val="6B6478"/>
        </w:rPr>
        <w:t xml:space="preserve"> (proceso de proyección académica)</w:t>
      </w:r>
      <w:r>
        <w:rPr>
          <w:b w:val="0"/>
          <w:i w:val="0"/>
        </w:rPr>
        <w:t xml:space="preserve"> en TEST, Ellucian o la USS? ¿Hay accesos?</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E11  </w:t>
      </w:r>
      <w:r>
        <w:t>Formato del Issue log</w:t>
      </w:r>
    </w:p>
    <w:p>
      <w:pPr>
        <w:keepNext/>
      </w:pPr>
      <w:r>
        <w:rPr>
          <w:b w:val="0"/>
          <w:i w:val="0"/>
        </w:rPr>
        <w:t>¿Cuándo se define el formato del Issue log? ¿Sirve la propuesta de la planilla?</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E12  </w:t>
      </w:r>
      <w:r>
        <w:t>Totales por centro desde Insight</w:t>
      </w:r>
    </w:p>
    <w:p>
      <w:pPr>
        <w:keepNext/>
      </w:pPr>
      <w:r>
        <w:rPr>
          <w:b w:val="0"/>
          <w:i w:val="0"/>
        </w:rPr>
        <w:t>¿Insight puede dar los totales por centro para conciliar con SEUSS?</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spacing w:after="0"/>
      </w:pPr>
      <w:r>
        <w:br w:type="page"/>
      </w:r>
    </w:p>
    <w:p>
      <w:pPr>
        <w:pStyle w:val="Heading1"/>
      </w:pPr>
      <w:r>
        <w:t>2. Para la USS (preparar con los jefes)</w:t>
      </w:r>
    </w:p>
    <w:p>
      <w:r>
        <w:rPr>
          <w:b w:val="0"/>
          <w:i w:val="0"/>
          <w:color w:val="6B6478"/>
        </w:rPr>
        <w:t>No son para Ellucian, pero sus respuestas definen datos de Banner. Conviene tenerlas a la mano en la reunión.</w:t>
      </w:r>
    </w:p>
    <w:p>
      <w:pPr>
        <w:pStyle w:val="Heading2"/>
      </w:pPr>
      <w:r>
        <w:t>Reglas académicas</w:t>
      </w:r>
    </w:p>
    <w:p>
      <w:pPr>
        <w:pStyle w:val="Heading3"/>
      </w:pPr>
      <w:r>
        <w:rPr>
          <w:color w:val="7030A0"/>
        </w:rPr>
        <w:t xml:space="preserve">U01  </w:t>
      </w:r>
      <w:r>
        <w:t>Puntaje mínimo del examen de suficiencia de Inglés</w:t>
      </w:r>
    </w:p>
    <w:p>
      <w:pPr>
        <w:keepNext/>
      </w:pPr>
      <w:r>
        <w:rPr>
          <w:b w:val="0"/>
          <w:i w:val="0"/>
        </w:rPr>
        <w:t xml:space="preserve">Examen de suficiencia de Inglés: ¿qué </w:t>
      </w:r>
      <w:r>
        <w:rPr>
          <w:b/>
          <w:i w:val="0"/>
        </w:rPr>
        <w:t>puntaje mínimo</w:t>
      </w:r>
      <w:r>
        <w:rPr>
          <w:b w:val="0"/>
          <w:i w:val="0"/>
        </w:rPr>
        <w:t xml:space="preserve"> se exige y quién lo registra en Banner (SOATEST)? La regla ya está confirmada (C11).</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U21  </w:t>
      </w:r>
      <w:r>
        <w:t>¿Emprendimiento rinde examen de suficiencia?</w:t>
      </w:r>
    </w:p>
    <w:p>
      <w:pPr>
        <w:keepNext/>
      </w:pPr>
      <w:r>
        <w:rPr>
          <w:b w:val="0"/>
          <w:i w:val="0"/>
        </w:rPr>
        <w:t>¿El Centro de Emprendimiento rinde examen de suficiencia para acreditar o exonerar módulos, o solo aplica a Idiomas?</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U02  </w:t>
      </w:r>
      <w:r>
        <w:t>Secuencia de cursos en Emprendimiento</w:t>
      </w:r>
    </w:p>
    <w:p>
      <w:pPr>
        <w:keepNext/>
      </w:pPr>
      <w:r>
        <w:rPr>
          <w:b w:val="0"/>
          <w:i w:val="0"/>
        </w:rPr>
        <w:t xml:space="preserve">En Idiomas y Computación ya se definió la secuencia (C62). ¿En </w:t>
      </w:r>
      <w:r>
        <w:rPr>
          <w:b/>
          <w:i w:val="0"/>
        </w:rPr>
        <w:t>Emprendimiento</w:t>
      </w:r>
      <w:r>
        <w:rPr>
          <w:b w:val="0"/>
          <w:i w:val="0"/>
        </w:rPr>
        <w:t xml:space="preserve"> el alumno debe aprobar el módulo I para llevar el II y el III, o puede llevarlos en cualquier orden?</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U09  </w:t>
      </w:r>
      <w:r>
        <w:t>Nombres de las horas (pedagógica y cronológica)</w:t>
      </w:r>
    </w:p>
    <w:p>
      <w:pPr>
        <w:keepNext/>
      </w:pPr>
      <w:r>
        <w:rPr>
          <w:b/>
          <w:i w:val="0"/>
        </w:rPr>
        <w:t>Nombres de las horas.</w:t>
      </w:r>
      <w:r>
        <w:rPr>
          <w:b w:val="0"/>
          <w:i w:val="0"/>
        </w:rPr>
        <w:t xml:space="preserve"> El 26/09 el usuario dijo «pedagógica = presencial, 60 min» y «cronológica = 45 min de día / 50 de noche = 1 hora». En su nota del Zoom estaba al revés («40–45 / 50 min → h. académicas; 1 hora → h. cronológicas»), y en el uso común la hora pedagógica es la de 45/50 y la cronológica la de 60. En los PDF se usan sus nombres, siempre con los minutos al lado. Confirmar.</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2"/>
      </w:pPr>
      <w:r>
        <w:t>Programas, mallas y catálogo</w:t>
      </w:r>
    </w:p>
    <w:p>
      <w:pPr>
        <w:pStyle w:val="Heading3"/>
      </w:pPr>
      <w:r>
        <w:rPr>
          <w:color w:val="7030A0"/>
        </w:rPr>
        <w:t xml:space="preserve">U31  </w:t>
      </w:r>
      <w:r>
        <w:t>¿CMEMC44 o CMEMC38 para Diseño Web?</w:t>
      </w:r>
    </w:p>
    <w:p>
      <w:pPr>
        <w:keepNext/>
      </w:pPr>
      <w:r>
        <w:rPr>
          <w:b w:val="0"/>
          <w:i w:val="0"/>
        </w:rPr>
        <w:t xml:space="preserve">La hoja de NRC 202656 y los alumnos de prueba usan </w:t>
      </w:r>
      <w:r>
        <w:rPr>
          <w:rFonts w:ascii="Consolas" w:hAnsi="Consolas"/>
          <w:b w:val="0"/>
          <w:i w:val="0"/>
          <w:sz w:val="19"/>
        </w:rPr>
        <w:t>CMEMC38</w:t>
      </w:r>
      <w:r>
        <w:rPr>
          <w:b w:val="0"/>
          <w:i w:val="0"/>
        </w:rPr>
        <w:t xml:space="preserve"> «Acreditación Computación XP 01» (malla MC38-01, regla ECOM-01), pero al alumno </w:t>
      </w:r>
      <w:r>
        <w:rPr>
          <w:rFonts w:ascii="Consolas" w:hAnsi="Consolas"/>
          <w:b w:val="0"/>
          <w:i w:val="0"/>
          <w:sz w:val="19"/>
        </w:rPr>
        <w:t>100582059</w:t>
      </w:r>
      <w:r>
        <w:rPr>
          <w:b w:val="0"/>
          <w:i w:val="0"/>
        </w:rPr>
        <w:t xml:space="preserve"> se le dio </w:t>
      </w:r>
      <w:r>
        <w:rPr>
          <w:rFonts w:ascii="Consolas" w:hAnsi="Consolas"/>
          <w:b w:val="0"/>
          <w:i w:val="0"/>
          <w:sz w:val="19"/>
        </w:rPr>
        <w:t>CMEMC44</w:t>
      </w:r>
      <w:r>
        <w:rPr>
          <w:b w:val="0"/>
          <w:i w:val="0"/>
        </w:rPr>
        <w:t xml:space="preserve"> «Acreditación Computación XP 07» (C100). ¿Qué distingue a XP 01 de XP 07 y cuál corresponde a Diseño Web (</w:t>
      </w:r>
      <w:r>
        <w:rPr>
          <w:rFonts w:ascii="Consolas" w:hAnsi="Consolas"/>
          <w:b w:val="0"/>
          <w:i w:val="0"/>
          <w:sz w:val="19"/>
        </w:rPr>
        <w:t>ESEC 00684</w:t>
      </w:r>
      <w:r>
        <w:rPr>
          <w:b w:val="0"/>
          <w:i w:val="0"/>
        </w:rPr>
        <w:t>)? No bloquea la matrícula, pero sí el CAPP.</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U19  </w:t>
      </w:r>
      <w:r>
        <w:t>Programa MC38 y regla ECOM-01</w:t>
      </w:r>
    </w:p>
    <w:p>
      <w:pPr>
        <w:keepNext/>
      </w:pPr>
      <w:r>
        <w:rPr>
          <w:rFonts w:ascii="Consolas" w:hAnsi="Consolas"/>
          <w:b w:val="0"/>
          <w:i w:val="0"/>
          <w:sz w:val="19"/>
        </w:rPr>
        <w:t>CMEMC38</w:t>
      </w:r>
      <w:r>
        <w:rPr>
          <w:b w:val="0"/>
          <w:i w:val="0"/>
        </w:rPr>
        <w:t xml:space="preserve"> y el nivel </w:t>
      </w:r>
      <w:r>
        <w:rPr>
          <w:rFonts w:ascii="Consolas" w:hAnsi="Consolas"/>
          <w:b w:val="0"/>
          <w:i w:val="0"/>
          <w:sz w:val="19"/>
        </w:rPr>
        <w:t>C</w:t>
      </w:r>
      <w:r>
        <w:rPr>
          <w:b w:val="0"/>
          <w:i w:val="0"/>
        </w:rPr>
        <w:t xml:space="preserve"> ya están confirmados. ¿Qué programa es </w:t>
      </w:r>
      <w:r>
        <w:rPr>
          <w:b/>
          <w:i w:val="0"/>
        </w:rPr>
        <w:t>MC38</w:t>
      </w:r>
      <w:r>
        <w:rPr>
          <w:b w:val="0"/>
          <w:i w:val="0"/>
        </w:rPr>
        <w:t xml:space="preserve"> en SMAAREA y la regla </w:t>
      </w:r>
      <w:r>
        <w:rPr>
          <w:b/>
          <w:i w:val="0"/>
        </w:rPr>
        <w:t>ECOM-01</w:t>
      </w:r>
      <w:r>
        <w:rPr>
          <w:b w:val="0"/>
          <w:i w:val="0"/>
        </w:rPr>
        <w:t xml:space="preserve"> es el requisito de computación de pregrado?</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U05  </w:t>
      </w:r>
      <w:r>
        <w:t>Nombres de los cursos de Emprendimiento en el catálogo</w:t>
      </w:r>
    </w:p>
    <w:p>
      <w:pPr>
        <w:keepNext/>
      </w:pPr>
      <w:r>
        <w:rPr>
          <w:b w:val="0"/>
          <w:i w:val="0"/>
        </w:rPr>
        <w:t xml:space="preserve">En Idiomas y Computación los cursos ya están confirmados. ¿Cuáles son los nombres y códigos de los cursos de </w:t>
      </w:r>
      <w:r>
        <w:rPr>
          <w:b/>
          <w:i w:val="0"/>
        </w:rPr>
        <w:t>Emprendimiento</w:t>
      </w:r>
      <w:r>
        <w:rPr>
          <w:b w:val="0"/>
          <w:i w:val="0"/>
        </w:rPr>
        <w:t xml:space="preserve"> (</w:t>
      </w:r>
      <w:r>
        <w:rPr>
          <w:rFonts w:ascii="Consolas" w:hAnsi="Consolas"/>
          <w:b w:val="0"/>
          <w:i w:val="0"/>
          <w:sz w:val="19"/>
        </w:rPr>
        <w:t>ESGE</w:t>
      </w:r>
      <w:r>
        <w:rPr>
          <w:b w:val="0"/>
          <w:i w:val="0"/>
        </w:rPr>
        <w:t>) en el catálogo de Banner?</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U12  </w:t>
      </w:r>
      <w:r>
        <w:t>Planes en rediseño y de posgrado antes de 20271</w:t>
      </w:r>
    </w:p>
    <w:p>
      <w:pPr>
        <w:keepNext/>
      </w:pPr>
      <w:r>
        <w:rPr>
          <w:b w:val="0"/>
          <w:i w:val="0"/>
        </w:rPr>
        <w:t>¿Quién termina los planes en rediseño y el de posgrado (cursos, versión, equivalencias) y con qué fecha límite antes de 20271?</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U13  </w:t>
      </w:r>
      <w:r>
        <w:t>Código del periodo «20271»</w:t>
      </w:r>
    </w:p>
    <w:p>
      <w:pPr>
        <w:keepNext/>
      </w:pPr>
      <w:r>
        <w:rPr>
          <w:b w:val="0"/>
          <w:i w:val="0"/>
        </w:rPr>
        <w:t>«20271»: ¿es el primer periodo de 2027 de posgrado? ¿Cuál es su código de 6 dígitos?</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2"/>
      </w:pPr>
      <w:r>
        <w:t>Matrícula, permisos y egresados</w:t>
      </w:r>
    </w:p>
    <w:p>
      <w:pPr>
        <w:pStyle w:val="Heading3"/>
      </w:pPr>
      <w:r>
        <w:rPr>
          <w:color w:val="7030A0"/>
        </w:rPr>
        <w:t xml:space="preserve">U10  </w:t>
      </w:r>
      <w:r>
        <w:t>Quién da sobrepasos de prerrequisito</w:t>
      </w:r>
    </w:p>
    <w:p>
      <w:pPr>
        <w:keepNext/>
      </w:pPr>
      <w:r>
        <w:rPr>
          <w:b w:val="0"/>
          <w:i w:val="0"/>
        </w:rPr>
        <w:t xml:space="preserve">¿Quién podrá dar </w:t>
      </w:r>
      <w:r>
        <w:rPr>
          <w:b/>
          <w:i w:val="0"/>
        </w:rPr>
        <w:t>sobrepasos</w:t>
      </w:r>
      <w:r>
        <w:rPr>
          <w:b w:val="0"/>
          <w:i w:val="0"/>
        </w:rPr>
        <w:t xml:space="preserve"> de prerrequisito (SFAROVR</w:t>
      </w:r>
      <w:r>
        <w:rPr>
          <w:b w:val="0"/>
          <w:i/>
          <w:color w:val="6B6478"/>
        </w:rPr>
        <w:t xml:space="preserve"> (permisos de sobrepaso de inscripción)</w:t>
      </w:r>
      <w:r>
        <w:rPr>
          <w:b w:val="0"/>
          <w:i w:val="0"/>
        </w:rPr>
        <w:t>)? En SEUSS ese camino no existe.</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U08  </w:t>
      </w:r>
      <w:r>
        <w:t>¿La jefatura autoriza los sobrepasos?</w:t>
      </w:r>
    </w:p>
    <w:p>
      <w:pPr>
        <w:keepNext/>
      </w:pPr>
      <w:r>
        <w:rPr>
          <w:b w:val="0"/>
          <w:i w:val="0"/>
        </w:rPr>
        <w:t xml:space="preserve">El jefe da el visto bueno de la carga lectiva (C47). ¿También autoriza los </w:t>
      </w:r>
      <w:r>
        <w:rPr>
          <w:b/>
          <w:i w:val="0"/>
        </w:rPr>
        <w:t>sobrepasos</w:t>
      </w:r>
      <w:r>
        <w:rPr>
          <w:b w:val="0"/>
          <w:i w:val="0"/>
        </w:rPr>
        <w:t xml:space="preserve"> (SFAROVR)?</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U24  </w:t>
      </w:r>
      <w:r>
        <w:t>Curso especial para egresados</w:t>
      </w:r>
    </w:p>
    <w:p>
      <w:pPr>
        <w:keepNext/>
      </w:pPr>
      <w:r>
        <w:rPr>
          <w:b w:val="0"/>
          <w:i w:val="0"/>
        </w:rPr>
        <w:t>(A) con un solo NRC, ¿cómo queda la misma nota en BASIC I, II…? ¿Se matricula al egresado en ese NRC y la nota se pasa en SFASLST, se carga en la historia (SHATCKN</w:t>
      </w:r>
      <w:r>
        <w:rPr>
          <w:b w:val="0"/>
          <w:i/>
          <w:color w:val="6B6478"/>
        </w:rPr>
        <w:t xml:space="preserve"> (notas ya en la historia académica)</w:t>
      </w:r>
      <w:r>
        <w:rPr>
          <w:b w:val="0"/>
          <w:i w:val="0"/>
        </w:rPr>
        <w:t>) o como puntaje en SOATEST? (b) ¿Cómo se llama la plataforma («Alticia»)? (c) ¿Qué servicio o código de cobro tiene el costo distinto? (d) ¿Computación y Emprendimiento trabajan igual con sus egresados?</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2"/>
      </w:pPr>
      <w:r>
        <w:t>Docentes</w:t>
      </w:r>
    </w:p>
    <w:p>
      <w:pPr>
        <w:pStyle w:val="Heading3"/>
      </w:pPr>
      <w:r>
        <w:rPr>
          <w:color w:val="7030A0"/>
        </w:rPr>
        <w:t xml:space="preserve">U26  </w:t>
      </w:r>
      <w:r>
        <w:t>Qué hace Registros Académicos en la carga lectiva</w:t>
      </w:r>
    </w:p>
    <w:p>
      <w:pPr>
        <w:keepNext/>
      </w:pPr>
      <w:r>
        <w:rPr>
          <w:b w:val="0"/>
          <w:i w:val="0"/>
        </w:rPr>
        <w:t>En el flujo del usuario (C06) dice «periodos y carga lectiva (RA)», pero el 05/10 confirmó que el jefe asigna a los docentes y el Vicerrectorado Académico aprueba (C47, C48, ADR-011). ¿RA solo abre el periodo y configura SIATERM y SIAINST</w:t>
      </w:r>
      <w:r>
        <w:rPr>
          <w:b w:val="0"/>
          <w:i/>
          <w:color w:val="6B6478"/>
        </w:rPr>
        <w:t xml:space="preserve"> (datos del docente)</w:t>
      </w:r>
      <w:r>
        <w:rPr>
          <w:b w:val="0"/>
          <w:i w:val="0"/>
        </w:rPr>
        <w:t>, o también revisa la carga?</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U28  </w:t>
      </w:r>
      <w:r>
        <w:t>Carga por contrato o por regla de carga</w:t>
      </w:r>
    </w:p>
    <w:p>
      <w:pPr>
        <w:keepNext/>
      </w:pPr>
      <w:r>
        <w:rPr>
          <w:b w:val="0"/>
          <w:i w:val="0"/>
        </w:rPr>
        <w:t xml:space="preserve">Los contratos </w:t>
      </w:r>
      <w:r>
        <w:rPr>
          <w:rFonts w:ascii="Consolas" w:hAnsi="Consolas"/>
          <w:b w:val="0"/>
          <w:i w:val="0"/>
          <w:sz w:val="19"/>
        </w:rPr>
        <w:t>ES</w:t>
      </w:r>
      <w:r>
        <w:rPr>
          <w:b w:val="0"/>
          <w:i w:val="0"/>
        </w:rPr>
        <w:t xml:space="preserve"> y </w:t>
      </w:r>
      <w:r>
        <w:rPr>
          <w:rFonts w:ascii="Consolas" w:hAnsi="Consolas"/>
          <w:b w:val="0"/>
          <w:i w:val="0"/>
          <w:sz w:val="19"/>
        </w:rPr>
        <w:t>FC</w:t>
      </w:r>
      <w:r>
        <w:rPr>
          <w:b w:val="0"/>
          <w:i w:val="0"/>
        </w:rPr>
        <w:t xml:space="preserve"> ya están creados. (a) ¿La carga se mide </w:t>
      </w:r>
      <w:r>
        <w:rPr>
          <w:b/>
          <w:i w:val="0"/>
        </w:rPr>
        <w:t>por contrato</w:t>
      </w:r>
      <w:r>
        <w:rPr>
          <w:b w:val="0"/>
          <w:i w:val="0"/>
        </w:rPr>
        <w:t xml:space="preserve"> (SIAFLCT y SIACONA, lo recomendado en ADR-020) o </w:t>
      </w:r>
      <w:r>
        <w:rPr>
          <w:b/>
          <w:i w:val="0"/>
        </w:rPr>
        <w:t>por regla de carga</w:t>
      </w:r>
      <w:r>
        <w:rPr>
          <w:b w:val="0"/>
          <w:i w:val="0"/>
        </w:rPr>
        <w:t xml:space="preserve"> (SIAFLRT y SIAASGN)? (b) ¿Quién crea en STVCNTR</w:t>
      </w:r>
      <w:r>
        <w:rPr>
          <w:b w:val="0"/>
          <w:i/>
          <w:color w:val="6B6478"/>
        </w:rPr>
        <w:t xml:space="preserve"> (catálogo de reglas de carga del contrato)</w:t>
      </w:r>
      <w:r>
        <w:rPr>
          <w:b w:val="0"/>
          <w:i w:val="0"/>
        </w:rPr>
        <w:t xml:space="preserve"> los códigos de regla de cada contrato y en STVNIST</w:t>
      </w:r>
      <w:r>
        <w:rPr>
          <w:b w:val="0"/>
          <w:i/>
          <w:color w:val="6B6478"/>
        </w:rPr>
        <w:t xml:space="preserve"> (catálogo de labores no educativas)</w:t>
      </w:r>
      <w:r>
        <w:rPr>
          <w:b w:val="0"/>
          <w:i w:val="0"/>
        </w:rPr>
        <w:t xml:space="preserve"> los tipos de labor no educativa (matrícula, coordinación, atención a estudiantes)?</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U16  </w:t>
      </w:r>
      <w:r>
        <w:t>Separación de un docente</w:t>
      </w:r>
    </w:p>
    <w:p>
      <w:pPr>
        <w:keepNext/>
      </w:pPr>
      <w:r>
        <w:rPr>
          <w:b w:val="0"/>
          <w:i w:val="0"/>
        </w:rPr>
        <w:t>¿Quién decide separar a un docente y cómo se avisa a Registros Académicos?</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2"/>
      </w:pPr>
      <w:r>
        <w:t>Servicios y seguimiento</w:t>
      </w:r>
    </w:p>
    <w:p>
      <w:pPr>
        <w:pStyle w:val="Heading3"/>
      </w:pPr>
      <w:r>
        <w:rPr>
          <w:color w:val="7030A0"/>
        </w:rPr>
        <w:t xml:space="preserve">U14  </w:t>
      </w:r>
      <w:r>
        <w:t>Área que recibe las quejas contra docentes</w:t>
      </w:r>
    </w:p>
    <w:p>
      <w:pPr>
        <w:keepNext/>
      </w:pPr>
      <w:r>
        <w:rPr>
          <w:b w:val="0"/>
          <w:i w:val="0"/>
        </w:rPr>
        <w:t>¿Qué área recibe las quejas contra docentes y cómo se protege al estudiante? ¿Se crea en Banner un servicio de «queja o denuncia» o se atiende fuera?</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U15  </w:t>
      </w:r>
      <w:r>
        <w:t>Tipos de comentario de seguimiento</w:t>
      </w:r>
    </w:p>
    <w:p>
      <w:pPr>
        <w:keepNext/>
      </w:pPr>
      <w:r>
        <w:rPr>
          <w:b w:val="0"/>
          <w:i w:val="0"/>
        </w:rPr>
        <w:t>¿Qué tipos de comentario de seguimiento (SPACMNT) usarán los tutores?</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U07  </w:t>
      </w:r>
      <w:r>
        <w:t>¿La tutoría aplica a los centros?</w:t>
      </w:r>
    </w:p>
    <w:p>
      <w:pPr>
        <w:keepNext/>
      </w:pPr>
      <w:r>
        <w:rPr>
          <w:b w:val="0"/>
          <w:i w:val="0"/>
        </w:rPr>
        <w:t xml:space="preserve">¿La </w:t>
      </w:r>
      <w:r>
        <w:rPr>
          <w:b/>
          <w:i w:val="0"/>
        </w:rPr>
        <w:t>tutoría</w:t>
      </w:r>
      <w:r>
        <w:rPr>
          <w:b w:val="0"/>
          <w:i w:val="0"/>
        </w:rPr>
        <w:t xml:space="preserve"> aplica a los centros?</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2"/>
      </w:pPr>
      <w:r>
        <w:t>Validación contra SEUSS</w:t>
      </w:r>
    </w:p>
    <w:p>
      <w:pPr>
        <w:pStyle w:val="Heading3"/>
      </w:pPr>
      <w:r>
        <w:rPr>
          <w:color w:val="7030A0"/>
        </w:rPr>
        <w:t xml:space="preserve">U11  </w:t>
      </w:r>
      <w:r>
        <w:t>Totales por centro y fecha de corte</w:t>
      </w:r>
    </w:p>
    <w:p>
      <w:pPr>
        <w:keepNext/>
      </w:pPr>
      <w:r>
        <w:rPr>
          <w:b w:val="0"/>
          <w:i w:val="0"/>
        </w:rPr>
        <w:t xml:space="preserve">Validación contra legado: ¿quién saca de SEUSS los </w:t>
      </w:r>
      <w:r>
        <w:rPr>
          <w:b/>
          <w:i w:val="0"/>
        </w:rPr>
        <w:t>totales por centro</w:t>
      </w:r>
      <w:r>
        <w:rPr>
          <w:b w:val="0"/>
          <w:i w:val="0"/>
        </w:rPr>
        <w:t xml:space="preserve"> (TI o Registros Académicos) y con qué </w:t>
      </w:r>
      <w:r>
        <w:rPr>
          <w:b/>
          <w:i w:val="0"/>
        </w:rPr>
        <w:t>fecha de corte</w:t>
      </w:r>
      <w:r>
        <w:rPr>
          <w:b w:val="0"/>
          <w:i w:val="0"/>
        </w:rPr>
        <w:t>? Debe ser la misma de la extracción que migró Ellucian, o los totales no cuadrarán.</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spacing w:after="0"/>
      </w:pPr>
      <w:r>
        <w:br w:type="page"/>
      </w:r>
    </w:p>
    <w:p>
      <w:pPr>
        <w:pStyle w:val="Heading1"/>
      </w:pPr>
      <w:r>
        <w:t>3. Lo que necesito para seguir aprendiendo</w:t>
      </w:r>
    </w:p>
    <w:p>
      <w:r>
        <w:rPr>
          <w:b w:val="0"/>
          <w:i w:val="0"/>
          <w:color w:val="6B6478"/>
        </w:rPr>
        <w:t>Con estas respuestas y pruebas completo los datos de cada centro, los diagramas y el asistente.</w:t>
      </w:r>
    </w:p>
    <w:p>
      <w:pPr>
        <w:pStyle w:val="Heading2"/>
      </w:pPr>
      <w:r>
        <w:t>Datos para completar las pruebas</w:t>
      </w:r>
    </w:p>
    <w:p>
      <w:pPr>
        <w:pStyle w:val="Heading3"/>
      </w:pPr>
      <w:r>
        <w:rPr>
          <w:color w:val="7030A0"/>
        </w:rPr>
        <w:t xml:space="preserve">U33  </w:t>
      </w:r>
      <w:r>
        <w:t>Alumno de prueba de Emprendimiento</w:t>
      </w:r>
    </w:p>
    <w:p>
      <w:pPr>
        <w:keepNext/>
      </w:pPr>
      <w:r>
        <w:rPr>
          <w:b w:val="0"/>
          <w:i w:val="0"/>
        </w:rPr>
        <w:t xml:space="preserve">Para probar matrícula, notas y cierre hace falta un alumno en TEST con el programa </w:t>
      </w:r>
      <w:r>
        <w:rPr>
          <w:rFonts w:ascii="Consolas" w:hAnsi="Consolas"/>
          <w:b w:val="0"/>
          <w:i w:val="0"/>
          <w:sz w:val="19"/>
        </w:rPr>
        <w:t>MMEMM01</w:t>
      </w:r>
      <w:r>
        <w:rPr>
          <w:b w:val="0"/>
          <w:i w:val="0"/>
        </w:rPr>
        <w:t xml:space="preserve"> (ID</w:t>
      </w:r>
      <w:r>
        <w:rPr>
          <w:b w:val="0"/>
          <w:i/>
          <w:color w:val="6B6478"/>
        </w:rPr>
        <w:t xml:space="preserve"> (código de cada persona en Banner)</w:t>
      </w:r>
      <w:r>
        <w:rPr>
          <w:b w:val="0"/>
          <w:i w:val="0"/>
        </w:rPr>
        <w:t xml:space="preserve"> y nombre) y un NRC de </w:t>
      </w:r>
      <w:r>
        <w:rPr>
          <w:rFonts w:ascii="Consolas" w:hAnsi="Consolas"/>
          <w:b w:val="0"/>
          <w:i w:val="0"/>
          <w:sz w:val="19"/>
        </w:rPr>
        <w:t>ESGE</w:t>
      </w:r>
      <w:r>
        <w:rPr>
          <w:b w:val="0"/>
          <w:i w:val="0"/>
        </w:rPr>
        <w:t xml:space="preserve"> con matrícula. Hoy solo existe el NRC 1025, usado para la carga docente.</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3"/>
      </w:pPr>
      <w:r>
        <w:rPr>
          <w:color w:val="7030A0"/>
        </w:rPr>
        <w:t xml:space="preserve">U34  </w:t>
      </w:r>
      <w:r>
        <w:t>Datos que faltan de los NRC de prueba</w:t>
      </w:r>
    </w:p>
    <w:p>
      <w:pPr>
        <w:keepNext/>
      </w:pPr>
      <w:r>
        <w:rPr>
          <w:b w:val="0"/>
          <w:i w:val="0"/>
        </w:rPr>
        <w:t>Parte de periodo y cupo del NRC 1024 (Computación) y del 1025 (Emprendimiento); cupo, docente y aula del 10001 (Idiomas, 202754).</w:t>
      </w:r>
    </w:p>
    <w:tbl>
      <w:tblPr>
        <w:tblW w:type="auto" w:w="0"/>
        <w:jc w:val="center"/>
        <w:tblBorders>
          <w:top w:val="single" w:sz="6" w:space="0" w:color="B9A3D9"/>
          <w:left w:val="single" w:sz="6" w:space="0" w:color="B9A3D9"/>
          <w:bottom w:val="single" w:sz="6" w:space="0" w:color="B9A3D9"/>
          <w:right w:val="single" w:sz="6" w:space="0" w:color="B9A3D9"/>
          <w:insideH w:val="single" w:sz="6" w:space="0" w:color="B9A3D9"/>
          <w:insideV w:val="single" w:sz="6" w:space="0" w:color="B9A3D9"/>
        </w:tblBorders>
        <w:tblCellMar>
          <w:top w:w="60" w:type="dxa"/>
          <w:left w:w="110" w:type="dxa"/>
          <w:bottom w:w="60" w:type="dxa"/>
          <w:right w:w="110" w:type="dxa"/>
        </w:tblCellMar>
        <w:tblLook w:firstColumn="1" w:firstRow="1" w:lastColumn="0" w:lastRow="0" w:noHBand="0" w:noVBand="1" w:val="04A0"/>
      </w:tblPr>
      <w:tblGrid>
        <w:gridCol w:w="9638"/>
      </w:tblGrid>
      <w:tr>
        <w:trPr>
          <w:cantSplit/>
        </w:trPr>
        <w:tc>
          <w:tcPr>
            <w:tcW w:type="dxa" w:w="9638"/>
          </w:tcPr>
          <w:p>
            <w:r>
              <w:rPr>
                <w:b/>
                <w:color w:val="7030A0"/>
                <w:sz w:val="16"/>
              </w:rPr>
              <w:t>RESPUESTA</w:t>
            </w:r>
          </w:p>
          <w:p/>
          <w:p/>
          <w:p/>
        </w:tc>
      </w:tr>
    </w:tbl>
    <w:p>
      <w:pPr>
        <w:spacing w:before="60" w:after="160"/>
      </w:pPr>
      <w:r>
        <w:rPr>
          <w:color w:val="6B6478"/>
          <w:sz w:val="17"/>
        </w:rPr>
        <w:t>Respondió: ____________________________     Estado:   ☐ Resuelta    ☐ Sigue abierta    ☐ Lo revisa Ellucian</w:t>
      </w:r>
    </w:p>
    <w:p>
      <w:pPr>
        <w:pStyle w:val="Heading2"/>
      </w:pPr>
      <w:r>
        <w:t>Pruebas pendientes en TEST</w:t>
      </w:r>
    </w:p>
    <w:p>
      <w:r>
        <w:rPr>
          <w:b w:val="0"/>
          <w:i w:val="0"/>
          <w:color w:val="6B6478"/>
        </w:rPr>
        <w:t xml:space="preserve">Estado de cada script en </w:t>
      </w:r>
      <w:r>
        <w:rPr>
          <w:rFonts w:ascii="Consolas" w:hAnsi="Consolas"/>
          <w:b w:val="0"/>
          <w:i w:val="0"/>
          <w:color w:val="6B6478"/>
          <w:sz w:val="19"/>
        </w:rPr>
        <w:t>datos.json</w:t>
      </w:r>
      <w:r>
        <w:rPr>
          <w:b w:val="0"/>
          <w:i w:val="0"/>
          <w:color w:val="6B6478"/>
        </w:rPr>
        <w:t>. En la última columna anote la fecha, el NRC, el alumno y el resultado de lo que pruebe; con eso actualizo el script a «Validado».</w:t>
      </w:r>
    </w:p>
    <w:tbl>
      <w:tblPr>
        <w:tblW w:type="dxa" w:w="9639"/>
        <w:jc w:val="center"/>
        <w:tblBorders>
          <w:top w:val="single" w:sz="4" w:space="0" w:color="D6CCE6"/>
          <w:left w:val="single" w:sz="4" w:space="0" w:color="D6CCE6"/>
          <w:bottom w:val="single" w:sz="4" w:space="0" w:color="D6CCE6"/>
          <w:right w:val="single" w:sz="4" w:space="0" w:color="D6CCE6"/>
          <w:insideH w:val="single" w:sz="4" w:space="0" w:color="D6CCE6"/>
          <w:insideV w:val="single" w:sz="4" w:space="0" w:color="D6CCE6"/>
        </w:tblBorders>
        <w:tblLayout w:type="fixed"/>
        <w:tblCellMar>
          <w:top w:w="60" w:type="dxa"/>
          <w:left w:w="110" w:type="dxa"/>
          <w:bottom w:w="60" w:type="dxa"/>
          <w:right w:w="110" w:type="dxa"/>
        </w:tblCellMar>
        <w:tblLook w:firstColumn="1" w:firstRow="1" w:lastColumn="0" w:lastRow="0" w:noHBand="0" w:noVBand="1" w:val="04A0"/>
      </w:tblPr>
      <w:tblGrid>
        <w:gridCol w:w="624"/>
        <w:gridCol w:w="2835"/>
        <w:gridCol w:w="1247"/>
        <w:gridCol w:w="1361"/>
        <w:gridCol w:w="1474"/>
        <w:gridCol w:w="2098"/>
      </w:tblGrid>
      <w:tr>
        <w:trPr>
          <w:tblHeader/>
        </w:trPr>
        <w:tc>
          <w:tcPr>
            <w:tcW w:type="dxa" w:w="624"/>
            <w:shd w:val="clear" w:color="auto" w:fill="7030A0"/>
          </w:tcPr>
          <w:p>
            <w:r>
              <w:rPr>
                <w:b/>
                <w:color w:val="FFFFFF"/>
                <w:sz w:val="17"/>
              </w:rPr>
              <w:t>N.º</w:t>
            </w:r>
          </w:p>
        </w:tc>
        <w:tc>
          <w:tcPr>
            <w:tcW w:type="dxa" w:w="2835"/>
            <w:shd w:val="clear" w:color="auto" w:fill="7030A0"/>
          </w:tcPr>
          <w:p>
            <w:r>
              <w:rPr>
                <w:b/>
                <w:color w:val="FFFFFF"/>
                <w:sz w:val="17"/>
              </w:rPr>
              <w:t>Script</w:t>
            </w:r>
          </w:p>
        </w:tc>
        <w:tc>
          <w:tcPr>
            <w:tcW w:type="dxa" w:w="1247"/>
            <w:shd w:val="clear" w:color="auto" w:fill="7030A0"/>
          </w:tcPr>
          <w:p>
            <w:r>
              <w:rPr>
                <w:b/>
                <w:color w:val="FFFFFF"/>
                <w:sz w:val="17"/>
              </w:rPr>
              <w:t>Idiomas</w:t>
            </w:r>
          </w:p>
        </w:tc>
        <w:tc>
          <w:tcPr>
            <w:tcW w:type="dxa" w:w="1361"/>
            <w:shd w:val="clear" w:color="auto" w:fill="7030A0"/>
          </w:tcPr>
          <w:p>
            <w:r>
              <w:rPr>
                <w:b/>
                <w:color w:val="FFFFFF"/>
                <w:sz w:val="17"/>
              </w:rPr>
              <w:t>Computación</w:t>
            </w:r>
          </w:p>
        </w:tc>
        <w:tc>
          <w:tcPr>
            <w:tcW w:type="dxa" w:w="1474"/>
            <w:shd w:val="clear" w:color="auto" w:fill="7030A0"/>
          </w:tcPr>
          <w:p>
            <w:r>
              <w:rPr>
                <w:b/>
                <w:color w:val="FFFFFF"/>
                <w:sz w:val="17"/>
              </w:rPr>
              <w:t>Emprendimiento</w:t>
            </w:r>
          </w:p>
        </w:tc>
        <w:tc>
          <w:tcPr>
            <w:tcW w:type="dxa" w:w="2098"/>
            <w:shd w:val="clear" w:color="auto" w:fill="7030A0"/>
          </w:tcPr>
          <w:p>
            <w:r>
              <w:rPr>
                <w:b/>
                <w:color w:val="FFFFFF"/>
                <w:sz w:val="17"/>
              </w:rPr>
              <w:t>Fecha y resultado</w:t>
            </w:r>
          </w:p>
        </w:tc>
      </w:tr>
      <w:tr>
        <w:trPr>
          <w:cantSplit/>
        </w:trPr>
        <w:tc>
          <w:tcPr>
            <w:tcW w:type="dxa" w:w="624"/>
          </w:tcPr>
          <w:p>
            <w:pPr>
              <w:spacing w:after="0"/>
            </w:pPr>
            <w:r>
              <w:rPr>
                <w:sz w:val="17"/>
              </w:rPr>
              <w:t>01</w:t>
            </w:r>
          </w:p>
        </w:tc>
        <w:tc>
          <w:tcPr>
            <w:tcW w:type="dxa" w:w="2835"/>
          </w:tcPr>
          <w:p>
            <w:pPr>
              <w:spacing w:after="0"/>
            </w:pPr>
            <w:r>
              <w:rPr>
                <w:sz w:val="17"/>
              </w:rPr>
              <w:t>Matrícula regular</w:t>
            </w:r>
          </w:p>
        </w:tc>
        <w:tc>
          <w:tcPr>
            <w:tcW w:type="dxa" w:w="1247"/>
            <w:shd w:val="clear" w:color="auto" w:fill="E3F4DA"/>
          </w:tcPr>
          <w:p>
            <w:pPr>
              <w:spacing w:after="0"/>
            </w:pPr>
            <w:r>
              <w:rPr>
                <w:b w:val="0"/>
                <w:sz w:val="17"/>
              </w:rPr>
              <w:t>Validado</w:t>
            </w:r>
          </w:p>
        </w:tc>
        <w:tc>
          <w:tcPr>
            <w:tcW w:type="dxa" w:w="1361"/>
            <w:shd w:val="clear" w:color="auto" w:fill="E3F4DA"/>
          </w:tcPr>
          <w:p>
            <w:pPr>
              <w:spacing w:after="0"/>
            </w:pPr>
            <w:r>
              <w:rPr>
                <w:b w:val="0"/>
                <w:sz w:val="17"/>
              </w:rPr>
              <w:t>Validado</w:t>
            </w:r>
          </w:p>
        </w:tc>
        <w:tc>
          <w:tcPr>
            <w:tcW w:type="dxa" w:w="1474"/>
            <w:shd w:val="clear" w:color="auto" w:fill="FFF4D6"/>
          </w:tcPr>
          <w:p>
            <w:pPr>
              <w:spacing w:after="0"/>
            </w:pPr>
            <w:r>
              <w:rPr>
                <w:b/>
                <w:sz w:val="17"/>
              </w:rPr>
              <w:t>Por probar</w:t>
            </w:r>
          </w:p>
        </w:tc>
        <w:tc>
          <w:tcPr>
            <w:tcW w:type="dxa" w:w="2098"/>
          </w:tcPr>
          <w:p>
            <w:pPr>
              <w:spacing w:after="0"/>
            </w:pPr>
            <w:r>
              <w:rPr>
                <w:sz w:val="17"/>
              </w:rPr>
            </w:r>
          </w:p>
        </w:tc>
      </w:tr>
      <w:tr>
        <w:trPr>
          <w:cantSplit/>
        </w:trPr>
        <w:tc>
          <w:tcPr>
            <w:tcW w:type="dxa" w:w="624"/>
          </w:tcPr>
          <w:p>
            <w:pPr>
              <w:spacing w:after="0"/>
            </w:pPr>
            <w:r>
              <w:rPr>
                <w:sz w:val="17"/>
              </w:rPr>
              <w:t>02</w:t>
            </w:r>
          </w:p>
        </w:tc>
        <w:tc>
          <w:tcPr>
            <w:tcW w:type="dxa" w:w="2835"/>
          </w:tcPr>
          <w:p>
            <w:pPr>
              <w:spacing w:after="0"/>
            </w:pPr>
            <w:r>
              <w:rPr>
                <w:sz w:val="17"/>
              </w:rPr>
              <w:t>Matrícula especial con sobrepasos</w:t>
            </w:r>
          </w:p>
        </w:tc>
        <w:tc>
          <w:tcPr>
            <w:tcW w:type="dxa" w:w="1247"/>
            <w:shd w:val="clear" w:color="auto" w:fill="FFF4D6"/>
          </w:tcPr>
          <w:p>
            <w:pPr>
              <w:spacing w:after="0"/>
            </w:pPr>
            <w:r>
              <w:rPr>
                <w:b/>
                <w:sz w:val="17"/>
              </w:rPr>
              <w:t>Por probar</w:t>
            </w:r>
          </w:p>
        </w:tc>
        <w:tc>
          <w:tcPr>
            <w:tcW w:type="dxa" w:w="1361"/>
            <w:shd w:val="clear" w:color="auto" w:fill="E3F4DA"/>
          </w:tcPr>
          <w:p>
            <w:pPr>
              <w:spacing w:after="0"/>
            </w:pPr>
            <w:r>
              <w:rPr>
                <w:b w:val="0"/>
                <w:sz w:val="17"/>
              </w:rPr>
              <w:t>Validado</w:t>
            </w:r>
          </w:p>
        </w:tc>
        <w:tc>
          <w:tcPr>
            <w:tcW w:type="dxa" w:w="1474"/>
            <w:shd w:val="clear" w:color="auto" w:fill="FFF4D6"/>
          </w:tcPr>
          <w:p>
            <w:pPr>
              <w:spacing w:after="0"/>
            </w:pPr>
            <w:r>
              <w:rPr>
                <w:b/>
                <w:sz w:val="17"/>
              </w:rPr>
              <w:t>Por probar</w:t>
            </w:r>
          </w:p>
        </w:tc>
        <w:tc>
          <w:tcPr>
            <w:tcW w:type="dxa" w:w="2098"/>
          </w:tcPr>
          <w:p>
            <w:pPr>
              <w:spacing w:after="0"/>
            </w:pPr>
            <w:r>
              <w:rPr>
                <w:sz w:val="17"/>
              </w:rPr>
            </w:r>
          </w:p>
        </w:tc>
      </w:tr>
      <w:tr>
        <w:trPr>
          <w:cantSplit/>
        </w:trPr>
        <w:tc>
          <w:tcPr>
            <w:tcW w:type="dxa" w:w="624"/>
          </w:tcPr>
          <w:p>
            <w:pPr>
              <w:spacing w:after="0"/>
            </w:pPr>
            <w:r>
              <w:rPr>
                <w:sz w:val="17"/>
              </w:rPr>
              <w:t>03</w:t>
            </w:r>
          </w:p>
        </w:tc>
        <w:tc>
          <w:tcPr>
            <w:tcW w:type="dxa" w:w="2835"/>
          </w:tcPr>
          <w:p>
            <w:pPr>
              <w:spacing w:after="0"/>
            </w:pPr>
            <w:r>
              <w:rPr>
                <w:sz w:val="17"/>
              </w:rPr>
              <w:t>Matrícula por convalidación</w:t>
            </w:r>
          </w:p>
        </w:tc>
        <w:tc>
          <w:tcPr>
            <w:tcW w:type="dxa" w:w="1247"/>
            <w:shd w:val="clear" w:color="auto" w:fill="FFF4D6"/>
          </w:tcPr>
          <w:p>
            <w:pPr>
              <w:spacing w:after="0"/>
            </w:pPr>
            <w:r>
              <w:rPr>
                <w:b/>
                <w:sz w:val="17"/>
              </w:rPr>
              <w:t>Por probar</w:t>
            </w:r>
          </w:p>
        </w:tc>
        <w:tc>
          <w:tcPr>
            <w:tcW w:type="dxa" w:w="1361"/>
            <w:shd w:val="clear" w:color="auto" w:fill="E3F4DA"/>
          </w:tcPr>
          <w:p>
            <w:pPr>
              <w:spacing w:after="0"/>
            </w:pPr>
            <w:r>
              <w:rPr>
                <w:b w:val="0"/>
                <w:sz w:val="17"/>
              </w:rPr>
              <w:t>Validado</w:t>
            </w:r>
          </w:p>
        </w:tc>
        <w:tc>
          <w:tcPr>
            <w:tcW w:type="dxa" w:w="1474"/>
            <w:shd w:val="clear" w:color="auto" w:fill="FFF4D6"/>
          </w:tcPr>
          <w:p>
            <w:pPr>
              <w:spacing w:after="0"/>
            </w:pPr>
            <w:r>
              <w:rPr>
                <w:b/>
                <w:sz w:val="17"/>
              </w:rPr>
              <w:t>Por probar</w:t>
            </w:r>
          </w:p>
        </w:tc>
        <w:tc>
          <w:tcPr>
            <w:tcW w:type="dxa" w:w="2098"/>
          </w:tcPr>
          <w:p>
            <w:pPr>
              <w:spacing w:after="0"/>
            </w:pPr>
            <w:r>
              <w:rPr>
                <w:sz w:val="17"/>
              </w:rPr>
            </w:r>
          </w:p>
        </w:tc>
      </w:tr>
      <w:tr>
        <w:trPr>
          <w:cantSplit/>
        </w:trPr>
        <w:tc>
          <w:tcPr>
            <w:tcW w:type="dxa" w:w="624"/>
          </w:tcPr>
          <w:p>
            <w:pPr>
              <w:spacing w:after="0"/>
            </w:pPr>
            <w:r>
              <w:rPr>
                <w:sz w:val="17"/>
              </w:rPr>
              <w:t>04</w:t>
            </w:r>
          </w:p>
        </w:tc>
        <w:tc>
          <w:tcPr>
            <w:tcW w:type="dxa" w:w="2835"/>
          </w:tcPr>
          <w:p>
            <w:pPr>
              <w:spacing w:after="0"/>
            </w:pPr>
            <w:r>
              <w:rPr>
                <w:sz w:val="17"/>
              </w:rPr>
              <w:t>Matrícula por examen de suficiencia</w:t>
            </w:r>
          </w:p>
        </w:tc>
        <w:tc>
          <w:tcPr>
            <w:tcW w:type="dxa" w:w="1247"/>
            <w:shd w:val="clear" w:color="auto" w:fill="FFF4D6"/>
          </w:tcPr>
          <w:p>
            <w:pPr>
              <w:spacing w:after="0"/>
            </w:pPr>
            <w:r>
              <w:rPr>
                <w:b/>
                <w:sz w:val="17"/>
              </w:rPr>
              <w:t>Por probar</w:t>
            </w:r>
          </w:p>
        </w:tc>
        <w:tc>
          <w:tcPr>
            <w:tcW w:type="dxa" w:w="1361"/>
            <w:shd w:val="clear" w:color="auto" w:fill="EEEEEE"/>
          </w:tcPr>
          <w:p>
            <w:pPr>
              <w:spacing w:after="0"/>
            </w:pPr>
            <w:r>
              <w:rPr>
                <w:b/>
                <w:sz w:val="17"/>
              </w:rPr>
              <w:t>No aplica</w:t>
            </w:r>
          </w:p>
        </w:tc>
        <w:tc>
          <w:tcPr>
            <w:tcW w:type="dxa" w:w="1474"/>
            <w:shd w:val="clear" w:color="auto" w:fill="EDE4F7"/>
          </w:tcPr>
          <w:p>
            <w:pPr>
              <w:spacing w:after="0"/>
            </w:pPr>
            <w:r>
              <w:rPr>
                <w:b/>
                <w:sz w:val="17"/>
              </w:rPr>
              <w:t>Por definir</w:t>
            </w:r>
          </w:p>
        </w:tc>
        <w:tc>
          <w:tcPr>
            <w:tcW w:type="dxa" w:w="2098"/>
          </w:tcPr>
          <w:p>
            <w:pPr>
              <w:spacing w:after="0"/>
            </w:pPr>
            <w:r>
              <w:rPr>
                <w:sz w:val="17"/>
              </w:rPr>
            </w:r>
          </w:p>
        </w:tc>
      </w:tr>
      <w:tr>
        <w:trPr>
          <w:cantSplit/>
        </w:trPr>
        <w:tc>
          <w:tcPr>
            <w:tcW w:type="dxa" w:w="624"/>
          </w:tcPr>
          <w:p>
            <w:pPr>
              <w:spacing w:after="0"/>
            </w:pPr>
            <w:r>
              <w:rPr>
                <w:sz w:val="17"/>
              </w:rPr>
              <w:t>05</w:t>
            </w:r>
          </w:p>
        </w:tc>
        <w:tc>
          <w:tcPr>
            <w:tcW w:type="dxa" w:w="2835"/>
          </w:tcPr>
          <w:p>
            <w:pPr>
              <w:spacing w:after="0"/>
            </w:pPr>
            <w:r>
              <w:rPr>
                <w:sz w:val="17"/>
              </w:rPr>
              <w:t>Curso especial para egresados</w:t>
            </w:r>
          </w:p>
        </w:tc>
        <w:tc>
          <w:tcPr>
            <w:tcW w:type="dxa" w:w="1247"/>
            <w:shd w:val="clear" w:color="auto" w:fill="FFF4D6"/>
          </w:tcPr>
          <w:p>
            <w:pPr>
              <w:spacing w:after="0"/>
            </w:pPr>
            <w:r>
              <w:rPr>
                <w:b/>
                <w:sz w:val="17"/>
              </w:rPr>
              <w:t>Por probar</w:t>
            </w:r>
          </w:p>
        </w:tc>
        <w:tc>
          <w:tcPr>
            <w:tcW w:type="dxa" w:w="1361"/>
            <w:shd w:val="clear" w:color="auto" w:fill="FFE8D9"/>
          </w:tcPr>
          <w:p>
            <w:pPr>
              <w:spacing w:after="0"/>
            </w:pPr>
            <w:r>
              <w:rPr>
                <w:b/>
                <w:sz w:val="17"/>
              </w:rPr>
              <w:t>Pendiente</w:t>
            </w:r>
          </w:p>
        </w:tc>
        <w:tc>
          <w:tcPr>
            <w:tcW w:type="dxa" w:w="1474"/>
            <w:shd w:val="clear" w:color="auto" w:fill="FFF4D6"/>
          </w:tcPr>
          <w:p>
            <w:pPr>
              <w:spacing w:after="0"/>
            </w:pPr>
            <w:r>
              <w:rPr>
                <w:b/>
                <w:sz w:val="17"/>
              </w:rPr>
              <w:t>Por probar</w:t>
            </w:r>
          </w:p>
        </w:tc>
        <w:tc>
          <w:tcPr>
            <w:tcW w:type="dxa" w:w="2098"/>
          </w:tcPr>
          <w:p>
            <w:pPr>
              <w:spacing w:after="0"/>
            </w:pPr>
            <w:r>
              <w:rPr>
                <w:sz w:val="17"/>
              </w:rPr>
            </w:r>
          </w:p>
        </w:tc>
      </w:tr>
      <w:tr>
        <w:trPr>
          <w:cantSplit/>
        </w:trPr>
        <w:tc>
          <w:tcPr>
            <w:tcW w:type="dxa" w:w="624"/>
          </w:tcPr>
          <w:p>
            <w:pPr>
              <w:spacing w:after="0"/>
            </w:pPr>
            <w:r>
              <w:rPr>
                <w:sz w:val="17"/>
              </w:rPr>
              <w:t>06</w:t>
            </w:r>
          </w:p>
        </w:tc>
        <w:tc>
          <w:tcPr>
            <w:tcW w:type="dxa" w:w="2835"/>
          </w:tcPr>
          <w:p>
            <w:pPr>
              <w:spacing w:after="0"/>
            </w:pPr>
            <w:r>
              <w:rPr>
                <w:sz w:val="17"/>
              </w:rPr>
              <w:t>Dos programas en simultáneo</w:t>
            </w:r>
          </w:p>
        </w:tc>
        <w:tc>
          <w:tcPr>
            <w:tcW w:type="dxa" w:w="1247"/>
            <w:shd w:val="clear" w:color="auto" w:fill="FFF4D6"/>
          </w:tcPr>
          <w:p>
            <w:pPr>
              <w:spacing w:after="0"/>
            </w:pPr>
            <w:r>
              <w:rPr>
                <w:b/>
                <w:sz w:val="17"/>
              </w:rPr>
              <w:t>Por probar</w:t>
            </w:r>
          </w:p>
        </w:tc>
        <w:tc>
          <w:tcPr>
            <w:tcW w:type="dxa" w:w="1361"/>
            <w:shd w:val="clear" w:color="auto" w:fill="E3F4DA"/>
          </w:tcPr>
          <w:p>
            <w:pPr>
              <w:spacing w:after="0"/>
            </w:pPr>
            <w:r>
              <w:rPr>
                <w:b w:val="0"/>
                <w:sz w:val="17"/>
              </w:rPr>
              <w:t>Validado</w:t>
            </w:r>
          </w:p>
        </w:tc>
        <w:tc>
          <w:tcPr>
            <w:tcW w:type="dxa" w:w="1474"/>
            <w:shd w:val="clear" w:color="auto" w:fill="FFF4D6"/>
          </w:tcPr>
          <w:p>
            <w:pPr>
              <w:spacing w:after="0"/>
            </w:pPr>
            <w:r>
              <w:rPr>
                <w:b/>
                <w:sz w:val="17"/>
              </w:rPr>
              <w:t>Por probar</w:t>
            </w:r>
          </w:p>
        </w:tc>
        <w:tc>
          <w:tcPr>
            <w:tcW w:type="dxa" w:w="2098"/>
          </w:tcPr>
          <w:p>
            <w:pPr>
              <w:spacing w:after="0"/>
            </w:pPr>
            <w:r>
              <w:rPr>
                <w:sz w:val="17"/>
              </w:rPr>
            </w:r>
          </w:p>
        </w:tc>
      </w:tr>
      <w:tr>
        <w:trPr>
          <w:cantSplit/>
        </w:trPr>
        <w:tc>
          <w:tcPr>
            <w:tcW w:type="dxa" w:w="624"/>
          </w:tcPr>
          <w:p>
            <w:pPr>
              <w:spacing w:after="0"/>
            </w:pPr>
            <w:r>
              <w:rPr>
                <w:sz w:val="17"/>
              </w:rPr>
              <w:t>07</w:t>
            </w:r>
          </w:p>
        </w:tc>
        <w:tc>
          <w:tcPr>
            <w:tcW w:type="dxa" w:w="2835"/>
          </w:tcPr>
          <w:p>
            <w:pPr>
              <w:spacing w:after="0"/>
            </w:pPr>
            <w:r>
              <w:rPr>
                <w:sz w:val="17"/>
              </w:rPr>
              <w:t>Tres programas en simultáneo</w:t>
            </w:r>
          </w:p>
        </w:tc>
        <w:tc>
          <w:tcPr>
            <w:tcW w:type="dxa" w:w="1247"/>
            <w:shd w:val="clear" w:color="auto" w:fill="FFF4D6"/>
          </w:tcPr>
          <w:p>
            <w:pPr>
              <w:spacing w:after="0"/>
            </w:pPr>
            <w:r>
              <w:rPr>
                <w:b/>
                <w:sz w:val="17"/>
              </w:rPr>
              <w:t>Por probar</w:t>
            </w:r>
          </w:p>
        </w:tc>
        <w:tc>
          <w:tcPr>
            <w:tcW w:type="dxa" w:w="1361"/>
            <w:shd w:val="clear" w:color="auto" w:fill="FFE8D9"/>
          </w:tcPr>
          <w:p>
            <w:pPr>
              <w:spacing w:after="0"/>
            </w:pPr>
            <w:r>
              <w:rPr>
                <w:b/>
                <w:sz w:val="17"/>
              </w:rPr>
              <w:t>Pendiente</w:t>
            </w:r>
          </w:p>
        </w:tc>
        <w:tc>
          <w:tcPr>
            <w:tcW w:type="dxa" w:w="1474"/>
            <w:shd w:val="clear" w:color="auto" w:fill="FFF4D6"/>
          </w:tcPr>
          <w:p>
            <w:pPr>
              <w:spacing w:after="0"/>
            </w:pPr>
            <w:r>
              <w:rPr>
                <w:b/>
                <w:sz w:val="17"/>
              </w:rPr>
              <w:t>Por probar</w:t>
            </w:r>
          </w:p>
        </w:tc>
        <w:tc>
          <w:tcPr>
            <w:tcW w:type="dxa" w:w="2098"/>
          </w:tcPr>
          <w:p>
            <w:pPr>
              <w:spacing w:after="0"/>
            </w:pPr>
            <w:r>
              <w:rPr>
                <w:sz w:val="17"/>
              </w:rPr>
            </w:r>
          </w:p>
        </w:tc>
      </w:tr>
      <w:tr>
        <w:trPr>
          <w:cantSplit/>
        </w:trPr>
        <w:tc>
          <w:tcPr>
            <w:tcW w:type="dxa" w:w="624"/>
          </w:tcPr>
          <w:p>
            <w:pPr>
              <w:spacing w:after="0"/>
            </w:pPr>
            <w:r>
              <w:rPr>
                <w:sz w:val="17"/>
              </w:rPr>
              <w:t>08</w:t>
            </w:r>
          </w:p>
        </w:tc>
        <w:tc>
          <w:tcPr>
            <w:tcW w:type="dxa" w:w="2835"/>
          </w:tcPr>
          <w:p>
            <w:pPr>
              <w:spacing w:after="0"/>
            </w:pPr>
            <w:r>
              <w:rPr>
                <w:sz w:val="17"/>
              </w:rPr>
              <w:t>Retiro de matrícula (DD)</w:t>
            </w:r>
          </w:p>
        </w:tc>
        <w:tc>
          <w:tcPr>
            <w:tcW w:type="dxa" w:w="1247"/>
            <w:shd w:val="clear" w:color="auto" w:fill="FFF4D6"/>
          </w:tcPr>
          <w:p>
            <w:pPr>
              <w:spacing w:after="0"/>
            </w:pPr>
            <w:r>
              <w:rPr>
                <w:b/>
                <w:sz w:val="17"/>
              </w:rPr>
              <w:t>Por probar</w:t>
            </w:r>
          </w:p>
        </w:tc>
        <w:tc>
          <w:tcPr>
            <w:tcW w:type="dxa" w:w="1361"/>
            <w:shd w:val="clear" w:color="auto" w:fill="E3F4DA"/>
          </w:tcPr>
          <w:p>
            <w:pPr>
              <w:spacing w:after="0"/>
            </w:pPr>
            <w:r>
              <w:rPr>
                <w:b w:val="0"/>
                <w:sz w:val="17"/>
              </w:rPr>
              <w:t>Validado</w:t>
            </w:r>
          </w:p>
        </w:tc>
        <w:tc>
          <w:tcPr>
            <w:tcW w:type="dxa" w:w="1474"/>
            <w:shd w:val="clear" w:color="auto" w:fill="FFF4D6"/>
          </w:tcPr>
          <w:p>
            <w:pPr>
              <w:spacing w:after="0"/>
            </w:pPr>
            <w:r>
              <w:rPr>
                <w:b/>
                <w:sz w:val="17"/>
              </w:rPr>
              <w:t>Por probar</w:t>
            </w:r>
          </w:p>
        </w:tc>
        <w:tc>
          <w:tcPr>
            <w:tcW w:type="dxa" w:w="2098"/>
          </w:tcPr>
          <w:p>
            <w:pPr>
              <w:spacing w:after="0"/>
            </w:pPr>
            <w:r>
              <w:rPr>
                <w:sz w:val="17"/>
              </w:rPr>
            </w:r>
          </w:p>
        </w:tc>
      </w:tr>
      <w:tr>
        <w:trPr>
          <w:cantSplit/>
        </w:trPr>
        <w:tc>
          <w:tcPr>
            <w:tcW w:type="dxa" w:w="624"/>
          </w:tcPr>
          <w:p>
            <w:pPr>
              <w:spacing w:after="0"/>
            </w:pPr>
            <w:r>
              <w:rPr>
                <w:sz w:val="17"/>
              </w:rPr>
              <w:t>09</w:t>
            </w:r>
          </w:p>
        </w:tc>
        <w:tc>
          <w:tcPr>
            <w:tcW w:type="dxa" w:w="2835"/>
          </w:tcPr>
          <w:p>
            <w:pPr>
              <w:spacing w:after="0"/>
            </w:pPr>
            <w:r>
              <w:rPr>
                <w:sz w:val="17"/>
              </w:rPr>
              <w:t>Suspensión y reactivación</w:t>
            </w:r>
          </w:p>
        </w:tc>
        <w:tc>
          <w:tcPr>
            <w:tcW w:type="dxa" w:w="1247"/>
            <w:shd w:val="clear" w:color="auto" w:fill="FFF4D6"/>
          </w:tcPr>
          <w:p>
            <w:pPr>
              <w:spacing w:after="0"/>
            </w:pPr>
            <w:r>
              <w:rPr>
                <w:b/>
                <w:sz w:val="17"/>
              </w:rPr>
              <w:t>Por probar</w:t>
            </w:r>
          </w:p>
        </w:tc>
        <w:tc>
          <w:tcPr>
            <w:tcW w:type="dxa" w:w="1361"/>
            <w:shd w:val="clear" w:color="auto" w:fill="E3F4DA"/>
          </w:tcPr>
          <w:p>
            <w:pPr>
              <w:spacing w:after="0"/>
            </w:pPr>
            <w:r>
              <w:rPr>
                <w:b w:val="0"/>
                <w:sz w:val="17"/>
              </w:rPr>
              <w:t>Validado</w:t>
            </w:r>
          </w:p>
        </w:tc>
        <w:tc>
          <w:tcPr>
            <w:tcW w:type="dxa" w:w="1474"/>
            <w:shd w:val="clear" w:color="auto" w:fill="FFF4D6"/>
          </w:tcPr>
          <w:p>
            <w:pPr>
              <w:spacing w:after="0"/>
            </w:pPr>
            <w:r>
              <w:rPr>
                <w:b/>
                <w:sz w:val="17"/>
              </w:rPr>
              <w:t>Por probar</w:t>
            </w:r>
          </w:p>
        </w:tc>
        <w:tc>
          <w:tcPr>
            <w:tcW w:type="dxa" w:w="2098"/>
          </w:tcPr>
          <w:p>
            <w:pPr>
              <w:spacing w:after="0"/>
            </w:pPr>
            <w:r>
              <w:rPr>
                <w:sz w:val="17"/>
              </w:rPr>
            </w:r>
          </w:p>
        </w:tc>
      </w:tr>
      <w:tr>
        <w:trPr>
          <w:cantSplit/>
        </w:trPr>
        <w:tc>
          <w:tcPr>
            <w:tcW w:type="dxa" w:w="624"/>
          </w:tcPr>
          <w:p>
            <w:pPr>
              <w:spacing w:after="0"/>
            </w:pPr>
            <w:r>
              <w:rPr>
                <w:sz w:val="17"/>
              </w:rPr>
              <w:t>10</w:t>
            </w:r>
          </w:p>
        </w:tc>
        <w:tc>
          <w:tcPr>
            <w:tcW w:type="dxa" w:w="2835"/>
          </w:tcPr>
          <w:p>
            <w:pPr>
              <w:spacing w:after="0"/>
            </w:pPr>
            <w:r>
              <w:rPr>
                <w:sz w:val="17"/>
              </w:rPr>
              <w:t>Retorno por desaprobado</w:t>
            </w:r>
          </w:p>
        </w:tc>
        <w:tc>
          <w:tcPr>
            <w:tcW w:type="dxa" w:w="1247"/>
            <w:shd w:val="clear" w:color="auto" w:fill="FFF4D6"/>
          </w:tcPr>
          <w:p>
            <w:pPr>
              <w:spacing w:after="0"/>
            </w:pPr>
            <w:r>
              <w:rPr>
                <w:b/>
                <w:sz w:val="17"/>
              </w:rPr>
              <w:t>Por probar</w:t>
            </w:r>
          </w:p>
        </w:tc>
        <w:tc>
          <w:tcPr>
            <w:tcW w:type="dxa" w:w="1361"/>
            <w:shd w:val="clear" w:color="auto" w:fill="E3F4DA"/>
          </w:tcPr>
          <w:p>
            <w:pPr>
              <w:spacing w:after="0"/>
            </w:pPr>
            <w:r>
              <w:rPr>
                <w:b w:val="0"/>
                <w:sz w:val="17"/>
              </w:rPr>
              <w:t>Validado</w:t>
            </w:r>
          </w:p>
        </w:tc>
        <w:tc>
          <w:tcPr>
            <w:tcW w:type="dxa" w:w="1474"/>
            <w:shd w:val="clear" w:color="auto" w:fill="FFF4D6"/>
          </w:tcPr>
          <w:p>
            <w:pPr>
              <w:spacing w:after="0"/>
            </w:pPr>
            <w:r>
              <w:rPr>
                <w:b/>
                <w:sz w:val="17"/>
              </w:rPr>
              <w:t>Por probar</w:t>
            </w:r>
          </w:p>
        </w:tc>
        <w:tc>
          <w:tcPr>
            <w:tcW w:type="dxa" w:w="2098"/>
          </w:tcPr>
          <w:p>
            <w:pPr>
              <w:spacing w:after="0"/>
            </w:pPr>
            <w:r>
              <w:rPr>
                <w:sz w:val="17"/>
              </w:rPr>
            </w:r>
          </w:p>
        </w:tc>
      </w:tr>
      <w:tr>
        <w:trPr>
          <w:cantSplit/>
        </w:trPr>
        <w:tc>
          <w:tcPr>
            <w:tcW w:type="dxa" w:w="624"/>
          </w:tcPr>
          <w:p>
            <w:pPr>
              <w:spacing w:after="0"/>
            </w:pPr>
            <w:r>
              <w:rPr>
                <w:sz w:val="17"/>
              </w:rPr>
              <w:t>11</w:t>
            </w:r>
          </w:p>
        </w:tc>
        <w:tc>
          <w:tcPr>
            <w:tcW w:type="dxa" w:w="2835"/>
          </w:tcPr>
          <w:p>
            <w:pPr>
              <w:spacing w:after="0"/>
            </w:pPr>
            <w:r>
              <w:rPr>
                <w:sz w:val="17"/>
              </w:rPr>
              <w:t>Apertura de periodo</w:t>
            </w:r>
          </w:p>
        </w:tc>
        <w:tc>
          <w:tcPr>
            <w:tcW w:type="dxa" w:w="1247"/>
            <w:shd w:val="clear" w:color="auto" w:fill="FFF4D6"/>
          </w:tcPr>
          <w:p>
            <w:pPr>
              <w:spacing w:after="0"/>
            </w:pPr>
            <w:r>
              <w:rPr>
                <w:b/>
                <w:sz w:val="17"/>
              </w:rPr>
              <w:t>Por probar</w:t>
            </w:r>
          </w:p>
        </w:tc>
        <w:tc>
          <w:tcPr>
            <w:tcW w:type="dxa" w:w="1361"/>
            <w:shd w:val="clear" w:color="auto" w:fill="E3F4DA"/>
          </w:tcPr>
          <w:p>
            <w:pPr>
              <w:spacing w:after="0"/>
            </w:pPr>
            <w:r>
              <w:rPr>
                <w:b w:val="0"/>
                <w:sz w:val="17"/>
              </w:rPr>
              <w:t>Validado</w:t>
            </w:r>
          </w:p>
        </w:tc>
        <w:tc>
          <w:tcPr>
            <w:tcW w:type="dxa" w:w="1474"/>
            <w:shd w:val="clear" w:color="auto" w:fill="FFF4D6"/>
          </w:tcPr>
          <w:p>
            <w:pPr>
              <w:spacing w:after="0"/>
            </w:pPr>
            <w:r>
              <w:rPr>
                <w:b/>
                <w:sz w:val="17"/>
              </w:rPr>
              <w:t>Por probar</w:t>
            </w:r>
          </w:p>
        </w:tc>
        <w:tc>
          <w:tcPr>
            <w:tcW w:type="dxa" w:w="2098"/>
          </w:tcPr>
          <w:p>
            <w:pPr>
              <w:spacing w:after="0"/>
            </w:pPr>
            <w:r>
              <w:rPr>
                <w:sz w:val="17"/>
              </w:rPr>
            </w:r>
          </w:p>
        </w:tc>
      </w:tr>
      <w:tr>
        <w:trPr>
          <w:cantSplit/>
        </w:trPr>
        <w:tc>
          <w:tcPr>
            <w:tcW w:type="dxa" w:w="624"/>
          </w:tcPr>
          <w:p>
            <w:pPr>
              <w:spacing w:after="0"/>
            </w:pPr>
            <w:r>
              <w:rPr>
                <w:sz w:val="17"/>
              </w:rPr>
              <w:t>11-B</w:t>
            </w:r>
          </w:p>
        </w:tc>
        <w:tc>
          <w:tcPr>
            <w:tcW w:type="dxa" w:w="2835"/>
          </w:tcPr>
          <w:p>
            <w:pPr>
              <w:spacing w:after="0"/>
            </w:pPr>
            <w:r>
              <w:rPr>
                <w:sz w:val="17"/>
              </w:rPr>
              <w:t>Diseño de mallas y programas</w:t>
            </w:r>
          </w:p>
        </w:tc>
        <w:tc>
          <w:tcPr>
            <w:tcW w:type="dxa" w:w="1247"/>
            <w:shd w:val="clear" w:color="auto" w:fill="E3F4DA"/>
          </w:tcPr>
          <w:p>
            <w:pPr>
              <w:spacing w:after="0"/>
            </w:pPr>
            <w:r>
              <w:rPr>
                <w:b w:val="0"/>
                <w:sz w:val="17"/>
              </w:rPr>
              <w:t>Validado</w:t>
            </w:r>
          </w:p>
        </w:tc>
        <w:tc>
          <w:tcPr>
            <w:tcW w:type="dxa" w:w="1361"/>
            <w:shd w:val="clear" w:color="auto" w:fill="E3F4DA"/>
          </w:tcPr>
          <w:p>
            <w:pPr>
              <w:spacing w:after="0"/>
            </w:pPr>
            <w:r>
              <w:rPr>
                <w:b w:val="0"/>
                <w:sz w:val="17"/>
              </w:rPr>
              <w:t>Validado</w:t>
            </w:r>
          </w:p>
        </w:tc>
        <w:tc>
          <w:tcPr>
            <w:tcW w:type="dxa" w:w="1474"/>
            <w:shd w:val="clear" w:color="auto" w:fill="E3F4DA"/>
          </w:tcPr>
          <w:p>
            <w:pPr>
              <w:spacing w:after="0"/>
            </w:pPr>
            <w:r>
              <w:rPr>
                <w:b w:val="0"/>
                <w:sz w:val="17"/>
              </w:rPr>
              <w:t>Validado</w:t>
            </w:r>
          </w:p>
        </w:tc>
        <w:tc>
          <w:tcPr>
            <w:tcW w:type="dxa" w:w="2098"/>
          </w:tcPr>
          <w:p>
            <w:pPr>
              <w:spacing w:after="0"/>
            </w:pPr>
            <w:r>
              <w:rPr>
                <w:sz w:val="17"/>
              </w:rPr>
            </w:r>
          </w:p>
        </w:tc>
      </w:tr>
      <w:tr>
        <w:trPr>
          <w:cantSplit/>
        </w:trPr>
        <w:tc>
          <w:tcPr>
            <w:tcW w:type="dxa" w:w="624"/>
          </w:tcPr>
          <w:p>
            <w:pPr>
              <w:spacing w:after="0"/>
            </w:pPr>
            <w:r>
              <w:rPr>
                <w:sz w:val="17"/>
              </w:rPr>
              <w:t>12</w:t>
            </w:r>
          </w:p>
        </w:tc>
        <w:tc>
          <w:tcPr>
            <w:tcW w:type="dxa" w:w="2835"/>
          </w:tcPr>
          <w:p>
            <w:pPr>
              <w:spacing w:after="0"/>
            </w:pPr>
            <w:r>
              <w:rPr>
                <w:sz w:val="17"/>
              </w:rPr>
              <w:t>Cierre de periodo</w:t>
            </w:r>
          </w:p>
        </w:tc>
        <w:tc>
          <w:tcPr>
            <w:tcW w:type="dxa" w:w="1247"/>
            <w:shd w:val="clear" w:color="auto" w:fill="FFF4D6"/>
          </w:tcPr>
          <w:p>
            <w:pPr>
              <w:spacing w:after="0"/>
            </w:pPr>
            <w:r>
              <w:rPr>
                <w:b/>
                <w:sz w:val="17"/>
              </w:rPr>
              <w:t>Por probar</w:t>
            </w:r>
          </w:p>
        </w:tc>
        <w:tc>
          <w:tcPr>
            <w:tcW w:type="dxa" w:w="1361"/>
            <w:shd w:val="clear" w:color="auto" w:fill="E3F4DA"/>
          </w:tcPr>
          <w:p>
            <w:pPr>
              <w:spacing w:after="0"/>
            </w:pPr>
            <w:r>
              <w:rPr>
                <w:b w:val="0"/>
                <w:sz w:val="17"/>
              </w:rPr>
              <w:t>Validado</w:t>
            </w:r>
          </w:p>
        </w:tc>
        <w:tc>
          <w:tcPr>
            <w:tcW w:type="dxa" w:w="1474"/>
            <w:shd w:val="clear" w:color="auto" w:fill="FFF4D6"/>
          </w:tcPr>
          <w:p>
            <w:pPr>
              <w:spacing w:after="0"/>
            </w:pPr>
            <w:r>
              <w:rPr>
                <w:b/>
                <w:sz w:val="17"/>
              </w:rPr>
              <w:t>Por probar</w:t>
            </w:r>
          </w:p>
        </w:tc>
        <w:tc>
          <w:tcPr>
            <w:tcW w:type="dxa" w:w="2098"/>
          </w:tcPr>
          <w:p>
            <w:pPr>
              <w:spacing w:after="0"/>
            </w:pPr>
            <w:r>
              <w:rPr>
                <w:sz w:val="17"/>
              </w:rPr>
            </w:r>
          </w:p>
        </w:tc>
      </w:tr>
      <w:tr>
        <w:trPr>
          <w:cantSplit/>
        </w:trPr>
        <w:tc>
          <w:tcPr>
            <w:tcW w:type="dxa" w:w="624"/>
          </w:tcPr>
          <w:p>
            <w:pPr>
              <w:spacing w:after="0"/>
            </w:pPr>
            <w:r>
              <w:rPr>
                <w:sz w:val="17"/>
              </w:rPr>
              <w:t>13</w:t>
            </w:r>
          </w:p>
        </w:tc>
        <w:tc>
          <w:tcPr>
            <w:tcW w:type="dxa" w:w="2835"/>
          </w:tcPr>
          <w:p>
            <w:pPr>
              <w:spacing w:after="0"/>
            </w:pPr>
            <w:r>
              <w:rPr>
                <w:sz w:val="17"/>
              </w:rPr>
              <w:t>Procesamiento de calificaciones</w:t>
            </w:r>
          </w:p>
        </w:tc>
        <w:tc>
          <w:tcPr>
            <w:tcW w:type="dxa" w:w="1247"/>
            <w:shd w:val="clear" w:color="auto" w:fill="FFF4D6"/>
          </w:tcPr>
          <w:p>
            <w:pPr>
              <w:spacing w:after="0"/>
            </w:pPr>
            <w:r>
              <w:rPr>
                <w:b/>
                <w:sz w:val="17"/>
              </w:rPr>
              <w:t>Por probar</w:t>
            </w:r>
          </w:p>
        </w:tc>
        <w:tc>
          <w:tcPr>
            <w:tcW w:type="dxa" w:w="1361"/>
            <w:shd w:val="clear" w:color="auto" w:fill="E3F4DA"/>
          </w:tcPr>
          <w:p>
            <w:pPr>
              <w:spacing w:after="0"/>
            </w:pPr>
            <w:r>
              <w:rPr>
                <w:b w:val="0"/>
                <w:sz w:val="17"/>
              </w:rPr>
              <w:t>Validado</w:t>
            </w:r>
          </w:p>
        </w:tc>
        <w:tc>
          <w:tcPr>
            <w:tcW w:type="dxa" w:w="1474"/>
            <w:shd w:val="clear" w:color="auto" w:fill="FFF4D6"/>
          </w:tcPr>
          <w:p>
            <w:pPr>
              <w:spacing w:after="0"/>
            </w:pPr>
            <w:r>
              <w:rPr>
                <w:b/>
                <w:sz w:val="17"/>
              </w:rPr>
              <w:t>Por probar</w:t>
            </w:r>
          </w:p>
        </w:tc>
        <w:tc>
          <w:tcPr>
            <w:tcW w:type="dxa" w:w="2098"/>
          </w:tcPr>
          <w:p>
            <w:pPr>
              <w:spacing w:after="0"/>
            </w:pPr>
            <w:r>
              <w:rPr>
                <w:sz w:val="17"/>
              </w:rPr>
            </w:r>
          </w:p>
        </w:tc>
      </w:tr>
      <w:tr>
        <w:trPr>
          <w:cantSplit/>
        </w:trPr>
        <w:tc>
          <w:tcPr>
            <w:tcW w:type="dxa" w:w="624"/>
          </w:tcPr>
          <w:p>
            <w:pPr>
              <w:spacing w:after="0"/>
            </w:pPr>
            <w:r>
              <w:rPr>
                <w:sz w:val="17"/>
              </w:rPr>
              <w:t>14</w:t>
            </w:r>
          </w:p>
        </w:tc>
        <w:tc>
          <w:tcPr>
            <w:tcW w:type="dxa" w:w="2835"/>
          </w:tcPr>
          <w:p>
            <w:pPr>
              <w:spacing w:after="0"/>
            </w:pPr>
            <w:r>
              <w:rPr>
                <w:sz w:val="17"/>
              </w:rPr>
              <w:t>Cierre de curso</w:t>
            </w:r>
          </w:p>
        </w:tc>
        <w:tc>
          <w:tcPr>
            <w:tcW w:type="dxa" w:w="1247"/>
            <w:shd w:val="clear" w:color="auto" w:fill="FFF4D6"/>
          </w:tcPr>
          <w:p>
            <w:pPr>
              <w:spacing w:after="0"/>
            </w:pPr>
            <w:r>
              <w:rPr>
                <w:b/>
                <w:sz w:val="17"/>
              </w:rPr>
              <w:t>Por probar</w:t>
            </w:r>
          </w:p>
        </w:tc>
        <w:tc>
          <w:tcPr>
            <w:tcW w:type="dxa" w:w="1361"/>
            <w:shd w:val="clear" w:color="auto" w:fill="E3F4DA"/>
          </w:tcPr>
          <w:p>
            <w:pPr>
              <w:spacing w:after="0"/>
            </w:pPr>
            <w:r>
              <w:rPr>
                <w:b w:val="0"/>
                <w:sz w:val="17"/>
              </w:rPr>
              <w:t>Validado</w:t>
            </w:r>
          </w:p>
        </w:tc>
        <w:tc>
          <w:tcPr>
            <w:tcW w:type="dxa" w:w="1474"/>
            <w:shd w:val="clear" w:color="auto" w:fill="FFF4D6"/>
          </w:tcPr>
          <w:p>
            <w:pPr>
              <w:spacing w:after="0"/>
            </w:pPr>
            <w:r>
              <w:rPr>
                <w:b/>
                <w:sz w:val="17"/>
              </w:rPr>
              <w:t>Por probar</w:t>
            </w:r>
          </w:p>
        </w:tc>
        <w:tc>
          <w:tcPr>
            <w:tcW w:type="dxa" w:w="2098"/>
          </w:tcPr>
          <w:p>
            <w:pPr>
              <w:spacing w:after="0"/>
            </w:pPr>
            <w:r>
              <w:rPr>
                <w:sz w:val="17"/>
              </w:rPr>
            </w:r>
          </w:p>
        </w:tc>
      </w:tr>
      <w:tr>
        <w:trPr>
          <w:cantSplit/>
        </w:trPr>
        <w:tc>
          <w:tcPr>
            <w:tcW w:type="dxa" w:w="624"/>
          </w:tcPr>
          <w:p>
            <w:pPr>
              <w:spacing w:after="0"/>
            </w:pPr>
            <w:r>
              <w:rPr>
                <w:sz w:val="17"/>
              </w:rPr>
              <w:t>15</w:t>
            </w:r>
          </w:p>
        </w:tc>
        <w:tc>
          <w:tcPr>
            <w:tcW w:type="dxa" w:w="2835"/>
          </w:tcPr>
          <w:p>
            <w:pPr>
              <w:spacing w:after="0"/>
            </w:pPr>
            <w:r>
              <w:rPr>
                <w:sz w:val="17"/>
              </w:rPr>
              <w:t>Ampliación de cupos y reservas</w:t>
            </w:r>
          </w:p>
        </w:tc>
        <w:tc>
          <w:tcPr>
            <w:tcW w:type="dxa" w:w="1247"/>
            <w:shd w:val="clear" w:color="auto" w:fill="FFF4D6"/>
          </w:tcPr>
          <w:p>
            <w:pPr>
              <w:spacing w:after="0"/>
            </w:pPr>
            <w:r>
              <w:rPr>
                <w:b/>
                <w:sz w:val="17"/>
              </w:rPr>
              <w:t>Por probar</w:t>
            </w:r>
          </w:p>
        </w:tc>
        <w:tc>
          <w:tcPr>
            <w:tcW w:type="dxa" w:w="1361"/>
            <w:shd w:val="clear" w:color="auto" w:fill="E3F4DA"/>
          </w:tcPr>
          <w:p>
            <w:pPr>
              <w:spacing w:after="0"/>
            </w:pPr>
            <w:r>
              <w:rPr>
                <w:b w:val="0"/>
                <w:sz w:val="17"/>
              </w:rPr>
              <w:t>Validado</w:t>
            </w:r>
          </w:p>
        </w:tc>
        <w:tc>
          <w:tcPr>
            <w:tcW w:type="dxa" w:w="1474"/>
            <w:shd w:val="clear" w:color="auto" w:fill="FFF4D6"/>
          </w:tcPr>
          <w:p>
            <w:pPr>
              <w:spacing w:after="0"/>
            </w:pPr>
            <w:r>
              <w:rPr>
                <w:b/>
                <w:sz w:val="17"/>
              </w:rPr>
              <w:t>Por probar</w:t>
            </w:r>
          </w:p>
        </w:tc>
        <w:tc>
          <w:tcPr>
            <w:tcW w:type="dxa" w:w="2098"/>
          </w:tcPr>
          <w:p>
            <w:pPr>
              <w:spacing w:after="0"/>
            </w:pPr>
            <w:r>
              <w:rPr>
                <w:sz w:val="17"/>
              </w:rPr>
            </w:r>
          </w:p>
        </w:tc>
      </w:tr>
      <w:tr>
        <w:trPr>
          <w:cantSplit/>
        </w:trPr>
        <w:tc>
          <w:tcPr>
            <w:tcW w:type="dxa" w:w="624"/>
          </w:tcPr>
          <w:p>
            <w:pPr>
              <w:spacing w:after="0"/>
            </w:pPr>
            <w:r>
              <w:rPr>
                <w:sz w:val="17"/>
              </w:rPr>
              <w:t>16</w:t>
            </w:r>
          </w:p>
        </w:tc>
        <w:tc>
          <w:tcPr>
            <w:tcW w:type="dxa" w:w="2835"/>
          </w:tcPr>
          <w:p>
            <w:pPr>
              <w:spacing w:after="0"/>
            </w:pPr>
            <w:r>
              <w:rPr>
                <w:sz w:val="17"/>
              </w:rPr>
              <w:t>División de grupos y traslado</w:t>
            </w:r>
          </w:p>
        </w:tc>
        <w:tc>
          <w:tcPr>
            <w:tcW w:type="dxa" w:w="1247"/>
            <w:shd w:val="clear" w:color="auto" w:fill="FFF4D6"/>
          </w:tcPr>
          <w:p>
            <w:pPr>
              <w:spacing w:after="0"/>
            </w:pPr>
            <w:r>
              <w:rPr>
                <w:b/>
                <w:sz w:val="17"/>
              </w:rPr>
              <w:t>Por probar</w:t>
            </w:r>
          </w:p>
        </w:tc>
        <w:tc>
          <w:tcPr>
            <w:tcW w:type="dxa" w:w="1361"/>
            <w:shd w:val="clear" w:color="auto" w:fill="E3F4DA"/>
          </w:tcPr>
          <w:p>
            <w:pPr>
              <w:spacing w:after="0"/>
            </w:pPr>
            <w:r>
              <w:rPr>
                <w:b w:val="0"/>
                <w:sz w:val="17"/>
              </w:rPr>
              <w:t>Validado</w:t>
            </w:r>
          </w:p>
        </w:tc>
        <w:tc>
          <w:tcPr>
            <w:tcW w:type="dxa" w:w="1474"/>
            <w:shd w:val="clear" w:color="auto" w:fill="FFF4D6"/>
          </w:tcPr>
          <w:p>
            <w:pPr>
              <w:spacing w:after="0"/>
            </w:pPr>
            <w:r>
              <w:rPr>
                <w:b/>
                <w:sz w:val="17"/>
              </w:rPr>
              <w:t>Por probar</w:t>
            </w:r>
          </w:p>
        </w:tc>
        <w:tc>
          <w:tcPr>
            <w:tcW w:type="dxa" w:w="2098"/>
          </w:tcPr>
          <w:p>
            <w:pPr>
              <w:spacing w:after="0"/>
            </w:pPr>
            <w:r>
              <w:rPr>
                <w:sz w:val="17"/>
              </w:rPr>
            </w:r>
          </w:p>
        </w:tc>
      </w:tr>
      <w:tr>
        <w:trPr>
          <w:cantSplit/>
        </w:trPr>
        <w:tc>
          <w:tcPr>
            <w:tcW w:type="dxa" w:w="624"/>
          </w:tcPr>
          <w:p>
            <w:pPr>
              <w:spacing w:after="0"/>
            </w:pPr>
            <w:r>
              <w:rPr>
                <w:sz w:val="17"/>
              </w:rPr>
              <w:t>17</w:t>
            </w:r>
          </w:p>
        </w:tc>
        <w:tc>
          <w:tcPr>
            <w:tcW w:type="dxa" w:w="2835"/>
          </w:tcPr>
          <w:p>
            <w:pPr>
              <w:spacing w:after="0"/>
            </w:pPr>
            <w:r>
              <w:rPr>
                <w:sz w:val="17"/>
              </w:rPr>
              <w:t>Gestión de horarios y cruces</w:t>
            </w:r>
          </w:p>
        </w:tc>
        <w:tc>
          <w:tcPr>
            <w:tcW w:type="dxa" w:w="1247"/>
            <w:shd w:val="clear" w:color="auto" w:fill="FFF4D6"/>
          </w:tcPr>
          <w:p>
            <w:pPr>
              <w:spacing w:after="0"/>
            </w:pPr>
            <w:r>
              <w:rPr>
                <w:b/>
                <w:sz w:val="17"/>
              </w:rPr>
              <w:t>Por probar</w:t>
            </w:r>
          </w:p>
        </w:tc>
        <w:tc>
          <w:tcPr>
            <w:tcW w:type="dxa" w:w="1361"/>
            <w:shd w:val="clear" w:color="auto" w:fill="E3F4DA"/>
          </w:tcPr>
          <w:p>
            <w:pPr>
              <w:spacing w:after="0"/>
            </w:pPr>
            <w:r>
              <w:rPr>
                <w:b w:val="0"/>
                <w:sz w:val="17"/>
              </w:rPr>
              <w:t>Validado</w:t>
            </w:r>
          </w:p>
        </w:tc>
        <w:tc>
          <w:tcPr>
            <w:tcW w:type="dxa" w:w="1474"/>
            <w:shd w:val="clear" w:color="auto" w:fill="FFF4D6"/>
          </w:tcPr>
          <w:p>
            <w:pPr>
              <w:spacing w:after="0"/>
            </w:pPr>
            <w:r>
              <w:rPr>
                <w:b/>
                <w:sz w:val="17"/>
              </w:rPr>
              <w:t>Por probar</w:t>
            </w:r>
          </w:p>
        </w:tc>
        <w:tc>
          <w:tcPr>
            <w:tcW w:type="dxa" w:w="2098"/>
          </w:tcPr>
          <w:p>
            <w:pPr>
              <w:spacing w:after="0"/>
            </w:pPr>
            <w:r>
              <w:rPr>
                <w:sz w:val="17"/>
              </w:rPr>
            </w:r>
          </w:p>
        </w:tc>
      </w:tr>
      <w:tr>
        <w:trPr>
          <w:cantSplit/>
        </w:trPr>
        <w:tc>
          <w:tcPr>
            <w:tcW w:type="dxa" w:w="624"/>
          </w:tcPr>
          <w:p>
            <w:pPr>
              <w:spacing w:after="0"/>
            </w:pPr>
            <w:r>
              <w:rPr>
                <w:sz w:val="17"/>
              </w:rPr>
              <w:t>18-A</w:t>
            </w:r>
          </w:p>
        </w:tc>
        <w:tc>
          <w:tcPr>
            <w:tcW w:type="dxa" w:w="2835"/>
          </w:tcPr>
          <w:p>
            <w:pPr>
              <w:spacing w:after="0"/>
            </w:pPr>
            <w:r>
              <w:rPr>
                <w:sz w:val="17"/>
              </w:rPr>
              <w:t>Auditoría de carga docente</w:t>
            </w:r>
          </w:p>
        </w:tc>
        <w:tc>
          <w:tcPr>
            <w:tcW w:type="dxa" w:w="1247"/>
            <w:shd w:val="clear" w:color="auto" w:fill="FFF4D6"/>
          </w:tcPr>
          <w:p>
            <w:pPr>
              <w:spacing w:after="0"/>
            </w:pPr>
            <w:r>
              <w:rPr>
                <w:b/>
                <w:sz w:val="17"/>
              </w:rPr>
              <w:t>Por probar</w:t>
            </w:r>
          </w:p>
        </w:tc>
        <w:tc>
          <w:tcPr>
            <w:tcW w:type="dxa" w:w="1361"/>
            <w:shd w:val="clear" w:color="auto" w:fill="E3F4DA"/>
          </w:tcPr>
          <w:p>
            <w:pPr>
              <w:spacing w:after="0"/>
            </w:pPr>
            <w:r>
              <w:rPr>
                <w:b w:val="0"/>
                <w:sz w:val="17"/>
              </w:rPr>
              <w:t>Validado</w:t>
            </w:r>
          </w:p>
        </w:tc>
        <w:tc>
          <w:tcPr>
            <w:tcW w:type="dxa" w:w="1474"/>
            <w:shd w:val="clear" w:color="auto" w:fill="E3F4DA"/>
          </w:tcPr>
          <w:p>
            <w:pPr>
              <w:spacing w:after="0"/>
            </w:pPr>
            <w:r>
              <w:rPr>
                <w:b w:val="0"/>
                <w:sz w:val="17"/>
              </w:rPr>
              <w:t>Validado</w:t>
            </w:r>
          </w:p>
        </w:tc>
        <w:tc>
          <w:tcPr>
            <w:tcW w:type="dxa" w:w="2098"/>
          </w:tcPr>
          <w:p>
            <w:pPr>
              <w:spacing w:after="0"/>
            </w:pPr>
            <w:r>
              <w:rPr>
                <w:sz w:val="17"/>
              </w:rPr>
            </w:r>
          </w:p>
        </w:tc>
      </w:tr>
      <w:tr>
        <w:trPr>
          <w:cantSplit/>
        </w:trPr>
        <w:tc>
          <w:tcPr>
            <w:tcW w:type="dxa" w:w="624"/>
          </w:tcPr>
          <w:p>
            <w:pPr>
              <w:spacing w:after="0"/>
            </w:pPr>
            <w:r>
              <w:rPr>
                <w:sz w:val="17"/>
              </w:rPr>
              <w:t>18-B</w:t>
            </w:r>
          </w:p>
        </w:tc>
        <w:tc>
          <w:tcPr>
            <w:tcW w:type="dxa" w:w="2835"/>
          </w:tcPr>
          <w:p>
            <w:pPr>
              <w:spacing w:after="0"/>
            </w:pPr>
            <w:r>
              <w:rPr>
                <w:sz w:val="17"/>
              </w:rPr>
              <w:t>Retenciones y bloqueo de matrícula</w:t>
            </w:r>
          </w:p>
        </w:tc>
        <w:tc>
          <w:tcPr>
            <w:tcW w:type="dxa" w:w="1247"/>
            <w:shd w:val="clear" w:color="auto" w:fill="FFF4D6"/>
          </w:tcPr>
          <w:p>
            <w:pPr>
              <w:spacing w:after="0"/>
            </w:pPr>
            <w:r>
              <w:rPr>
                <w:b/>
                <w:sz w:val="17"/>
              </w:rPr>
              <w:t>Por probar</w:t>
            </w:r>
          </w:p>
        </w:tc>
        <w:tc>
          <w:tcPr>
            <w:tcW w:type="dxa" w:w="1361"/>
            <w:shd w:val="clear" w:color="auto" w:fill="E3F4DA"/>
          </w:tcPr>
          <w:p>
            <w:pPr>
              <w:spacing w:after="0"/>
            </w:pPr>
            <w:r>
              <w:rPr>
                <w:b w:val="0"/>
                <w:sz w:val="17"/>
              </w:rPr>
              <w:t>Validado</w:t>
            </w:r>
          </w:p>
        </w:tc>
        <w:tc>
          <w:tcPr>
            <w:tcW w:type="dxa" w:w="1474"/>
            <w:shd w:val="clear" w:color="auto" w:fill="FFF4D6"/>
          </w:tcPr>
          <w:p>
            <w:pPr>
              <w:spacing w:after="0"/>
            </w:pPr>
            <w:r>
              <w:rPr>
                <w:b/>
                <w:sz w:val="17"/>
              </w:rPr>
              <w:t>Por probar</w:t>
            </w:r>
          </w:p>
        </w:tc>
        <w:tc>
          <w:tcPr>
            <w:tcW w:type="dxa" w:w="2098"/>
          </w:tcPr>
          <w:p>
            <w:pPr>
              <w:spacing w:after="0"/>
            </w:pPr>
            <w:r>
              <w:rPr>
                <w:sz w:val="17"/>
              </w:rPr>
            </w:r>
          </w:p>
        </w:tc>
      </w:tr>
      <w:tr>
        <w:trPr>
          <w:cantSplit/>
        </w:trPr>
        <w:tc>
          <w:tcPr>
            <w:tcW w:type="dxa" w:w="624"/>
          </w:tcPr>
          <w:p>
            <w:pPr>
              <w:spacing w:after="0"/>
            </w:pPr>
            <w:r>
              <w:rPr>
                <w:sz w:val="17"/>
              </w:rPr>
              <w:t>18-C</w:t>
            </w:r>
          </w:p>
        </w:tc>
        <w:tc>
          <w:tcPr>
            <w:tcW w:type="dxa" w:w="2835"/>
          </w:tcPr>
          <w:p>
            <w:pPr>
              <w:spacing w:after="0"/>
            </w:pPr>
            <w:r>
              <w:rPr>
                <w:sz w:val="17"/>
              </w:rPr>
              <w:t>Solicitud de servicio o queja</w:t>
            </w:r>
          </w:p>
        </w:tc>
        <w:tc>
          <w:tcPr>
            <w:tcW w:type="dxa" w:w="1247"/>
            <w:shd w:val="clear" w:color="auto" w:fill="FFF4D6"/>
          </w:tcPr>
          <w:p>
            <w:pPr>
              <w:spacing w:after="0"/>
            </w:pPr>
            <w:r>
              <w:rPr>
                <w:b/>
                <w:sz w:val="17"/>
              </w:rPr>
              <w:t>Por probar</w:t>
            </w:r>
          </w:p>
        </w:tc>
        <w:tc>
          <w:tcPr>
            <w:tcW w:type="dxa" w:w="1361"/>
            <w:shd w:val="clear" w:color="auto" w:fill="E3F4DA"/>
          </w:tcPr>
          <w:p>
            <w:pPr>
              <w:spacing w:after="0"/>
            </w:pPr>
            <w:r>
              <w:rPr>
                <w:b w:val="0"/>
                <w:sz w:val="17"/>
              </w:rPr>
              <w:t>Validado</w:t>
            </w:r>
          </w:p>
        </w:tc>
        <w:tc>
          <w:tcPr>
            <w:tcW w:type="dxa" w:w="1474"/>
            <w:shd w:val="clear" w:color="auto" w:fill="FFF4D6"/>
          </w:tcPr>
          <w:p>
            <w:pPr>
              <w:spacing w:after="0"/>
            </w:pPr>
            <w:r>
              <w:rPr>
                <w:b/>
                <w:sz w:val="17"/>
              </w:rPr>
              <w:t>Por probar</w:t>
            </w:r>
          </w:p>
        </w:tc>
        <w:tc>
          <w:tcPr>
            <w:tcW w:type="dxa" w:w="2098"/>
          </w:tcPr>
          <w:p>
            <w:pPr>
              <w:spacing w:after="0"/>
            </w:pPr>
            <w:r>
              <w:rPr>
                <w:sz w:val="17"/>
              </w:rPr>
            </w:r>
          </w:p>
        </w:tc>
      </w:tr>
      <w:tr>
        <w:trPr>
          <w:cantSplit/>
        </w:trPr>
        <w:tc>
          <w:tcPr>
            <w:tcW w:type="dxa" w:w="624"/>
          </w:tcPr>
          <w:p>
            <w:pPr>
              <w:spacing w:after="0"/>
            </w:pPr>
            <w:r>
              <w:rPr>
                <w:sz w:val="17"/>
              </w:rPr>
              <w:t>19</w:t>
            </w:r>
          </w:p>
        </w:tc>
        <w:tc>
          <w:tcPr>
            <w:tcW w:type="dxa" w:w="2835"/>
          </w:tcPr>
          <w:p>
            <w:pPr>
              <w:spacing w:after="0"/>
            </w:pPr>
            <w:r>
              <w:rPr>
                <w:sz w:val="17"/>
              </w:rPr>
              <w:t>Calendario de calificaciones y componente ATTRGRD</w:t>
            </w:r>
          </w:p>
        </w:tc>
        <w:tc>
          <w:tcPr>
            <w:tcW w:type="dxa" w:w="1247"/>
            <w:shd w:val="clear" w:color="auto" w:fill="FFE8D9"/>
          </w:tcPr>
          <w:p>
            <w:pPr>
              <w:spacing w:after="0"/>
            </w:pPr>
            <w:r>
              <w:rPr>
                <w:b/>
                <w:sz w:val="17"/>
              </w:rPr>
              <w:t>Pendiente</w:t>
            </w:r>
          </w:p>
        </w:tc>
        <w:tc>
          <w:tcPr>
            <w:tcW w:type="dxa" w:w="1361"/>
            <w:shd w:val="clear" w:color="auto" w:fill="E3F4DA"/>
          </w:tcPr>
          <w:p>
            <w:pPr>
              <w:spacing w:after="0"/>
            </w:pPr>
            <w:r>
              <w:rPr>
                <w:b w:val="0"/>
                <w:sz w:val="17"/>
              </w:rPr>
              <w:t>Validado</w:t>
            </w:r>
          </w:p>
        </w:tc>
        <w:tc>
          <w:tcPr>
            <w:tcW w:type="dxa" w:w="1474"/>
            <w:shd w:val="clear" w:color="auto" w:fill="FFE8D9"/>
          </w:tcPr>
          <w:p>
            <w:pPr>
              <w:spacing w:after="0"/>
            </w:pPr>
            <w:r>
              <w:rPr>
                <w:b/>
                <w:sz w:val="17"/>
              </w:rPr>
              <w:t>Pendiente</w:t>
            </w:r>
          </w:p>
        </w:tc>
        <w:tc>
          <w:tcPr>
            <w:tcW w:type="dxa" w:w="2098"/>
          </w:tcPr>
          <w:p>
            <w:pPr>
              <w:spacing w:after="0"/>
            </w:pPr>
            <w:r>
              <w:rPr>
                <w:sz w:val="17"/>
              </w:rPr>
            </w:r>
          </w:p>
        </w:tc>
      </w:tr>
    </w:tbl>
    <w:p>
      <w:pPr>
        <w:pStyle w:val="Heading2"/>
      </w:pPr>
      <w:r>
        <w:t>Cómo enviarme lo que falta</w:t>
      </w:r>
    </w:p>
    <w:p>
      <w:pPr>
        <w:pStyle w:val="ListBullet"/>
      </w:pPr>
      <w:r>
        <w:rPr>
          <w:b/>
          <w:i w:val="0"/>
        </w:rPr>
        <w:t>Respuestas:</w:t>
      </w:r>
      <w:r>
        <w:rPr>
          <w:b w:val="0"/>
          <w:i w:val="0"/>
        </w:rPr>
        <w:t xml:space="preserve"> escríbalas en cada recuadro y envíeme este mismo Word. Leo cada código (E01, U32…) y paso la respuesta al registro.</w:t>
      </w:r>
    </w:p>
    <w:p>
      <w:pPr>
        <w:pStyle w:val="ListBullet"/>
      </w:pPr>
      <w:r>
        <w:rPr>
          <w:b/>
          <w:i w:val="0"/>
        </w:rPr>
        <w:t>Pruebas en TEST:</w:t>
      </w:r>
      <w:r>
        <w:rPr>
          <w:b w:val="0"/>
          <w:i w:val="0"/>
        </w:rPr>
        <w:t xml:space="preserve"> una captura de la pantalla final (con el periodo, el NRC y el alumno visibles) y, si sale un error, el mensaje completo.</w:t>
      </w:r>
    </w:p>
    <w:p>
      <w:pPr>
        <w:pStyle w:val="ListBullet"/>
      </w:pPr>
      <w:r>
        <w:rPr>
          <w:b/>
          <w:i w:val="0"/>
        </w:rPr>
        <w:t>Datos de un centro</w:t>
      </w:r>
      <w:r>
        <w:rPr>
          <w:b w:val="0"/>
          <w:i w:val="0"/>
        </w:rPr>
        <w:t xml:space="preserve"> (programa, curso, NRC, escala, parte de periodo): con el código exacto de Banner; si es un ejemplo, indíquelo.</w:t>
      </w:r>
    </w:p>
    <w:p>
      <w:pPr>
        <w:pStyle w:val="ListBullet"/>
      </w:pPr>
      <w:r>
        <w:rPr>
          <w:b/>
          <w:i w:val="0"/>
        </w:rPr>
        <w:t>Lo que diga Ellucian:</w:t>
      </w:r>
      <w:r>
        <w:rPr>
          <w:b w:val="0"/>
          <w:i w:val="0"/>
        </w:rPr>
        <w:t xml:space="preserve"> quién lo dijo y en qué reunión o chat; si contradice un instructivo, lo anoto.</w:t>
      </w:r>
    </w:p>
    <w:p>
      <w:pPr>
        <w:pStyle w:val="ListBullet"/>
      </w:pPr>
      <w:r>
        <w:rPr>
          <w:b/>
          <w:i w:val="0"/>
        </w:rPr>
        <w:t>Sin datos reales de alumnos:</w:t>
      </w:r>
      <w:r>
        <w:rPr>
          <w:b w:val="0"/>
          <w:i w:val="0"/>
        </w:rPr>
        <w:t xml:space="preserve"> ni correos, ni DNI, ni contraseñas (ADR-016).</w:t>
      </w:r>
    </w:p>
    <w:p>
      <w:pPr>
        <w:pStyle w:val="Heading2"/>
      </w:pPr>
      <w:r>
        <w:t>Glosario de páginas y siglas</w:t>
      </w:r>
    </w:p>
    <w:tbl>
      <w:tblPr>
        <w:tblW w:type="dxa" w:w="9638"/>
        <w:tblBorders>
          <w:top w:val="single" w:sz="4" w:space="0" w:color="E2DAF0"/>
          <w:left w:val="single" w:sz="4" w:space="0" w:color="E2DAF0"/>
          <w:bottom w:val="single" w:sz="4" w:space="0" w:color="E2DAF0"/>
          <w:right w:val="single" w:sz="4" w:space="0" w:color="E2DAF0"/>
          <w:insideH w:val="single" w:sz="4" w:space="0" w:color="E2DAF0"/>
          <w:insideV w:val="single" w:sz="4" w:space="0" w:color="E2DAF0"/>
        </w:tblBorders>
        <w:tblLayout w:type="fixed"/>
        <w:tblCellMar>
          <w:top w:w="60" w:type="dxa"/>
          <w:left w:w="110" w:type="dxa"/>
          <w:bottom w:w="60" w:type="dxa"/>
          <w:right w:w="110" w:type="dxa"/>
        </w:tblCellMar>
        <w:tblLook w:firstColumn="1" w:firstRow="1" w:lastColumn="0" w:lastRow="0" w:noHBand="0" w:noVBand="1" w:val="04A0"/>
      </w:tblPr>
      <w:tblGrid>
        <w:gridCol w:w="1814"/>
        <w:gridCol w:w="7824"/>
      </w:tblGrid>
      <w:tr>
        <w:tc>
          <w:tcPr>
            <w:tcW w:type="dxa" w:w="1814"/>
          </w:tcPr>
          <w:p>
            <w:pPr>
              <w:spacing w:after="0"/>
            </w:pPr>
            <w:r>
              <w:rPr>
                <w:b/>
                <w:color w:val="5C2193"/>
                <w:sz w:val="18"/>
              </w:rPr>
              <w:t>ATTRGRD</w:t>
            </w:r>
          </w:p>
        </w:tc>
        <w:tc>
          <w:tcPr>
            <w:tcW w:type="dxa" w:w="7824"/>
          </w:tcPr>
          <w:p>
            <w:pPr>
              <w:spacing w:after="0"/>
            </w:pPr>
            <w:r>
              <w:rPr>
                <w:sz w:val="18"/>
              </w:rPr>
              <w:t>Componente de asistencia</w:t>
            </w:r>
          </w:p>
        </w:tc>
      </w:tr>
      <w:tr>
        <w:tc>
          <w:tcPr>
            <w:tcW w:type="dxa" w:w="1814"/>
          </w:tcPr>
          <w:p>
            <w:pPr>
              <w:spacing w:after="0"/>
            </w:pPr>
            <w:r>
              <w:rPr>
                <w:b/>
                <w:color w:val="5C2193"/>
                <w:sz w:val="18"/>
              </w:rPr>
              <w:t>CAPP</w:t>
            </w:r>
          </w:p>
        </w:tc>
        <w:tc>
          <w:tcPr>
            <w:tcW w:type="dxa" w:w="7824"/>
          </w:tcPr>
          <w:p>
            <w:pPr>
              <w:spacing w:after="0"/>
            </w:pPr>
            <w:r>
              <w:rPr>
                <w:sz w:val="18"/>
              </w:rPr>
              <w:t>Evaluación del avance en la malla</w:t>
            </w:r>
          </w:p>
        </w:tc>
      </w:tr>
      <w:tr>
        <w:tc>
          <w:tcPr>
            <w:tcW w:type="dxa" w:w="1814"/>
          </w:tcPr>
          <w:p>
            <w:pPr>
              <w:spacing w:after="0"/>
            </w:pPr>
            <w:r>
              <w:rPr>
                <w:b/>
                <w:color w:val="5C2193"/>
                <w:sz w:val="18"/>
              </w:rPr>
              <w:t>FTE</w:t>
            </w:r>
          </w:p>
        </w:tc>
        <w:tc>
          <w:tcPr>
            <w:tcW w:type="dxa" w:w="7824"/>
          </w:tcPr>
          <w:p>
            <w:pPr>
              <w:spacing w:after="0"/>
            </w:pPr>
            <w:r>
              <w:rPr>
                <w:sz w:val="18"/>
              </w:rPr>
              <w:t>Equivalente a tiempo completo</w:t>
            </w:r>
          </w:p>
        </w:tc>
      </w:tr>
      <w:tr>
        <w:tc>
          <w:tcPr>
            <w:tcW w:type="dxa" w:w="1814"/>
          </w:tcPr>
          <w:p>
            <w:pPr>
              <w:spacing w:after="0"/>
            </w:pPr>
            <w:r>
              <w:rPr>
                <w:b/>
                <w:color w:val="5C2193"/>
                <w:sz w:val="18"/>
              </w:rPr>
              <w:t>GORICCR</w:t>
            </w:r>
          </w:p>
        </w:tc>
        <w:tc>
          <w:tcPr>
            <w:tcW w:type="dxa" w:w="7824"/>
          </w:tcPr>
          <w:p>
            <w:pPr>
              <w:spacing w:after="0"/>
            </w:pPr>
            <w:r>
              <w:rPr>
                <w:sz w:val="18"/>
              </w:rPr>
              <w:t>Valores de configuración de las integraciones</w:t>
            </w:r>
          </w:p>
        </w:tc>
      </w:tr>
      <w:tr>
        <w:tc>
          <w:tcPr>
            <w:tcW w:type="dxa" w:w="1814"/>
          </w:tcPr>
          <w:p>
            <w:pPr>
              <w:spacing w:after="0"/>
            </w:pPr>
            <w:r>
              <w:rPr>
                <w:b/>
                <w:color w:val="5C2193"/>
                <w:sz w:val="18"/>
              </w:rPr>
              <w:t>GORRSQL</w:t>
            </w:r>
          </w:p>
        </w:tc>
        <w:tc>
          <w:tcPr>
            <w:tcW w:type="dxa" w:w="7824"/>
          </w:tcPr>
          <w:p>
            <w:pPr>
              <w:spacing w:after="0"/>
            </w:pPr>
            <w:r>
              <w:rPr>
                <w:sz w:val="18"/>
              </w:rPr>
              <w:t>Reglas SQL de los procesos</w:t>
            </w:r>
          </w:p>
        </w:tc>
      </w:tr>
      <w:tr>
        <w:tc>
          <w:tcPr>
            <w:tcW w:type="dxa" w:w="1814"/>
          </w:tcPr>
          <w:p>
            <w:pPr>
              <w:spacing w:after="0"/>
            </w:pPr>
            <w:r>
              <w:rPr>
                <w:b/>
                <w:color w:val="5C2193"/>
                <w:sz w:val="18"/>
              </w:rPr>
              <w:t>ID</w:t>
            </w:r>
          </w:p>
        </w:tc>
        <w:tc>
          <w:tcPr>
            <w:tcW w:type="dxa" w:w="7824"/>
          </w:tcPr>
          <w:p>
            <w:pPr>
              <w:spacing w:after="0"/>
            </w:pPr>
            <w:r>
              <w:rPr>
                <w:sz w:val="18"/>
              </w:rPr>
              <w:t>Código de cada persona en Banner</w:t>
            </w:r>
          </w:p>
        </w:tc>
      </w:tr>
      <w:tr>
        <w:tc>
          <w:tcPr>
            <w:tcW w:type="dxa" w:w="1814"/>
          </w:tcPr>
          <w:p>
            <w:pPr>
              <w:spacing w:after="0"/>
            </w:pPr>
            <w:r>
              <w:rPr>
                <w:b/>
                <w:color w:val="5C2193"/>
                <w:sz w:val="18"/>
              </w:rPr>
              <w:t>INH</w:t>
            </w:r>
          </w:p>
        </w:tc>
        <w:tc>
          <w:tcPr>
            <w:tcW w:type="dxa" w:w="7824"/>
          </w:tcPr>
          <w:p>
            <w:pPr>
              <w:spacing w:after="0"/>
            </w:pPr>
            <w:r>
              <w:rPr>
                <w:sz w:val="18"/>
              </w:rPr>
              <w:t>Nota de desaprobado por asistencia</w:t>
            </w:r>
          </w:p>
        </w:tc>
      </w:tr>
      <w:tr>
        <w:tc>
          <w:tcPr>
            <w:tcW w:type="dxa" w:w="1814"/>
          </w:tcPr>
          <w:p>
            <w:pPr>
              <w:spacing w:after="0"/>
            </w:pPr>
            <w:r>
              <w:rPr>
                <w:b/>
                <w:color w:val="5C2193"/>
                <w:sz w:val="18"/>
              </w:rPr>
              <w:t>NRC</w:t>
            </w:r>
          </w:p>
        </w:tc>
        <w:tc>
          <w:tcPr>
            <w:tcW w:type="dxa" w:w="7824"/>
          </w:tcPr>
          <w:p>
            <w:pPr>
              <w:spacing w:after="0"/>
            </w:pPr>
            <w:r>
              <w:rPr>
                <w:sz w:val="18"/>
              </w:rPr>
              <w:t>Número de Referencia de Curso</w:t>
            </w:r>
          </w:p>
        </w:tc>
      </w:tr>
      <w:tr>
        <w:tc>
          <w:tcPr>
            <w:tcW w:type="dxa" w:w="1814"/>
          </w:tcPr>
          <w:p>
            <w:pPr>
              <w:spacing w:after="0"/>
            </w:pPr>
            <w:r>
              <w:rPr>
                <w:b/>
                <w:color w:val="5C2193"/>
                <w:sz w:val="18"/>
              </w:rPr>
              <w:t>PRIMINSTR</w:t>
            </w:r>
          </w:p>
        </w:tc>
        <w:tc>
          <w:tcPr>
            <w:tcW w:type="dxa" w:w="7824"/>
          </w:tcPr>
          <w:p>
            <w:pPr>
              <w:spacing w:after="0"/>
            </w:pPr>
            <w:r>
              <w:rPr>
                <w:sz w:val="18"/>
              </w:rPr>
              <w:t>Regla que define si solo el docente principal registra notas</w:t>
            </w:r>
          </w:p>
        </w:tc>
      </w:tr>
      <w:tr>
        <w:tc>
          <w:tcPr>
            <w:tcW w:type="dxa" w:w="1814"/>
          </w:tcPr>
          <w:p>
            <w:pPr>
              <w:spacing w:after="0"/>
            </w:pPr>
            <w:r>
              <w:rPr>
                <w:b/>
                <w:color w:val="5C2193"/>
                <w:sz w:val="18"/>
              </w:rPr>
              <w:t>SAAADMS</w:t>
            </w:r>
          </w:p>
        </w:tc>
        <w:tc>
          <w:tcPr>
            <w:tcW w:type="dxa" w:w="7824"/>
          </w:tcPr>
          <w:p>
            <w:pPr>
              <w:spacing w:after="0"/>
            </w:pPr>
            <w:r>
              <w:rPr>
                <w:sz w:val="18"/>
              </w:rPr>
              <w:t>Solicitud de admisión</w:t>
            </w:r>
          </w:p>
        </w:tc>
      </w:tr>
      <w:tr>
        <w:tc>
          <w:tcPr>
            <w:tcW w:type="dxa" w:w="1814"/>
          </w:tcPr>
          <w:p>
            <w:pPr>
              <w:spacing w:after="0"/>
            </w:pPr>
            <w:r>
              <w:rPr>
                <w:b/>
                <w:color w:val="5C2193"/>
                <w:sz w:val="18"/>
              </w:rPr>
              <w:t>SCAPREQ</w:t>
            </w:r>
          </w:p>
        </w:tc>
        <w:tc>
          <w:tcPr>
            <w:tcW w:type="dxa" w:w="7824"/>
          </w:tcPr>
          <w:p>
            <w:pPr>
              <w:spacing w:after="0"/>
            </w:pPr>
            <w:r>
              <w:rPr>
                <w:sz w:val="18"/>
              </w:rPr>
              <w:t>Prerrequisitos y puntajes de examen del catálogo</w:t>
            </w:r>
          </w:p>
        </w:tc>
      </w:tr>
      <w:tr>
        <w:tc>
          <w:tcPr>
            <w:tcW w:type="dxa" w:w="1814"/>
          </w:tcPr>
          <w:p>
            <w:pPr>
              <w:spacing w:after="0"/>
            </w:pPr>
            <w:r>
              <w:rPr>
                <w:b/>
                <w:color w:val="5C2193"/>
                <w:sz w:val="18"/>
              </w:rPr>
              <w:t>SEUSS</w:t>
            </w:r>
          </w:p>
        </w:tc>
        <w:tc>
          <w:tcPr>
            <w:tcW w:type="dxa" w:w="7824"/>
          </w:tcPr>
          <w:p>
            <w:pPr>
              <w:spacing w:after="0"/>
            </w:pPr>
            <w:r>
              <w:rPr>
                <w:sz w:val="18"/>
              </w:rPr>
              <w:t>Sistema académico actual de la USS</w:t>
            </w:r>
          </w:p>
        </w:tc>
      </w:tr>
      <w:tr>
        <w:tc>
          <w:tcPr>
            <w:tcW w:type="dxa" w:w="1814"/>
          </w:tcPr>
          <w:p>
            <w:pPr>
              <w:spacing w:after="0"/>
            </w:pPr>
            <w:r>
              <w:rPr>
                <w:b/>
                <w:color w:val="5C2193"/>
                <w:sz w:val="18"/>
              </w:rPr>
              <w:t>SFARGFE</w:t>
            </w:r>
          </w:p>
        </w:tc>
        <w:tc>
          <w:tcPr>
            <w:tcW w:type="dxa" w:w="7824"/>
          </w:tcPr>
          <w:p>
            <w:pPr>
              <w:spacing w:after="0"/>
            </w:pPr>
            <w:r>
              <w:rPr>
                <w:sz w:val="18"/>
              </w:rPr>
              <w:t>Reglas de cobro de la inscripción</w:t>
            </w:r>
          </w:p>
        </w:tc>
      </w:tr>
      <w:tr>
        <w:tc>
          <w:tcPr>
            <w:tcW w:type="dxa" w:w="1814"/>
          </w:tcPr>
          <w:p>
            <w:pPr>
              <w:spacing w:after="0"/>
            </w:pPr>
            <w:r>
              <w:rPr>
                <w:b/>
                <w:color w:val="5C2193"/>
                <w:sz w:val="18"/>
              </w:rPr>
              <w:t>SFAROVR</w:t>
            </w:r>
          </w:p>
        </w:tc>
        <w:tc>
          <w:tcPr>
            <w:tcW w:type="dxa" w:w="7824"/>
          </w:tcPr>
          <w:p>
            <w:pPr>
              <w:spacing w:after="0"/>
            </w:pPr>
            <w:r>
              <w:rPr>
                <w:sz w:val="18"/>
              </w:rPr>
              <w:t>Permisos de sobrepaso de inscripción</w:t>
            </w:r>
          </w:p>
        </w:tc>
      </w:tr>
      <w:tr>
        <w:tc>
          <w:tcPr>
            <w:tcW w:type="dxa" w:w="1814"/>
          </w:tcPr>
          <w:p>
            <w:pPr>
              <w:spacing w:after="0"/>
            </w:pPr>
            <w:r>
              <w:rPr>
                <w:b/>
                <w:color w:val="5C2193"/>
                <w:sz w:val="18"/>
              </w:rPr>
              <w:t>SFASLST</w:t>
            </w:r>
          </w:p>
        </w:tc>
        <w:tc>
          <w:tcPr>
            <w:tcW w:type="dxa" w:w="7824"/>
          </w:tcPr>
          <w:p>
            <w:pPr>
              <w:spacing w:after="0"/>
            </w:pPr>
            <w:r>
              <w:rPr>
                <w:sz w:val="18"/>
              </w:rPr>
              <w:t>Notas por backoffice</w:t>
            </w:r>
          </w:p>
        </w:tc>
      </w:tr>
      <w:tr>
        <w:tc>
          <w:tcPr>
            <w:tcW w:type="dxa" w:w="1814"/>
          </w:tcPr>
          <w:p>
            <w:pPr>
              <w:spacing w:after="0"/>
            </w:pPr>
            <w:r>
              <w:rPr>
                <w:b/>
                <w:color w:val="5C2193"/>
                <w:sz w:val="18"/>
              </w:rPr>
              <w:t>SFPPROJ</w:t>
            </w:r>
          </w:p>
        </w:tc>
        <w:tc>
          <w:tcPr>
            <w:tcW w:type="dxa" w:w="7824"/>
          </w:tcPr>
          <w:p>
            <w:pPr>
              <w:spacing w:after="0"/>
            </w:pPr>
            <w:r>
              <w:rPr>
                <w:sz w:val="18"/>
              </w:rPr>
              <w:t>Proceso de proyección académica</w:t>
            </w:r>
          </w:p>
        </w:tc>
      </w:tr>
      <w:tr>
        <w:tc>
          <w:tcPr>
            <w:tcW w:type="dxa" w:w="1814"/>
          </w:tcPr>
          <w:p>
            <w:pPr>
              <w:spacing w:after="0"/>
            </w:pPr>
            <w:r>
              <w:rPr>
                <w:b/>
                <w:color w:val="5C2193"/>
                <w:sz w:val="18"/>
              </w:rPr>
              <w:t>SFRFASC</w:t>
            </w:r>
          </w:p>
        </w:tc>
        <w:tc>
          <w:tcPr>
            <w:tcW w:type="dxa" w:w="7824"/>
          </w:tcPr>
          <w:p>
            <w:pPr>
              <w:spacing w:after="0"/>
            </w:pPr>
            <w:r>
              <w:rPr>
                <w:sz w:val="18"/>
              </w:rPr>
              <w:t>Estimación de cuotas por lotes</w:t>
            </w:r>
          </w:p>
        </w:tc>
      </w:tr>
      <w:tr>
        <w:tc>
          <w:tcPr>
            <w:tcW w:type="dxa" w:w="1814"/>
          </w:tcPr>
          <w:p>
            <w:pPr>
              <w:spacing w:after="0"/>
            </w:pPr>
            <w:r>
              <w:rPr>
                <w:b/>
                <w:color w:val="5C2193"/>
                <w:sz w:val="18"/>
              </w:rPr>
              <w:t>SHADEGR</w:t>
            </w:r>
          </w:p>
        </w:tc>
        <w:tc>
          <w:tcPr>
            <w:tcW w:type="dxa" w:w="7824"/>
          </w:tcPr>
          <w:p>
            <w:pPr>
              <w:spacing w:after="0"/>
            </w:pPr>
            <w:r>
              <w:rPr>
                <w:sz w:val="18"/>
              </w:rPr>
              <w:t>Grado del estudiante</w:t>
            </w:r>
          </w:p>
        </w:tc>
      </w:tr>
      <w:tr>
        <w:tc>
          <w:tcPr>
            <w:tcW w:type="dxa" w:w="1814"/>
          </w:tcPr>
          <w:p>
            <w:pPr>
              <w:spacing w:after="0"/>
            </w:pPr>
            <w:r>
              <w:rPr>
                <w:b/>
                <w:color w:val="5C2193"/>
                <w:sz w:val="18"/>
              </w:rPr>
              <w:t>SHAGRDE</w:t>
            </w:r>
          </w:p>
        </w:tc>
        <w:tc>
          <w:tcPr>
            <w:tcW w:type="dxa" w:w="7824"/>
          </w:tcPr>
          <w:p>
            <w:pPr>
              <w:spacing w:after="0"/>
            </w:pPr>
            <w:r>
              <w:rPr>
                <w:sz w:val="18"/>
              </w:rPr>
              <w:t>Códigos de calificación</w:t>
            </w:r>
          </w:p>
        </w:tc>
      </w:tr>
      <w:tr>
        <w:tc>
          <w:tcPr>
            <w:tcW w:type="dxa" w:w="1814"/>
          </w:tcPr>
          <w:p>
            <w:pPr>
              <w:spacing w:after="0"/>
            </w:pPr>
            <w:r>
              <w:rPr>
                <w:b/>
                <w:color w:val="5C2193"/>
                <w:sz w:val="18"/>
              </w:rPr>
              <w:t>SHATCKN</w:t>
            </w:r>
          </w:p>
        </w:tc>
        <w:tc>
          <w:tcPr>
            <w:tcW w:type="dxa" w:w="7824"/>
          </w:tcPr>
          <w:p>
            <w:pPr>
              <w:spacing w:after="0"/>
            </w:pPr>
            <w:r>
              <w:rPr>
                <w:sz w:val="18"/>
              </w:rPr>
              <w:t>Notas ya en la historia académica</w:t>
            </w:r>
          </w:p>
        </w:tc>
      </w:tr>
      <w:tr>
        <w:tc>
          <w:tcPr>
            <w:tcW w:type="dxa" w:w="1814"/>
          </w:tcPr>
          <w:p>
            <w:pPr>
              <w:spacing w:after="0"/>
            </w:pPr>
            <w:r>
              <w:rPr>
                <w:b/>
                <w:color w:val="5C2193"/>
                <w:sz w:val="18"/>
              </w:rPr>
              <w:t>SIAASGN</w:t>
            </w:r>
          </w:p>
        </w:tc>
        <w:tc>
          <w:tcPr>
            <w:tcW w:type="dxa" w:w="7824"/>
          </w:tcPr>
          <w:p>
            <w:pPr>
              <w:spacing w:after="0"/>
            </w:pPr>
            <w:r>
              <w:rPr>
                <w:sz w:val="18"/>
              </w:rPr>
              <w:t>Asignación de docente, su carga</w:t>
            </w:r>
          </w:p>
        </w:tc>
      </w:tr>
      <w:tr>
        <w:tc>
          <w:tcPr>
            <w:tcW w:type="dxa" w:w="1814"/>
          </w:tcPr>
          <w:p>
            <w:pPr>
              <w:spacing w:after="0"/>
            </w:pPr>
            <w:r>
              <w:rPr>
                <w:b/>
                <w:color w:val="5C2193"/>
                <w:sz w:val="18"/>
              </w:rPr>
              <w:t>SIACONA</w:t>
            </w:r>
          </w:p>
        </w:tc>
        <w:tc>
          <w:tcPr>
            <w:tcW w:type="dxa" w:w="7824"/>
          </w:tcPr>
          <w:p>
            <w:pPr>
              <w:spacing w:after="0"/>
            </w:pPr>
            <w:r>
              <w:rPr>
                <w:sz w:val="18"/>
              </w:rPr>
              <w:t>Análisis de la carga por contrato</w:t>
            </w:r>
          </w:p>
        </w:tc>
      </w:tr>
      <w:tr>
        <w:tc>
          <w:tcPr>
            <w:tcW w:type="dxa" w:w="1814"/>
          </w:tcPr>
          <w:p>
            <w:pPr>
              <w:spacing w:after="0"/>
            </w:pPr>
            <w:r>
              <w:rPr>
                <w:b/>
                <w:color w:val="5C2193"/>
                <w:sz w:val="18"/>
              </w:rPr>
              <w:t>SIAFLCT</w:t>
            </w:r>
          </w:p>
        </w:tc>
        <w:tc>
          <w:tcPr>
            <w:tcW w:type="dxa" w:w="7824"/>
          </w:tcPr>
          <w:p>
            <w:pPr>
              <w:spacing w:after="0"/>
            </w:pPr>
            <w:r>
              <w:rPr>
                <w:sz w:val="18"/>
              </w:rPr>
              <w:t>Reglas de carga por tipo de contrato</w:t>
            </w:r>
          </w:p>
        </w:tc>
      </w:tr>
      <w:tr>
        <w:tc>
          <w:tcPr>
            <w:tcW w:type="dxa" w:w="1814"/>
          </w:tcPr>
          <w:p>
            <w:pPr>
              <w:spacing w:after="0"/>
            </w:pPr>
            <w:r>
              <w:rPr>
                <w:b/>
                <w:color w:val="5C2193"/>
                <w:sz w:val="18"/>
              </w:rPr>
              <w:t>SIAFLRT</w:t>
            </w:r>
          </w:p>
        </w:tc>
        <w:tc>
          <w:tcPr>
            <w:tcW w:type="dxa" w:w="7824"/>
          </w:tcPr>
          <w:p>
            <w:pPr>
              <w:spacing w:after="0"/>
            </w:pPr>
            <w:r>
              <w:rPr>
                <w:sz w:val="18"/>
              </w:rPr>
              <w:t>Reglas de carga docente</w:t>
            </w:r>
          </w:p>
        </w:tc>
      </w:tr>
      <w:tr>
        <w:tc>
          <w:tcPr>
            <w:tcW w:type="dxa" w:w="1814"/>
          </w:tcPr>
          <w:p>
            <w:pPr>
              <w:spacing w:after="0"/>
            </w:pPr>
            <w:r>
              <w:rPr>
                <w:b/>
                <w:color w:val="5C2193"/>
                <w:sz w:val="18"/>
              </w:rPr>
              <w:t>SIAINST</w:t>
            </w:r>
          </w:p>
        </w:tc>
        <w:tc>
          <w:tcPr>
            <w:tcW w:type="dxa" w:w="7824"/>
          </w:tcPr>
          <w:p>
            <w:pPr>
              <w:spacing w:after="0"/>
            </w:pPr>
            <w:r>
              <w:rPr>
                <w:sz w:val="18"/>
              </w:rPr>
              <w:t>Datos del docente</w:t>
            </w:r>
          </w:p>
        </w:tc>
      </w:tr>
      <w:tr>
        <w:tc>
          <w:tcPr>
            <w:tcW w:type="dxa" w:w="1814"/>
          </w:tcPr>
          <w:p>
            <w:pPr>
              <w:spacing w:after="0"/>
            </w:pPr>
            <w:r>
              <w:rPr>
                <w:b/>
                <w:color w:val="5C2193"/>
                <w:sz w:val="18"/>
              </w:rPr>
              <w:t>SIATERM</w:t>
            </w:r>
          </w:p>
        </w:tc>
        <w:tc>
          <w:tcPr>
            <w:tcW w:type="dxa" w:w="7824"/>
          </w:tcPr>
          <w:p>
            <w:pPr>
              <w:spacing w:after="0"/>
            </w:pPr>
            <w:r>
              <w:rPr>
                <w:sz w:val="18"/>
              </w:rPr>
              <w:t>Control de periodo de carga docente</w:t>
            </w:r>
          </w:p>
        </w:tc>
      </w:tr>
      <w:tr>
        <w:tc>
          <w:tcPr>
            <w:tcW w:type="dxa" w:w="1814"/>
          </w:tcPr>
          <w:p>
            <w:pPr>
              <w:spacing w:after="0"/>
            </w:pPr>
            <w:r>
              <w:rPr>
                <w:b/>
                <w:color w:val="5C2193"/>
                <w:sz w:val="18"/>
              </w:rPr>
              <w:t>SMAAREA</w:t>
            </w:r>
          </w:p>
        </w:tc>
        <w:tc>
          <w:tcPr>
            <w:tcW w:type="dxa" w:w="7824"/>
          </w:tcPr>
          <w:p>
            <w:pPr>
              <w:spacing w:after="0"/>
            </w:pPr>
            <w:r>
              <w:rPr>
                <w:sz w:val="18"/>
              </w:rPr>
              <w:t>Requerimientos de área de la malla</w:t>
            </w:r>
          </w:p>
        </w:tc>
      </w:tr>
      <w:tr>
        <w:tc>
          <w:tcPr>
            <w:tcW w:type="dxa" w:w="1814"/>
          </w:tcPr>
          <w:p>
            <w:pPr>
              <w:spacing w:after="0"/>
            </w:pPr>
            <w:r>
              <w:rPr>
                <w:b/>
                <w:color w:val="5C2193"/>
                <w:sz w:val="18"/>
              </w:rPr>
              <w:t>SMAPROG</w:t>
            </w:r>
          </w:p>
        </w:tc>
        <w:tc>
          <w:tcPr>
            <w:tcW w:type="dxa" w:w="7824"/>
          </w:tcPr>
          <w:p>
            <w:pPr>
              <w:spacing w:after="0"/>
            </w:pPr>
            <w:r>
              <w:rPr>
                <w:sz w:val="18"/>
              </w:rPr>
              <w:t>Requerimientos del programa: la malla</w:t>
            </w:r>
          </w:p>
        </w:tc>
      </w:tr>
      <w:tr>
        <w:tc>
          <w:tcPr>
            <w:tcW w:type="dxa" w:w="1814"/>
          </w:tcPr>
          <w:p>
            <w:pPr>
              <w:spacing w:after="0"/>
            </w:pPr>
            <w:r>
              <w:rPr>
                <w:b/>
                <w:color w:val="5C2193"/>
                <w:sz w:val="18"/>
              </w:rPr>
              <w:t>SMARQCM</w:t>
            </w:r>
          </w:p>
        </w:tc>
        <w:tc>
          <w:tcPr>
            <w:tcW w:type="dxa" w:w="7824"/>
          </w:tcPr>
          <w:p>
            <w:pPr>
              <w:spacing w:after="0"/>
            </w:pPr>
            <w:r>
              <w:rPr>
                <w:sz w:val="18"/>
              </w:rPr>
              <w:t>CAPP de un estudiante</w:t>
            </w:r>
          </w:p>
        </w:tc>
      </w:tr>
      <w:tr>
        <w:tc>
          <w:tcPr>
            <w:tcW w:type="dxa" w:w="1814"/>
          </w:tcPr>
          <w:p>
            <w:pPr>
              <w:spacing w:after="0"/>
            </w:pPr>
            <w:r>
              <w:rPr>
                <w:b/>
                <w:color w:val="5C2193"/>
                <w:sz w:val="18"/>
              </w:rPr>
              <w:t>SOAATRK</w:t>
            </w:r>
          </w:p>
        </w:tc>
        <w:tc>
          <w:tcPr>
            <w:tcW w:type="dxa" w:w="7824"/>
          </w:tcPr>
          <w:p>
            <w:pPr>
              <w:spacing w:after="0"/>
            </w:pPr>
            <w:r>
              <w:rPr>
                <w:sz w:val="18"/>
              </w:rPr>
              <w:t>Regla de control de asistencia del NRC</w:t>
            </w:r>
          </w:p>
        </w:tc>
      </w:tr>
      <w:tr>
        <w:tc>
          <w:tcPr>
            <w:tcW w:type="dxa" w:w="1814"/>
          </w:tcPr>
          <w:p>
            <w:pPr>
              <w:spacing w:after="0"/>
            </w:pPr>
            <w:r>
              <w:rPr>
                <w:b/>
                <w:color w:val="5C2193"/>
                <w:sz w:val="18"/>
              </w:rPr>
              <w:t>SOATERM</w:t>
            </w:r>
          </w:p>
        </w:tc>
        <w:tc>
          <w:tcPr>
            <w:tcW w:type="dxa" w:w="7824"/>
          </w:tcPr>
          <w:p>
            <w:pPr>
              <w:spacing w:after="0"/>
            </w:pPr>
            <w:r>
              <w:rPr>
                <w:sz w:val="18"/>
              </w:rPr>
              <w:t>Control de periodo</w:t>
            </w:r>
          </w:p>
        </w:tc>
      </w:tr>
      <w:tr>
        <w:tc>
          <w:tcPr>
            <w:tcW w:type="dxa" w:w="1814"/>
          </w:tcPr>
          <w:p>
            <w:pPr>
              <w:spacing w:after="0"/>
            </w:pPr>
            <w:r>
              <w:rPr>
                <w:b/>
                <w:color w:val="5C2193"/>
                <w:sz w:val="18"/>
              </w:rPr>
              <w:t>SOATEST</w:t>
            </w:r>
          </w:p>
        </w:tc>
        <w:tc>
          <w:tcPr>
            <w:tcW w:type="dxa" w:w="7824"/>
          </w:tcPr>
          <w:p>
            <w:pPr>
              <w:spacing w:after="0"/>
            </w:pPr>
            <w:r>
              <w:rPr>
                <w:sz w:val="18"/>
              </w:rPr>
              <w:t>Puntajes de examen del estudiante</w:t>
            </w:r>
          </w:p>
        </w:tc>
      </w:tr>
      <w:tr>
        <w:tc>
          <w:tcPr>
            <w:tcW w:type="dxa" w:w="1814"/>
          </w:tcPr>
          <w:p>
            <w:pPr>
              <w:spacing w:after="0"/>
            </w:pPr>
            <w:r>
              <w:rPr>
                <w:b/>
                <w:color w:val="5C2193"/>
                <w:sz w:val="18"/>
              </w:rPr>
              <w:t>SPACMNT</w:t>
            </w:r>
          </w:p>
        </w:tc>
        <w:tc>
          <w:tcPr>
            <w:tcW w:type="dxa" w:w="7824"/>
          </w:tcPr>
          <w:p>
            <w:pPr>
              <w:spacing w:after="0"/>
            </w:pPr>
            <w:r>
              <w:rPr>
                <w:sz w:val="18"/>
              </w:rPr>
              <w:t>Comentarios de la persona</w:t>
            </w:r>
          </w:p>
        </w:tc>
      </w:tr>
      <w:tr>
        <w:tc>
          <w:tcPr>
            <w:tcW w:type="dxa" w:w="1814"/>
          </w:tcPr>
          <w:p>
            <w:pPr>
              <w:spacing w:after="0"/>
            </w:pPr>
            <w:r>
              <w:rPr>
                <w:b/>
                <w:color w:val="5C2193"/>
                <w:sz w:val="18"/>
              </w:rPr>
              <w:t>SSAPREQ</w:t>
            </w:r>
          </w:p>
        </w:tc>
        <w:tc>
          <w:tcPr>
            <w:tcW w:type="dxa" w:w="7824"/>
          </w:tcPr>
          <w:p>
            <w:pPr>
              <w:spacing w:after="0"/>
            </w:pPr>
            <w:r>
              <w:rPr>
                <w:sz w:val="18"/>
              </w:rPr>
              <w:t>Prerrequisitos del NRC</w:t>
            </w:r>
          </w:p>
        </w:tc>
      </w:tr>
      <w:tr>
        <w:tc>
          <w:tcPr>
            <w:tcW w:type="dxa" w:w="1814"/>
          </w:tcPr>
          <w:p>
            <w:pPr>
              <w:spacing w:after="0"/>
            </w:pPr>
            <w:r>
              <w:rPr>
                <w:b/>
                <w:color w:val="5C2193"/>
                <w:sz w:val="18"/>
              </w:rPr>
              <w:t>SSASECT</w:t>
            </w:r>
          </w:p>
        </w:tc>
        <w:tc>
          <w:tcPr>
            <w:tcW w:type="dxa" w:w="7824"/>
          </w:tcPr>
          <w:p>
            <w:pPr>
              <w:spacing w:after="0"/>
            </w:pPr>
            <w:r>
              <w:rPr>
                <w:sz w:val="18"/>
              </w:rPr>
              <w:t>Programar NRC</w:t>
            </w:r>
          </w:p>
        </w:tc>
      </w:tr>
      <w:tr>
        <w:tc>
          <w:tcPr>
            <w:tcW w:type="dxa" w:w="1814"/>
          </w:tcPr>
          <w:p>
            <w:pPr>
              <w:spacing w:after="0"/>
            </w:pPr>
            <w:r>
              <w:rPr>
                <w:b/>
                <w:color w:val="5C2193"/>
                <w:sz w:val="18"/>
              </w:rPr>
              <w:t>STVCNTR</w:t>
            </w:r>
          </w:p>
        </w:tc>
        <w:tc>
          <w:tcPr>
            <w:tcW w:type="dxa" w:w="7824"/>
          </w:tcPr>
          <w:p>
            <w:pPr>
              <w:spacing w:after="0"/>
            </w:pPr>
            <w:r>
              <w:rPr>
                <w:sz w:val="18"/>
              </w:rPr>
              <w:t>Catálogo de reglas de carga del contrato</w:t>
            </w:r>
          </w:p>
        </w:tc>
      </w:tr>
      <w:tr>
        <w:tc>
          <w:tcPr>
            <w:tcW w:type="dxa" w:w="1814"/>
          </w:tcPr>
          <w:p>
            <w:pPr>
              <w:spacing w:after="0"/>
            </w:pPr>
            <w:r>
              <w:rPr>
                <w:b/>
                <w:color w:val="5C2193"/>
                <w:sz w:val="18"/>
              </w:rPr>
              <w:t>STVNIST</w:t>
            </w:r>
          </w:p>
        </w:tc>
        <w:tc>
          <w:tcPr>
            <w:tcW w:type="dxa" w:w="7824"/>
          </w:tcPr>
          <w:p>
            <w:pPr>
              <w:spacing w:after="0"/>
            </w:pPr>
            <w:r>
              <w:rPr>
                <w:sz w:val="18"/>
              </w:rPr>
              <w:t>Catálogo de labores no educativas</w:t>
            </w:r>
          </w:p>
        </w:tc>
      </w:tr>
      <w:tr>
        <w:tc>
          <w:tcPr>
            <w:tcW w:type="dxa" w:w="1814"/>
          </w:tcPr>
          <w:p>
            <w:pPr>
              <w:spacing w:after="0"/>
            </w:pPr>
            <w:r>
              <w:rPr>
                <w:b/>
                <w:color w:val="5C2193"/>
                <w:sz w:val="18"/>
              </w:rPr>
              <w:t>SVASVPR</w:t>
            </w:r>
          </w:p>
        </w:tc>
        <w:tc>
          <w:tcPr>
            <w:tcW w:type="dxa" w:w="7824"/>
          </w:tcPr>
          <w:p>
            <w:pPr>
              <w:spacing w:after="0"/>
            </w:pPr>
            <w:r>
              <w:rPr>
                <w:sz w:val="18"/>
              </w:rPr>
              <w:t>Administración de solicitudes de servicio</w:t>
            </w:r>
          </w:p>
        </w:tc>
      </w:tr>
      <w:tr>
        <w:tc>
          <w:tcPr>
            <w:tcW w:type="dxa" w:w="1814"/>
          </w:tcPr>
          <w:p>
            <w:pPr>
              <w:spacing w:after="0"/>
            </w:pPr>
            <w:r>
              <w:rPr>
                <w:b/>
                <w:color w:val="5C2193"/>
                <w:sz w:val="18"/>
              </w:rPr>
              <w:t>SVVSRVC</w:t>
            </w:r>
          </w:p>
        </w:tc>
        <w:tc>
          <w:tcPr>
            <w:tcW w:type="dxa" w:w="7824"/>
          </w:tcPr>
          <w:p>
            <w:pPr>
              <w:spacing w:after="0"/>
            </w:pPr>
            <w:r>
              <w:rPr>
                <w:sz w:val="18"/>
              </w:rPr>
              <w:t>Catálogo de solicitudes de servicio</w:t>
            </w:r>
          </w:p>
        </w:tc>
      </w:tr>
    </w:tbl>
    <w:sectPr w:rsidR="00FC693F" w:rsidRPr="0006063C" w:rsidSect="00034616">
      <w:headerReference w:type="default" r:id="rId9"/>
      <w:footerReference w:type="default" r:id="rId10"/>
      <w:pgSz w:w="11906" w:h="16838"/>
      <w:pgMar w:top="147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638" w:val="right"/>
      </w:tabs>
    </w:pPr>
    <w:r>
      <w:rPr>
        <w:color w:val="6B6478"/>
        <w:sz w:val="17"/>
      </w:rPr>
      <w:t>Elaborado por: Dagner Anibal Chuman Lluen · Centros Empresariales USS</w:t>
    </w:r>
    <w:r>
      <w:rPr>
        <w:color w:val="6B6478"/>
        <w:sz w:val="17"/>
      </w:rPr>
      <w:tab/>
      <w:t xml:space="preserve">Página </w:t>
    </w:r>
    <w:r>
      <w:rPr>
        <w:color w:val="6B6478"/>
        <w:sz w:val="17"/>
      </w:rPr>
      <w:fldChar w:fldCharType="begin"/>
    </w:r>
    <w:r>
      <w:rPr>
        <w:color w:val="6B6478"/>
        <w:sz w:val="17"/>
      </w:rPr>
      <w:instrText xml:space="preserve"> PAGE </w:instrText>
    </w:r>
    <w:r>
      <w:rPr>
        <w:color w:val="6B6478"/>
        <w:sz w:val="17"/>
      </w:rPr>
      <w:fldChar w:fldCharType="separate"/>
    </w:r>
    <w:r>
      <w:rPr>
        <w:color w:val="6B6478"/>
        <w:sz w:val="17"/>
      </w:rPr>
      <w:t>1</w:t>
    </w:r>
    <w:r>
      <w:rPr>
        <w:color w:val="6B6478"/>
        <w:sz w:val="17"/>
      </w:rPr>
      <w:fldChar w:fldCharType="end"/>
    </w:r>
    <w:r>
      <w:rPr>
        <w:color w:val="6B6478"/>
        <w:sz w:val="17"/>
      </w:rPr>
      <w:t xml:space="preserve"> de </w:t>
    </w:r>
    <w:r>
      <w:rPr>
        <w:color w:val="6B6478"/>
        <w:sz w:val="17"/>
      </w:rPr>
      <w:fldChar w:fldCharType="begin"/>
    </w:r>
    <w:r>
      <w:rPr>
        <w:color w:val="6B6478"/>
        <w:sz w:val="17"/>
      </w:rPr>
      <w:instrText xml:space="preserve"> NUMPAGES </w:instrText>
    </w:r>
    <w:r>
      <w:rPr>
        <w:color w:val="6B6478"/>
        <w:sz w:val="17"/>
      </w:rPr>
      <w:fldChar w:fldCharType="separate"/>
    </w:r>
    <w:r>
      <w:rPr>
        <w:color w:val="6B6478"/>
        <w:sz w:val="17"/>
      </w:rPr>
      <w:t>1</w:t>
    </w:r>
    <w:r>
      <w:rPr>
        <w:color w:val="6B6478"/>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7030A0"/>
      </w:pBdr>
      <w:tabs>
        <w:tab w:pos="4680" w:val="clear"/>
        <w:tab w:pos="9360" w:val="clear"/>
        <w:tab w:pos="9638" w:val="right"/>
      </w:tabs>
    </w:pPr>
    <w:r>
      <w:drawing>
        <wp:inline xmlns:a="http://schemas.openxmlformats.org/drawingml/2006/main" xmlns:pic="http://schemas.openxmlformats.org/drawingml/2006/picture">
          <wp:extent cx="1376426" cy="324000"/>
          <wp:docPr id="1" name="Picture 1"/>
          <wp:cNvGraphicFramePr>
            <a:graphicFrameLocks noChangeAspect="1"/>
          </wp:cNvGraphicFramePr>
          <a:graphic>
            <a:graphicData uri="http://schemas.openxmlformats.org/drawingml/2006/picture">
              <pic:pic>
                <pic:nvPicPr>
                  <pic:cNvPr id="0" name="uss.png"/>
                  <pic:cNvPicPr/>
                </pic:nvPicPr>
                <pic:blipFill>
                  <a:blip r:embed="rId1"/>
                  <a:stretch>
                    <a:fillRect/>
                  </a:stretch>
                </pic:blipFill>
                <pic:spPr>
                  <a:xfrm>
                    <a:off x="0" y="0"/>
                    <a:ext cx="1376426" cy="324000"/>
                  </a:xfrm>
                  <a:prstGeom prst="rect"/>
                </pic:spPr>
              </pic:pic>
            </a:graphicData>
          </a:graphic>
        </wp:inline>
      </w:drawing>
    </w:r>
    <w:r>
      <w:tab/>
    </w:r>
    <w:r>
      <w:drawing>
        <wp:inline xmlns:a="http://schemas.openxmlformats.org/drawingml/2006/main" xmlns:pic="http://schemas.openxmlformats.org/drawingml/2006/picture">
          <wp:extent cx="479998" cy="251999"/>
          <wp:docPr id="2" name="Picture 2"/>
          <wp:cNvGraphicFramePr>
            <a:graphicFrameLocks noChangeAspect="1"/>
          </wp:cNvGraphicFramePr>
          <a:graphic>
            <a:graphicData uri="http://schemas.openxmlformats.org/drawingml/2006/picture">
              <pic:pic>
                <pic:nvPicPr>
                  <pic:cNvPr id="0" name="ellucian.png"/>
                  <pic:cNvPicPr/>
                </pic:nvPicPr>
                <pic:blipFill>
                  <a:blip r:embed="rId2"/>
                  <a:stretch>
                    <a:fillRect/>
                  </a:stretch>
                </pic:blipFill>
                <pic:spPr>
                  <a:xfrm>
                    <a:off x="0" y="0"/>
                    <a:ext cx="479998" cy="2519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Calibri" w:hAnsi="Calibri"/>
      <w:b/>
      <w:bCs/>
      <w:color w:val="7030A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b/>
      <w:bCs/>
      <w:color w:val="5C2193"/>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b/>
      <w:bCs/>
      <w:color w:val="2B21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Calibri" w:hAnsi="Calibri"/>
      <w:b/>
      <w:color w:val="5C219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Preguntas para Ellucian · Reunión del 27/10/2026</dc:title>
  <dc:subject>Centros Empresariales USS · Ellucian Banner</dc:subject>
  <dc:creator>Dagner Anibal Chuman Lluen</dc:creator>
  <cp:keywords>Ellucian, Banner, Centros Empresariales, dudas</cp:keywords>
  <dc:description>generated by python-docx</dc:description>
  <cp:lastModifiedBy/>
  <cp:revision>1</cp:revision>
  <dcterms:created xsi:type="dcterms:W3CDTF">2013-12-23T23:15:00Z</dcterms:created>
  <dcterms:modified xsi:type="dcterms:W3CDTF">2013-12-23T23:15:00Z</dcterms:modified>
  <cp:category/>
</cp:coreProperties>
</file>