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Contributing to VendoraPOS</w:t>
      </w:r>
    </w:p>
    <w:p>
      <w:pPr>
        <w:pStyle w:val="BodyTextsubtitle"/>
        <w:bidi w:val="0"/>
        <w:jc w:val="left"/>
        <w:rPr/>
      </w:pPr>
      <w:r>
        <w:rPr/>
        <w:t>Read this before opening a pull request. It covers what to install on Windows, macOS, or Linux, how to get running locally, and the design rules that keep this codebase consistent.</w:t>
      </w:r>
    </w:p>
    <w:p>
      <w:pPr>
        <w:pStyle w:val="Heading2"/>
        <w:numPr>
          <w:ilvl w:val="0"/>
          <w:numId w:val="0"/>
        </w:numPr>
        <w:pBdr>
          <w:bottom w:val="single" w:sz="8" w:space="4" w:color="CCCCCC"/>
        </w:pBdr>
        <w:bidi w:val="0"/>
        <w:spacing w:before="480" w:after="120"/>
        <w:ind w:left="1134"/>
        <w:jc w:val="left"/>
        <w:rPr/>
      </w:pPr>
      <w:r>
        <w:rPr/>
        <w:t>1. Install these first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>Exact versions this project is built and tested against: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30"/>
        <w:gridCol w:w="2293"/>
        <w:gridCol w:w="5282"/>
      </w:tblGrid>
      <w:tr>
        <w:trPr/>
        <w:tc>
          <w:tcPr>
            <w:tcW w:w="26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4" w:after="1134"/>
              <w:jc w:val="left"/>
              <w:rPr/>
            </w:pPr>
            <w:r>
              <w:rPr/>
              <w:t>Tool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4" w:after="1134"/>
              <w:jc w:val="left"/>
              <w:rPr/>
            </w:pPr>
            <w:r>
              <w:rPr/>
              <w:t>Version used</w:t>
            </w:r>
          </w:p>
        </w:tc>
        <w:tc>
          <w:tcPr>
            <w:tcW w:w="52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4" w:after="1134"/>
              <w:jc w:val="left"/>
              <w:rPr/>
            </w:pPr>
            <w:r>
              <w:rPr/>
              <w:t>Target framework / package</w:t>
            </w:r>
          </w:p>
        </w:tc>
      </w:tr>
      <w:tr>
        <w:trPr/>
        <w:tc>
          <w:tcPr>
            <w:tcW w:w="2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.NET SDK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10.0.202</w:t>
            </w:r>
          </w:p>
        </w:tc>
        <w:tc>
          <w:tcPr>
            <w:tcW w:w="5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>
                <w:rStyle w:val="SourceText"/>
              </w:rPr>
              <w:t>net10.0</w:t>
            </w:r>
            <w:r>
              <w:rPr/>
              <w:t xml:space="preserve"> (any 10.x SDK should work)</w:t>
            </w:r>
          </w:p>
        </w:tc>
      </w:tr>
      <w:tr>
        <w:trPr/>
        <w:tc>
          <w:tcPr>
            <w:tcW w:w="2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Node.js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24.19.0</w:t>
            </w:r>
          </w:p>
        </w:tc>
        <w:tc>
          <w:tcPr>
            <w:tcW w:w="5282" w:type="dxa"/>
            <w:tcBorders/>
            <w:vAlign w:val="center"/>
          </w:tcPr>
          <w:p>
            <w:pPr>
              <w:pStyle w:val="TableContents"/>
              <w:bidi w:val="0"/>
              <w:spacing w:before="1134" w:after="1134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npm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11.17.0</w:t>
            </w:r>
          </w:p>
        </w:tc>
        <w:tc>
          <w:tcPr>
            <w:tcW w:w="5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ships with Node</w:t>
            </w:r>
          </w:p>
        </w:tc>
      </w:tr>
      <w:tr>
        <w:trPr/>
        <w:tc>
          <w:tcPr>
            <w:tcW w:w="2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Angular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22.1.x</w:t>
            </w:r>
          </w:p>
        </w:tc>
        <w:tc>
          <w:tcPr>
            <w:tcW w:w="5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>
                <w:rStyle w:val="SourceText"/>
              </w:rPr>
              <w:t>@angular/core</w:t>
            </w:r>
            <w:r>
              <w:rPr/>
              <w:t xml:space="preserve"> + </w:t>
            </w:r>
            <w:r>
              <w:rPr>
                <w:rStyle w:val="SourceText"/>
              </w:rPr>
              <w:t>@angular/cli</w:t>
            </w:r>
            <w:r>
              <w:rPr/>
              <w:t xml:space="preserve">, installed via </w:t>
            </w:r>
            <w:r>
              <w:rPr>
                <w:rStyle w:val="SourceText"/>
              </w:rPr>
              <w:t>npm install</w:t>
            </w:r>
            <w:r>
              <w:rPr/>
              <w:t xml:space="preserve"> — no separate global CLI install needed</w:t>
            </w:r>
          </w:p>
        </w:tc>
      </w:tr>
      <w:tr>
        <w:trPr/>
        <w:tc>
          <w:tcPr>
            <w:tcW w:w="2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>
                <w:rStyle w:val="SourceText"/>
              </w:rPr>
              <w:t>dotnet-ef</w:t>
            </w:r>
            <w:r>
              <w:rPr/>
              <w:t xml:space="preserve"> CLI tool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10.0.11</w:t>
            </w:r>
          </w:p>
        </w:tc>
        <w:tc>
          <w:tcPr>
            <w:tcW w:w="5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>
                <w:rStyle w:val="SourceText"/>
              </w:rPr>
              <w:t>dotnet tool install --global dotnet-ef</w:t>
            </w:r>
            <w:r>
              <w:rPr/>
              <w:t xml:space="preserve"> (same command on every OS)</w:t>
            </w:r>
          </w:p>
        </w:tc>
      </w:tr>
      <w:tr>
        <w:trPr/>
        <w:tc>
          <w:tcPr>
            <w:tcW w:w="2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Docker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any recent version</w:t>
            </w:r>
          </w:p>
        </w:tc>
        <w:tc>
          <w:tcPr>
            <w:tcW w:w="5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 xml:space="preserve">runs the </w:t>
            </w:r>
            <w:r>
              <w:rPr>
                <w:rStyle w:val="SourceText"/>
              </w:rPr>
              <w:t>mcr.microsoft.com/mssql/server:2022-latest</w:t>
            </w:r>
            <w:r>
              <w:rPr/>
              <w:t xml:space="preserve"> image</w:t>
            </w:r>
          </w:p>
        </w:tc>
      </w:tr>
      <w:tr>
        <w:trPr/>
        <w:tc>
          <w:tcPr>
            <w:tcW w:w="2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Git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any recent version</w:t>
            </w:r>
          </w:p>
        </w:tc>
        <w:tc>
          <w:tcPr>
            <w:tcW w:w="5282" w:type="dxa"/>
            <w:tcBorders/>
            <w:vAlign w:val="center"/>
          </w:tcPr>
          <w:p>
            <w:pPr>
              <w:pStyle w:val="TableContents"/>
              <w:bidi w:val="0"/>
              <w:spacing w:before="1134" w:after="1134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Windows (PowerShell)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winget install Microsoft.DotNet.SDK.10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winget install OpenJS.NodeJS.LTS      # or use nvm-windows: github.com/coreybutler/nvm-windows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winget install Docker.DockerDesktop   # requires WSL2 backend enabled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winget install Git.Git</w:t>
      </w:r>
    </w:p>
    <w:p>
      <w:pPr>
        <w:pStyle w:val="PreformattedText"/>
        <w:bidi w:val="0"/>
        <w:spacing w:before="1134" w:after="283"/>
        <w:jc w:val="left"/>
        <w:rPr/>
      </w:pPr>
      <w:r>
        <w:rPr/>
        <w:t>dotnet tool install --global dotnet-ef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Docker Desktop on Windows needs the WSL2 backend enabled (Docker Desktop will prompt you to enable it on first run if it isn't already). Everything else — </w:t>
      </w:r>
      <w:r>
        <w:rPr>
          <w:rStyle w:val="SourceText"/>
        </w:rPr>
        <w:t>dotnet</w:t>
      </w:r>
      <w:r>
        <w:rPr/>
        <w:t xml:space="preserve">, </w:t>
      </w:r>
      <w:r>
        <w:rPr>
          <w:rStyle w:val="SourceText"/>
        </w:rPr>
        <w:t>npm</w:t>
      </w:r>
      <w:r>
        <w:rPr/>
        <w:t xml:space="preserve">, </w:t>
      </w:r>
      <w:r>
        <w:rPr>
          <w:rStyle w:val="SourceText"/>
        </w:rPr>
        <w:t>git</w:t>
      </w:r>
      <w:r>
        <w:rPr/>
        <w:t xml:space="preserve"> commands — works identically in PowerShell, CMD, or a WSL2 shell.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macOS (with Homebrew)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brew install --cask dotnet-sdk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brew install nvm &amp;&amp; nvm install 24 &amp;&amp; nvm use 24    # or: brew install node@24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brew install --cask docker                              # Docker Desktop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brew install git</w:t>
      </w:r>
    </w:p>
    <w:p>
      <w:pPr>
        <w:pStyle w:val="PreformattedText"/>
        <w:bidi w:val="0"/>
        <w:spacing w:before="1134" w:after="283"/>
        <w:jc w:val="left"/>
        <w:rPr/>
      </w:pPr>
      <w:r>
        <w:rPr/>
        <w:t>dotnet tool install --global dotnet-ef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Linux (Debian/Ubuntu-based, e.g. Pop!_OS — what this project was built on)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# .NET SDK - see learn.microsoft.com/dotnet/core/install/linux for your distro's exact repo setup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sudo apt-get update &amp;&amp; sudo apt-get install -y dotnet-sdk-10.0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# Node via nvm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curl -o- https://raw.githubusercontent.com/nvm-sh/nvm/v0.40.1/install.sh | bash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nvm install 24 &amp;&amp; nvm use 24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# Docker Engine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sudo apt-get install -y docker.io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sudo usermod -aG docker $USER   # log out/in after this so docker works without sudo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sudo apt-get install -y git</w:t>
      </w:r>
    </w:p>
    <w:p>
      <w:pPr>
        <w:pStyle w:val="PreformattedText"/>
        <w:bidi w:val="0"/>
        <w:spacing w:before="1134" w:after="283"/>
        <w:jc w:val="left"/>
        <w:rPr/>
      </w:pPr>
      <w:r>
        <w:rPr/>
        <w:t>dotnet tool install --global dotnet-ef</w:t>
      </w:r>
    </w:p>
    <w:p>
      <w:pPr>
        <w:pStyle w:val="Heading2"/>
        <w:numPr>
          <w:ilvl w:val="0"/>
          <w:numId w:val="0"/>
        </w:numPr>
        <w:pBdr>
          <w:bottom w:val="single" w:sz="8" w:space="4" w:color="CCCCCC"/>
        </w:pBdr>
        <w:bidi w:val="0"/>
        <w:spacing w:before="480" w:after="120"/>
        <w:ind w:left="1134"/>
        <w:jc w:val="left"/>
        <w:rPr/>
      </w:pPr>
      <w:r>
        <w:rPr/>
        <w:t>2. First-time setup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Step 1 — Clone and start SQL Server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Matches the connection string already committed in </w:t>
      </w:r>
      <w:r>
        <w:rPr>
          <w:rStyle w:val="SourceText"/>
        </w:rPr>
        <w:t>src/server/Vendora.Api/appsettings.json</w:t>
      </w:r>
      <w:r>
        <w:rPr/>
        <w:t xml:space="preserve"> — this is a local dev-only password, not a real secret. This </w:t>
      </w:r>
      <w:r>
        <w:rPr>
          <w:rStyle w:val="SourceText"/>
        </w:rPr>
        <w:t>docker run</w:t>
      </w:r>
      <w:r>
        <w:rPr/>
        <w:t xml:space="preserve"> command is identical on Windows (PowerShell/CMD), macOS, and Linux: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docker run -e "ACCEPT_EULA=Y" -e "SA_PASSWORD=YourStrong@Passw0rd" \</w:t>
      </w:r>
    </w:p>
    <w:p>
      <w:pPr>
        <w:pStyle w:val="PreformattedText"/>
        <w:bidi w:val="0"/>
        <w:spacing w:before="1134" w:after="283"/>
        <w:jc w:val="left"/>
        <w:rPr/>
      </w:pPr>
      <w:r>
        <w:rPr/>
        <w:t xml:space="preserve">  </w:t>
      </w:r>
      <w:r>
        <w:rPr/>
        <w:t>-p 1433:1433 --name eca-mssql -d mcr.microsoft.com/mssql/server:2022-latest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If you use a different container name/password, update </w:t>
      </w:r>
      <w:r>
        <w:rPr>
          <w:rStyle w:val="SourceText"/>
        </w:rPr>
        <w:t>ConnectionStrings:DefaultConnection</w:t>
      </w:r>
      <w:r>
        <w:rPr/>
        <w:t xml:space="preserve"> in </w:t>
      </w:r>
      <w:r>
        <w:rPr>
          <w:rStyle w:val="SourceText"/>
        </w:rPr>
        <w:t>appsettings.json</w:t>
      </w:r>
      <w:r>
        <w:rPr/>
        <w:t xml:space="preserve"> locally — just don't commit real production credentials there (see </w:t>
      </w:r>
      <w:r>
        <w:rPr>
          <w:rStyle w:val="SourceText"/>
        </w:rPr>
        <w:t>.gitignore</w:t>
      </w:r>
      <w:r>
        <w:rPr/>
        <w:t xml:space="preserve"> — </w:t>
      </w:r>
      <w:r>
        <w:rPr>
          <w:rStyle w:val="SourceText"/>
        </w:rPr>
        <w:t>appsettings.Production.json</w:t>
      </w:r>
      <w:r>
        <w:rPr/>
        <w:t xml:space="preserve"> is already excluded for that reason).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Step 2 — Run the API (no manual migration step needed)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./scripts/run-api.sh          # dotnet run</w:t>
      </w:r>
    </w:p>
    <w:p>
      <w:pPr>
        <w:pStyle w:val="PreformattedText"/>
        <w:bidi w:val="0"/>
        <w:spacing w:before="1134" w:after="283"/>
        <w:jc w:val="left"/>
        <w:rPr/>
      </w:pPr>
      <w:r>
        <w:rPr/>
        <w:t>./scripts/run-api.sh watch    # dotnet watch run (auto-reload)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On startup, in the Development environment, the API automatically applies any pending EF Core migrations (creating the database schema from nothing, if needed) and then seeds 20 sample products (spanning pharmacy/retail/coffee-shop, matching the generic data model) — but only if the Products table is completely empty, so it never touches or duplicates data on a database you've already been working in. See </w:t>
      </w:r>
      <w:r>
        <w:rPr>
          <w:rStyle w:val="SourceText"/>
        </w:rPr>
        <w:t>Program.cs</w:t>
      </w:r>
      <w:r>
        <w:rPr/>
        <w:t xml:space="preserve"> and </w:t>
      </w:r>
      <w:r>
        <w:rPr>
          <w:rStyle w:val="SourceText"/>
        </w:rPr>
        <w:t>Vendora.Infrastructure/Persistence/DbSeeder.cs</w:t>
      </w:r>
      <w:r>
        <w:rPr/>
        <w:t>.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>
          <w:rStyle w:val="SourceText"/>
        </w:rPr>
        <w:t>./scripts/run-api.sh</w:t>
      </w:r>
      <w:r>
        <w:rPr/>
        <w:t xml:space="preserve"> frees ports 7196/5136 first, so re-running is always safe. It's a bash script — works as-is in a Linux/macOS terminal, or in </w:t>
      </w:r>
      <w:r>
        <w:rPr>
          <w:b/>
        </w:rPr>
        <w:t>Git Bash</w:t>
      </w:r>
      <w:r>
        <w:rPr/>
        <w:t xml:space="preserve"> or </w:t>
      </w:r>
      <w:r>
        <w:rPr>
          <w:b/>
        </w:rPr>
        <w:t>WSL2</w:t>
      </w:r>
      <w:r>
        <w:rPr/>
        <w:t xml:space="preserve"> on Windows. If you're in native PowerShell/CMD, just run </w:t>
      </w:r>
      <w:r>
        <w:rPr>
          <w:rStyle w:val="SourceText"/>
        </w:rPr>
        <w:t>dotnet run --launch-profile https</w:t>
      </w:r>
      <w:r>
        <w:rPr/>
        <w:t xml:space="preserve"> directly instead (from </w:t>
      </w:r>
      <w:r>
        <w:rPr>
          <w:rStyle w:val="SourceText"/>
        </w:rPr>
        <w:t>src/server/Vendora.Api</w:t>
      </w:r>
      <w:r>
        <w:rPr/>
        <w:t>); if you hit a "port already in use" error, find and stop the process with:</w:t>
      </w:r>
    </w:p>
    <w:p>
      <w:pPr>
        <w:pStyle w:val="PreformattedText"/>
        <w:bidi w:val="0"/>
        <w:spacing w:before="1134" w:after="283"/>
        <w:jc w:val="left"/>
        <w:rPr/>
      </w:pPr>
      <w:r>
        <w:rPr/>
        <w:t>Get-Process -Id (Get-NetTCPConnection -LocalPort 7196).OwningProcess | Stop-Process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Either way, you must pass </w:t>
      </w:r>
      <w:r>
        <w:rPr>
          <w:rStyle w:val="SourceText"/>
        </w:rPr>
        <w:t>--launch-profile https</w:t>
      </w:r>
      <w:r>
        <w:rPr/>
        <w:t xml:space="preserve"> when running manually, or the Angular proxy won't be able to reach the API — see the README.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If you ever need to run migrations manually instead (e.g. against a database the API isn't pointed at), from </w:t>
      </w:r>
      <w:r>
        <w:rPr>
          <w:rStyle w:val="SourceText"/>
        </w:rPr>
        <w:t>src/server/Vendora.Api</w:t>
      </w:r>
      <w:r>
        <w:rPr/>
        <w:t>:</w:t>
      </w:r>
    </w:p>
    <w:p>
      <w:pPr>
        <w:pStyle w:val="PreformattedText"/>
        <w:bidi w:val="0"/>
        <w:spacing w:before="1134" w:after="283"/>
        <w:jc w:val="left"/>
        <w:rPr/>
      </w:pPr>
      <w:r>
        <w:rPr/>
        <w:t>dotnet ef database update --project ../Vendora.Infrastructure --startup-project 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Step 3 — Run the client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From </w:t>
      </w:r>
      <w:r>
        <w:rPr>
          <w:rStyle w:val="SourceText"/>
        </w:rPr>
        <w:t>src/client</w:t>
      </w:r>
      <w:r>
        <w:rPr/>
        <w:t>:</w:t>
      </w:r>
    </w:p>
    <w:p>
      <w:pPr>
        <w:pStyle w:val="PreformattedText"/>
        <w:pBdr>
          <w:top w:val="single" w:sz="8" w:space="8" w:color="DDDDDD"/>
          <w:left w:val="single" w:sz="8" w:space="10" w:color="DDDDDD"/>
          <w:bottom w:val="single" w:sz="8" w:space="8" w:color="DDDDDD"/>
          <w:right w:val="single" w:sz="8" w:space="10" w:color="DDDDDD"/>
        </w:pBdr>
        <w:bidi w:val="0"/>
        <w:spacing w:before="1134" w:after="0"/>
        <w:jc w:val="left"/>
        <w:rPr/>
      </w:pPr>
      <w:r>
        <w:rPr/>
        <w:t>npm install</w:t>
      </w:r>
    </w:p>
    <w:p>
      <w:pPr>
        <w:pStyle w:val="PreformattedText"/>
        <w:bidi w:val="0"/>
        <w:spacing w:before="1134" w:after="283"/>
        <w:jc w:val="left"/>
        <w:rPr/>
      </w:pPr>
      <w:r>
        <w:rPr/>
        <w:t>npm start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Serves on </w:t>
      </w:r>
      <w:r>
        <w:rPr>
          <w:rStyle w:val="SourceText"/>
        </w:rPr>
        <w:t>http://localhost:4200</w:t>
      </w:r>
      <w:r>
        <w:rPr/>
        <w:t xml:space="preserve">, proxying </w:t>
      </w:r>
      <w:r>
        <w:rPr>
          <w:rStyle w:val="SourceText"/>
        </w:rPr>
        <w:t>/api/*</w:t>
      </w:r>
      <w:r>
        <w:rPr/>
        <w:t xml:space="preserve"> to the API.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>See README.md and docs/architecture.md for more detail.</w:t>
      </w:r>
    </w:p>
    <w:p>
      <w:pPr>
        <w:pStyle w:val="Heading2"/>
        <w:numPr>
          <w:ilvl w:val="0"/>
          <w:numId w:val="0"/>
        </w:numPr>
        <w:pBdr>
          <w:bottom w:val="single" w:sz="8" w:space="4" w:color="CCCCCC"/>
        </w:pBdr>
        <w:bidi w:val="0"/>
        <w:spacing w:before="480" w:after="120"/>
        <w:ind w:left="1134"/>
        <w:jc w:val="left"/>
        <w:rPr/>
      </w:pPr>
      <w:r>
        <w:rPr/>
        <w:t>3. Rules that keep the design intact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>This is a small, deliberately consistent codebase. Please follow the existing patterns rather than introducing new ones — if you think a pattern needs to change, raise it in the PR description first.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Backend — Clean Architecture, strictly one-directional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>
          <w:rStyle w:val="SourceText"/>
        </w:rPr>
        <w:t>Vendora.Domain</w:t>
      </w:r>
      <w:r>
        <w:rPr/>
        <w:t xml:space="preserve"> has </w:t>
      </w:r>
      <w:r>
        <w:rPr>
          <w:b/>
        </w:rPr>
        <w:t>zero</w:t>
      </w:r>
      <w:r>
        <w:rPr/>
        <w:t xml:space="preserve"> dependencies — no EF Core, no ASP.NET Core types. Ever.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>
          <w:rStyle w:val="SourceText"/>
        </w:rPr>
        <w:t>Vendora.Application</w:t>
      </w:r>
      <w:r>
        <w:rPr/>
        <w:t xml:space="preserve"> depends on Domain only. No EF Core here either (</w:t>
      </w:r>
      <w:r>
        <w:rPr>
          <w:rStyle w:val="SourceText"/>
        </w:rPr>
        <w:t>DbUpdateException</w:t>
      </w:r>
      <w:r>
        <w:rPr/>
        <w:t xml:space="preserve"> etc. stay in Infrastructure).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>
          <w:rStyle w:val="SourceText"/>
        </w:rPr>
        <w:t>Vendora.Infrastructure</w:t>
      </w:r>
      <w:r>
        <w:rPr/>
        <w:t xml:space="preserve"> depends on Application + Domain; this is the only layer allowed to know about EF Core.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>
          <w:rStyle w:val="SourceText"/>
        </w:rPr>
        <w:t>Vendora.Api</w:t>
      </w:r>
      <w:r>
        <w:rPr/>
        <w:t xml:space="preserve"> depends on Application + Infrastructure; controllers stay thin — one action per use case, translate results to HTTP status codes, no business logic.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/>
        <w:t xml:space="preserve">Entities: private constructor + a static </w:t>
      </w:r>
      <w:r>
        <w:rPr>
          <w:rStyle w:val="SourceText"/>
        </w:rPr>
        <w:t>Create(...)</w:t>
      </w:r>
      <w:r>
        <w:rPr/>
        <w:t xml:space="preserve"> factory that enforces invariants. Behavior lives on the entity as methods (</w:t>
      </w:r>
      <w:r>
        <w:rPr>
          <w:rStyle w:val="SourceText"/>
        </w:rPr>
        <w:t>AdjustStock</w:t>
      </w:r>
      <w:r>
        <w:rPr/>
        <w:t xml:space="preserve">, </w:t>
      </w:r>
      <w:r>
        <w:rPr>
          <w:rStyle w:val="SourceText"/>
        </w:rPr>
        <w:t>Deactivate</w:t>
      </w:r>
      <w:r>
        <w:rPr/>
        <w:t xml:space="preserve">, </w:t>
      </w:r>
      <w:r>
        <w:rPr>
          <w:rStyle w:val="SourceText"/>
        </w:rPr>
        <w:t>UpdateDetails</w:t>
      </w:r>
      <w:r>
        <w:rPr/>
        <w:t xml:space="preserve">) — never public setters, never business logic in a service that could live on the entity.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/>
        <w:t>Immutable ledger entities (</w:t>
      </w:r>
      <w:r>
        <w:rPr>
          <w:rStyle w:val="SourceText"/>
        </w:rPr>
        <w:t>StockMovement</w:t>
      </w:r>
      <w:r>
        <w:rPr/>
        <w:t xml:space="preserve">, </w:t>
      </w:r>
      <w:r>
        <w:rPr>
          <w:rStyle w:val="SourceText"/>
        </w:rPr>
        <w:t>ProductAuditLog</w:t>
      </w:r>
      <w:r>
        <w:rPr/>
        <w:t xml:space="preserve">) never get an Update/mutation method — they're an append-only audit trail. Don't add editing to these; if a past entry is wrong, the pattern is a compensating entry (see the "Reverse" flow), not editing history.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69" w:leader="none"/>
        </w:tabs>
        <w:bidi w:val="0"/>
        <w:ind w:hanging="283" w:left="869"/>
        <w:jc w:val="left"/>
        <w:rPr/>
      </w:pPr>
      <w:r>
        <w:rPr/>
        <w:t xml:space="preserve">One repository per aggregate root, implementing the generic </w:t>
      </w:r>
      <w:r>
        <w:rPr>
          <w:rStyle w:val="SourceText"/>
        </w:rPr>
        <w:t>IRepository&lt;T&gt;</w:t>
      </w:r>
      <w:r>
        <w:rPr/>
        <w:t xml:space="preserve">. Repositories sharing a </w:t>
      </w:r>
      <w:r>
        <w:rPr>
          <w:rStyle w:val="SourceText"/>
        </w:rPr>
        <w:t>DbContext</w:t>
      </w:r>
      <w:r>
        <w:rPr/>
        <w:t xml:space="preserve"> can flush each other's pending changes via a single </w:t>
      </w:r>
      <w:r>
        <w:rPr>
          <w:rStyle w:val="SourceText"/>
        </w:rPr>
        <w:t>SaveChangesAsync()</w:t>
      </w:r>
      <w:r>
        <w:rPr/>
        <w:t xml:space="preserve"> call — you don't need a separate call per repository. 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Frontend — Angular, standalone components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/>
        <w:t xml:space="preserve">No NgModules. Standalone components only, matching what's already there.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/>
        <w:t xml:space="preserve">Local component state via </w:t>
      </w:r>
      <w:r>
        <w:rPr>
          <w:rStyle w:val="SourceText"/>
        </w:rPr>
        <w:t>signal()</w:t>
      </w:r>
      <w:r>
        <w:rPr/>
        <w:t xml:space="preserve">, not manual fields + </w:t>
      </w:r>
      <w:r>
        <w:rPr>
          <w:rStyle w:val="SourceText"/>
        </w:rPr>
        <w:t>ChangeDetectorRef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/>
        <w:t>Reactive forms (</w:t>
      </w:r>
      <w:r>
        <w:rPr>
          <w:rStyle w:val="SourceText"/>
        </w:rPr>
        <w:t>FormBuilder</w:t>
      </w:r>
      <w:r>
        <w:rPr/>
        <w:t xml:space="preserve">) for anything with validation.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/>
        <w:t xml:space="preserve">Use </w:t>
      </w:r>
      <w:r>
        <w:rPr>
          <w:rStyle w:val="SourceText"/>
        </w:rPr>
        <w:t>inject()</w:t>
      </w:r>
      <w:r>
        <w:rPr/>
        <w:t xml:space="preserve"> for dependencies in components that also build a form field with </w:t>
      </w:r>
      <w:r>
        <w:rPr>
          <w:rStyle w:val="SourceText"/>
        </w:rPr>
        <w:t>fb.group(...)</w:t>
      </w:r>
      <w:r>
        <w:rPr/>
        <w:t xml:space="preserve"> — field initializers run before constructor-injected params are assigned, so constructor injection breaks there. Plain services (</w:t>
      </w:r>
      <w:r>
        <w:rPr>
          <w:rStyle w:val="SourceText"/>
        </w:rPr>
        <w:t>ProductService</w:t>
      </w:r>
      <w:r>
        <w:rPr/>
        <w:t xml:space="preserve">, etc.) still use constructor injection — match whichever file you're editing.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>
          <w:b/>
        </w:rPr>
        <w:t>Reuse the existing design-system classes</w:t>
      </w:r>
      <w:r>
        <w:rPr/>
        <w:t xml:space="preserve"> in </w:t>
      </w:r>
      <w:r>
        <w:rPr>
          <w:rStyle w:val="SourceText"/>
        </w:rPr>
        <w:t>src/client/src/styles.scss</w:t>
      </w:r>
      <w:r>
        <w:rPr/>
        <w:t xml:space="preserve"> (</w:t>
      </w:r>
      <w:r>
        <w:rPr>
          <w:rStyle w:val="SourceText"/>
        </w:rPr>
        <w:t>.btn</w:t>
      </w:r>
      <w:r>
        <w:rPr/>
        <w:t>/</w:t>
      </w:r>
      <w:r>
        <w:rPr>
          <w:rStyle w:val="SourceText"/>
        </w:rPr>
        <w:t>.btn-primary</w:t>
      </w:r>
      <w:r>
        <w:rPr/>
        <w:t>/</w:t>
      </w:r>
      <w:r>
        <w:rPr>
          <w:rStyle w:val="SourceText"/>
        </w:rPr>
        <w:t>.btn-danger</w:t>
      </w:r>
      <w:r>
        <w:rPr/>
        <w:t>/</w:t>
      </w:r>
      <w:r>
        <w:rPr>
          <w:rStyle w:val="SourceText"/>
        </w:rPr>
        <w:t>.btn-outline</w:t>
      </w:r>
      <w:r>
        <w:rPr/>
        <w:t xml:space="preserve">, </w:t>
      </w:r>
      <w:r>
        <w:rPr>
          <w:rStyle w:val="SourceText"/>
        </w:rPr>
        <w:t>.field</w:t>
      </w:r>
      <w:r>
        <w:rPr/>
        <w:t xml:space="preserve">, </w:t>
      </w:r>
      <w:r>
        <w:rPr>
          <w:rStyle w:val="SourceText"/>
        </w:rPr>
        <w:t>.responsive-table</w:t>
      </w:r>
      <w:r>
        <w:rPr/>
        <w:t xml:space="preserve">, </w:t>
      </w:r>
      <w:r>
        <w:rPr>
          <w:rStyle w:val="SourceText"/>
        </w:rPr>
        <w:t>.error</w:t>
      </w:r>
      <w:r>
        <w:rPr/>
        <w:t>/</w:t>
      </w:r>
      <w:r>
        <w:rPr>
          <w:rStyle w:val="SourceText"/>
        </w:rPr>
        <w:t>.error-banner</w:t>
      </w:r>
      <w:r>
        <w:rPr/>
        <w:t>/</w:t>
      </w:r>
      <w:r>
        <w:rPr>
          <w:rStyle w:val="SourceText"/>
        </w:rPr>
        <w:t>.muted</w:t>
      </w:r>
      <w:r>
        <w:rPr/>
        <w:t xml:space="preserve">) instead of writing new one-off CSS for buttons, forms, or tables.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69" w:leader="none"/>
        </w:tabs>
        <w:bidi w:val="0"/>
        <w:ind w:hanging="283" w:left="869"/>
        <w:jc w:val="left"/>
        <w:rPr/>
      </w:pPr>
      <w:r>
        <w:rPr/>
        <w:t xml:space="preserve">Anything with a table must work on mobile — use the </w:t>
      </w:r>
      <w:r>
        <w:rPr>
          <w:rStyle w:val="SourceText"/>
        </w:rPr>
        <w:t>.responsive-table</w:t>
      </w:r>
      <w:r>
        <w:rPr/>
        <w:t xml:space="preserve"> class + </w:t>
      </w:r>
      <w:r>
        <w:rPr>
          <w:rStyle w:val="SourceText"/>
        </w:rPr>
        <w:t>data-label</w:t>
      </w:r>
      <w:r>
        <w:rPr/>
        <w:t xml:space="preserve"> attributes on </w:t>
      </w:r>
      <w:r>
        <w:rPr>
          <w:rStyle w:val="SourceText"/>
        </w:rPr>
        <w:t>&lt;td&gt;</w:t>
      </w:r>
      <w:r>
        <w:rPr/>
        <w:t xml:space="preserve">s (see </w:t>
      </w:r>
      <w:r>
        <w:rPr>
          <w:rStyle w:val="SourceText"/>
        </w:rPr>
        <w:t>product-list.html</w:t>
      </w:r>
      <w:r>
        <w:rPr/>
        <w:t xml:space="preserve"> or </w:t>
      </w:r>
      <w:r>
        <w:rPr>
          <w:rStyle w:val="SourceText"/>
        </w:rPr>
        <w:t>product-stock-history.html</w:t>
      </w:r>
      <w:r>
        <w:rPr/>
        <w:t xml:space="preserve"> for the pattern), and check it at &lt;640px width before calling it done. 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Don't speculate ahead of the current module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No </w:t>
      </w:r>
      <w:r>
        <w:rPr>
          <w:rStyle w:val="SourceText"/>
        </w:rPr>
        <w:t>Sale</w:t>
      </w:r>
      <w:r>
        <w:rPr/>
        <w:t xml:space="preserve"> stock-movement reason, no </w:t>
      </w:r>
      <w:r>
        <w:rPr>
          <w:rStyle w:val="SourceText"/>
        </w:rPr>
        <w:t>TenantId</w:t>
      </w:r>
      <w:r>
        <w:rPr/>
        <w:t>, no auth-related fields — those belong to modules that don't exist yet (see README's Status list) and should be designed when that module is actually built, not guessed at now.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Docs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Every user-facing feature gets a new section in </w:t>
      </w:r>
      <w:r>
        <w:rPr>
          <w:rStyle w:val="SourceText"/>
        </w:rPr>
        <w:t>docs/user-guide.md</w:t>
      </w:r>
      <w:r>
        <w:rPr/>
        <w:t xml:space="preserve"> </w:t>
      </w:r>
      <w:r>
        <w:rPr>
          <w:b/>
        </w:rPr>
        <w:t>and</w:t>
      </w:r>
      <w:r>
        <w:rPr/>
        <w:t xml:space="preserve"> </w:t>
      </w:r>
      <w:r>
        <w:rPr>
          <w:rStyle w:val="SourceText"/>
        </w:rPr>
        <w:t>src/client/src/app/features/help/help.html</w:t>
      </w:r>
      <w:r>
        <w:rPr/>
        <w:t xml:space="preserve"> (the in-app Help page) </w:t>
      </w:r>
      <w:r>
        <w:rPr>
          <w:b/>
        </w:rPr>
        <w:t>and</w:t>
      </w:r>
      <w:r>
        <w:rPr/>
        <w:t xml:space="preserve"> </w:t>
      </w:r>
      <w:r>
        <w:rPr>
          <w:rStyle w:val="SourceText"/>
        </w:rPr>
        <w:t>docs/user-guide.html</w:t>
      </w:r>
      <w:r>
        <w:rPr/>
        <w:t xml:space="preserve"> (source for the PDF/Word exports in </w:t>
      </w:r>
      <w:r>
        <w:rPr>
          <w:rStyle w:val="SourceText"/>
        </w:rPr>
        <w:t>docs/exports/</w:t>
      </w:r>
      <w:r>
        <w:rPr/>
        <w:t>) — all three need to stay in sync.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Before opening a PR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>
          <w:rStyle w:val="SourceText"/>
        </w:rPr>
        <w:t>dotnet build</w:t>
      </w:r>
      <w:r>
        <w:rPr/>
        <w:t xml:space="preserve"> and </w:t>
      </w:r>
      <w:r>
        <w:rPr>
          <w:rStyle w:val="SourceText"/>
        </w:rPr>
        <w:t>cd src/client &amp;&amp; npx ng build</w:t>
      </w:r>
      <w:r>
        <w:rPr/>
        <w:t xml:space="preserve"> both need to pass cleanly.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/>
        <w:t xml:space="preserve">Click through the feature manually at least once — type checking isn't the same as it actually working.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69" w:leader="none"/>
        </w:tabs>
        <w:bidi w:val="0"/>
        <w:spacing w:before="160" w:after="160"/>
        <w:ind w:hanging="283" w:left="869"/>
        <w:jc w:val="left"/>
        <w:rPr/>
      </w:pPr>
      <w:r>
        <w:rPr>
          <w:rStyle w:val="SourceText"/>
        </w:rPr>
        <w:t>master</w:t>
      </w:r>
      <w:r>
        <w:rPr/>
        <w:t xml:space="preserve"> is protected — you can't push directly to it. Branch, push, open a PR, and wait for review/approval.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 w:before="1134" w:after="1134"/>
      <w:ind w:left="1134" w:right="1134"/>
    </w:pPr>
    <w:rPr>
      <w:rFonts w:ascii="Calibri;Arial;sans-serif" w:hAnsi="Calibri;Arial;sans-serif" w:eastAsia="Calibri;Arial;sans-serif" w:cs="Calibri;Arial;sans-serif"/>
      <w:color w:val="1F2328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80"/>
      <w:ind w:left="1134"/>
      <w:outlineLvl w:val="0"/>
    </w:pPr>
    <w:rPr>
      <w:rFonts w:ascii="Liberation Serif" w:hAnsi="Liberation Serif" w:eastAsia="Noto Serif CJK SC" w:cs="Noto Sans Devanagari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8" w:space="4" w:color="CCCCCC"/>
      </w:pBdr>
      <w:spacing w:before="480" w:after="120"/>
      <w:ind w:left="1134"/>
      <w:outlineLvl w:val="1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320" w:after="120"/>
      <w:ind w:left="1134"/>
      <w:outlineLvl w:val="2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0F0F0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160" w:after="160"/>
      <w:ind w:left="160" w:right="1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8" w:space="8" w:color="DDDDDD"/>
        <w:left w:val="single" w:sz="8" w:space="10" w:color="DDDDDD"/>
        <w:bottom w:val="single" w:sz="8" w:space="8" w:color="DDDDDD"/>
        <w:right w:val="single" w:sz="8" w:space="10" w:color="DDDDDD"/>
      </w:pBdr>
      <w:spacing w:before="1134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BodyTextsubtitle">
    <w:name w:val="Body Text.subtitle"/>
    <w:basedOn w:val="BodyText"/>
    <w:qFormat/>
    <w:pPr/>
    <w:rPr>
      <w:i/>
      <w:iCs/>
      <w:color w:val="555555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1104</Words>
  <Characters>6642</Characters>
  <CharactersWithSpaces>7722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VendoraPOS Contributing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