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SPÉCIFICATION DÉTAILLÉE</w:t>
      </w:r>
    </w:p>
    <w:p>
      <w:pPr>
        <w:pStyle w:val="Title"/>
        <w:jc w:val="center"/>
      </w:pPr>
      <w:r>
        <w:t>ALG_CONSENSUS — Consensus d'état d'essaim par diffusion du maximum</w:t>
      </w:r>
    </w:p>
    <w:p>
      <w:pPr>
        <w:pStyle w:val="Heading1"/>
      </w:pPr>
      <w:r>
        <w:t>Simulateur déterministe — version 7 (Rust v6)</w:t>
      </w:r>
    </w:p>
    <w:p>
      <w:pPr>
        <w:pStyle w:val="Heading1"/>
      </w:pPr>
      <w:r>
        <w:t>Fiche documentaire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Identifiant de l'algorithme</w:t>
            </w:r>
          </w:p>
        </w:tc>
        <w:tc>
          <w:tcPr>
            <w:tcW w:type="dxa" w:w="4320"/>
          </w:tcPr>
          <w:p>
            <w:r>
              <w:t>ALG_CONSENSUS</w:t>
            </w:r>
          </w:p>
        </w:tc>
      </w:tr>
      <w:tr>
        <w:tc>
          <w:tcPr>
            <w:tcW w:type="dxa" w:w="4320"/>
          </w:tcPr>
          <w:p>
            <w:r>
              <w:t>Nom de l'algorithme</w:t>
            </w:r>
          </w:p>
        </w:tc>
        <w:tc>
          <w:tcPr>
            <w:tcW w:type="dxa" w:w="4320"/>
          </w:tcPr>
          <w:p>
            <w:r>
              <w:t>Consensus d'état d'essaim par diffusion du maximum</w:t>
            </w:r>
          </w:p>
        </w:tc>
      </w:tr>
      <w:tr>
        <w:tc>
          <w:tcPr>
            <w:tcW w:type="dxa" w:w="4320"/>
          </w:tcPr>
          <w:p>
            <w:r>
              <w:t>Référence document</w:t>
            </w:r>
          </w:p>
        </w:tc>
        <w:tc>
          <w:tcPr>
            <w:tcW w:type="dxa" w:w="4320"/>
          </w:tcPr>
          <w:p>
            <w:r>
              <w:t>SWARM-SPEC-ALG_CONSENSUS-v7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Statut</w:t>
            </w:r>
          </w:p>
        </w:tc>
        <w:tc>
          <w:tcPr>
            <w:tcW w:type="dxa" w:w="4320"/>
          </w:tcPr>
          <w:p>
            <w:r>
              <w:t>VALIDÉ — spécification v7 (canal unique, checkpoints exacts, moteur protocole_v6::Moteur)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Interne</w:t>
            </w:r>
          </w:p>
        </w:tc>
      </w:tr>
      <w:tr>
        <w:tc>
          <w:tcPr>
            <w:tcW w:type="dxa" w:w="4320"/>
          </w:tcPr>
          <w:p>
            <w:r>
              <w:t>Rédacteur</w:t>
            </w:r>
          </w:p>
        </w:tc>
        <w:tc>
          <w:tcPr>
            <w:tcW w:type="dxa" w:w="4320"/>
          </w:tcPr>
          <w:p>
            <w:r>
              <w:t>Hermès — dérivé de la spécification normative du dépôt alg-consensus (branche v6)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2026-09-28</w:t>
            </w:r>
          </w:p>
        </w:tc>
      </w:tr>
      <w:tr>
        <w:tc>
          <w:tcPr>
            <w:tcW w:type="dxa" w:w="4320"/>
          </w:tcPr>
          <w:p>
            <w:r>
              <w:t>Source de vérité</w:t>
            </w:r>
          </w:p>
        </w:tc>
        <w:tc>
          <w:tcPr>
            <w:tcW w:type="dxa" w:w="4320"/>
          </w:tcPr>
          <w:p>
            <w:r>
              <w:t>SPECIFICATION_V7.md, branche v6 de dagornc/alg-consensus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Objet du document</w:t>
      </w:r>
    </w:p>
    <w:p>
      <w:r>
        <w:t>Cette spécification définit le contrat du moteur de consensus v7, implémenté</w:t>
      </w:r>
    </w:p>
    <w:p>
      <w:r>
        <w:t>en Rust sous protocole_v6::Moteur. Elle prolonge la spécification v6 sans la</w:t>
      </w:r>
    </w:p>
    <w:p>
      <w:r>
        <w:t>remplacer rétroactivement : les moteurs Rust v1–v5 restent disponibles avec leur</w:t>
      </w:r>
    </w:p>
    <w:p>
      <w:r>
        <w:t>contrat historique.</w:t>
      </w:r>
    </w:p>
    <w:p>
      <w:pPr>
        <w:pStyle w:val="Heading2"/>
      </w:pPr>
      <w:r>
        <w:t>1.2 Périmètre</w:t>
      </w:r>
    </w:p>
    <w:p>
      <w:r>
        <w:t>Cette version définit un simulateur déterministe de diffusion du maximum.</w:t>
      </w:r>
    </w:p>
    <w:p>
      <w:r>
        <w:t>Elle ne définit pas un protocole de consensus byzantin, ni Raft, ni un</w:t>
      </w:r>
    </w:p>
    <w:p>
      <w:r>
        <w:t>transport réseau déployable. Toute lecture qui étendrait ce périmètre est</w:t>
      </w:r>
    </w:p>
    <w:p>
      <w:r>
        <w:t>explicitement hors contrat.</w:t>
      </w:r>
    </w:p>
    <w:p>
      <w:pPr>
        <w:pStyle w:val="Heading2"/>
      </w:pPr>
      <w:r>
        <w:t>1.3 Résumé exécutif</w:t>
      </w:r>
    </w:p>
    <w:p>
      <w:r>
        <w:t>Le moteur fait converger 30 agents sur une grille 6 × 5 vers le maximum</w:t>
      </w:r>
    </w:p>
    <w:p>
      <w:r>
        <w:t>lexicographique d'un couple (valeur, horloge). La fusion est associative,</w:t>
      </w:r>
    </w:p>
    <w:p>
      <w:r>
        <w:t>commutative et idempotente. Un canal unique ordonne strictement les émissions,</w:t>
      </w:r>
    </w:p>
    <w:p>
      <w:r>
        <w:t>les livraisons et les compteurs, ce qui rend l'exécution reproductible et la</w:t>
      </w:r>
    </w:p>
    <w:p>
      <w:r>
        <w:t>reprise exacte. Le mode agrégé réduit le coût de stockage d'un facteur mesuré</w:t>
      </w:r>
    </w:p>
    <w:p>
      <w:r>
        <w:t>de 7,1 × sans modifier une seule décision d'admission ni un seul tirage</w:t>
      </w:r>
    </w:p>
    <w:p>
      <w:r>
        <w:t>aléatoire.</w:t>
      </w:r>
    </w:p>
    <w:p>
      <w:pPr>
        <w:pStyle w:val="Heading2"/>
      </w:pPr>
      <w:r>
        <w:t>1.4 Principes de rédaction</w:t>
      </w:r>
    </w:p>
    <w:p>
      <w:r>
        <w:t>Chaque affirmation de ce document est soit un fait vérifié dans le code</w:t>
      </w:r>
    </w:p>
    <w:p>
      <w:r>
        <w:t>source, soit une limite explicite. Aucune garantie n'est revendiquée</w:t>
      </w:r>
    </w:p>
    <w:p>
      <w:r>
        <w:t>au-delà de ce que les tests et les mesures établissent.</w:t>
      </w:r>
    </w:p>
    <w:p>
      <w:pPr>
        <w:pStyle w:val="Heading1"/>
      </w:pPr>
      <w:r>
        <w:t>2. Contexte de l'algorithme</w:t>
      </w:r>
    </w:p>
    <w:p>
      <w:pPr>
        <w:pStyle w:val="Heading2"/>
      </w:pPr>
      <w:r>
        <w:t>2.1 Place dans l'architecture de l'essaim</w:t>
      </w:r>
    </w:p>
    <w:p>
      <w:r>
        <w:t>ALG_CONSENSUS fournit la couche de décision partagée : il permet à l'essaim</w:t>
      </w:r>
    </w:p>
    <w:p>
      <w:r>
        <w:t>de maintenir un état commun sans coordinateur central. Il est consommé par les</w:t>
      </w:r>
    </w:p>
    <w:p>
      <w:r>
        <w:t>algorithmes d'allocation de tâches et de contrôle de formation.</w:t>
      </w:r>
    </w:p>
    <w:p>
      <w:pPr>
        <w:pStyle w:val="Heading2"/>
      </w:pPr>
      <w:r>
        <w:t>2.2 Applicabilité</w:t>
      </w:r>
    </w:p>
    <w:p>
      <w:r>
        <w:t>Le moteur s'applique à un essaim de 30 identifiants fixes disposés sur une</w:t>
      </w:r>
    </w:p>
    <w:p>
      <w:r>
        <w:t>grille 6 × 5 à voisinage orthogonal. Ce cadre est celui du simulateur de</w:t>
      </w:r>
    </w:p>
    <w:p>
      <w:r>
        <w:t>référence ; il ne préjuge pas d'un déploiement sur une topologie réelle.</w:t>
      </w:r>
    </w:p>
    <w:p>
      <w:pPr>
        <w:pStyle w:val="Heading2"/>
      </w:pPr>
      <w:r>
        <w:t>2.3 Hypothèses d'exécution</w:t>
      </w:r>
    </w:p>
    <w:p>
      <w:pPr>
        <w:pStyle w:val="ListBullet"/>
      </w:pPr>
      <w:r>
        <w:t>Un agent est soit inactif (None), soit porteur d'un couple</w:t>
      </w:r>
    </w:p>
    <w:p>
      <w:r>
        <w:t xml:space="preserve">  (valeur: i32, horloge: u32).</w:t>
      </w:r>
    </w:p>
    <w:p>
      <w:pPr>
        <w:pStyle w:val="ListBullet"/>
      </w:pPr>
      <w:r>
        <w:t>La fusion prend le maximum lexicographique du couple complet, sans</w:t>
      </w:r>
    </w:p>
    <w:p>
      <w:r>
        <w:t xml:space="preserve">  incrément automatique de l'horloge.</w:t>
      </w:r>
    </w:p>
    <w:p>
      <w:pPr>
        <w:pStyle w:val="ListBullet"/>
      </w:pPr>
      <w:r>
        <w:t>Entre événements explicites, l'état d'un agent actif ne décroît pas.</w:t>
      </w:r>
    </w:p>
    <w:p>
      <w:pPr>
        <w:pStyle w:val="ListBullet"/>
      </w:pPr>
      <w:r>
        <w:t>Une réintégration peut injecter un état plus petit ; cette exception est</w:t>
      </w:r>
    </w:p>
    <w:p>
      <w:r>
        <w:t xml:space="preserve">  intentionnelle et versionne son incarnation.</w:t>
      </w:r>
    </w:p>
    <w:p>
      <w:pPr>
        <w:pStyle w:val="Heading2"/>
      </w:pPr>
      <w:r>
        <w:t>2.4 Contraintes et interfaces</w:t>
      </w:r>
    </w:p>
    <w:p>
      <w:r>
        <w:t>L'accord exige au moins un actif et l'égalité de tous les couples actifs.</w:t>
      </w:r>
    </w:p>
    <w:p>
      <w:r>
        <w:t>C'est une observation centralisée, pas une preuve de terminaison distribuée.</w:t>
      </w:r>
    </w:p>
    <w:p>
      <w:pPr>
        <w:pStyle w:val="Heading1"/>
      </w:pPr>
      <w:r>
        <w:t>3. Modèle mathématique</w:t>
      </w:r>
    </w:p>
    <w:p>
      <w:pPr>
        <w:pStyle w:val="Heading2"/>
      </w:pPr>
      <w:r>
        <w:t>3.1 Variables et notation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Nombre d'agents (30)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Grille 6 × 5, voisinage orthogonal</w:t>
            </w:r>
          </w:p>
        </w:tc>
      </w:tr>
      <w:tr>
        <w:tc>
          <w:tcPr>
            <w:tcW w:type="dxa" w:w="4320"/>
          </w:tcPr>
          <w:p>
            <w:r>
              <w:t>s_i</w:t>
            </w:r>
          </w:p>
        </w:tc>
        <w:tc>
          <w:tcPr>
            <w:tcW w:type="dxa" w:w="4320"/>
          </w:tcPr>
          <w:p>
            <w:r>
              <w:t>État de l'agent i : None ou (v, h)</w:t>
            </w:r>
          </w:p>
        </w:tc>
      </w:tr>
      <w:tr>
        <w:tc>
          <w:tcPr>
            <w:tcW w:type="dxa" w:w="4320"/>
          </w:tcPr>
          <w:p>
            <w:r>
              <w:t>⊔</w:t>
            </w:r>
          </w:p>
        </w:tc>
        <w:tc>
          <w:tcPr>
            <w:tcW w:type="dxa" w:w="4320"/>
          </w:tcPr>
          <w:p>
            <w:r>
              <w:t>Fusion : maximum lexicographique du couple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>
              <w:t>Tour courant</w:t>
            </w:r>
          </w:p>
        </w:tc>
      </w:tr>
      <w:tr>
        <w:tc>
          <w:tcPr>
            <w:tcW w:type="dxa" w:w="4320"/>
          </w:tcPr>
          <w:p>
            <w:r>
              <w:t>λ</w:t>
            </w:r>
          </w:p>
        </w:tc>
        <w:tc>
          <w:tcPr>
            <w:tcW w:type="dxa" w:w="4320"/>
          </w:tcPr>
          <w:p>
            <w:r>
              <w:t>Latence de livraison (tours)</w:t>
            </w:r>
          </w:p>
        </w:tc>
      </w:tr>
    </w:tbl>
    <w:p/>
    <w:p>
      <w:pPr>
        <w:pStyle w:val="Heading2"/>
      </w:pPr>
      <w:r>
        <w:t>3.2 Description formelle</w:t>
      </w:r>
    </w:p>
    <w:p>
      <w:r>
        <w:t>La fusion ⊔ est définie par :</w:t>
      </w:r>
    </w:p>
    <w:p>
      <w:pPr/>
      <w:r>
        <w:rPr>
          <w:rFonts w:ascii="Consolas" w:hAnsi="Consolas"/>
          <w:sz w:val="18"/>
        </w:rPr>
        <w:t>(a, ha) ⊔ (b, hb) = (a, ha)  si (a, ha) ≥lex (b, hb)</w:t>
        <w:br/>
        <w:t xml:space="preserve">                  = (b, hb)  sinon</w:t>
      </w:r>
    </w:p>
    <w:p>
      <w:r>
        <w:t>Propriétés. ⊔ est associative, commutative et idempotente. Ces trois</w:t>
      </w:r>
    </w:p>
    <w:p>
      <w:r>
        <w:t>propriétés sont la base de l'équivalence entre fusion successive et fusion</w:t>
      </w:r>
    </w:p>
    <w:p>
      <w:r>
        <w:t>unique utilisée par le mode agrégé.</w:t>
      </w:r>
    </w:p>
    <w:p>
      <w:pPr>
        <w:pStyle w:val="Heading2"/>
      </w:pPr>
      <w:r>
        <w:t>3.3 Propriétés et théorèmes</w:t>
      </w:r>
    </w:p>
    <w:p>
      <w:pPr>
        <w:pStyle w:val="ListBullet"/>
      </w:pPr>
      <w:r>
        <w:t>Monotonie. Entre événements explicites, s_i(T+1) ≥lex s_i(T) pour tout</w:t>
      </w:r>
    </w:p>
    <w:p>
      <w:r>
        <w:t xml:space="preserve">  agent actif i.</w:t>
      </w:r>
    </w:p>
    <w:p>
      <w:pPr>
        <w:pStyle w:val="ListBullet"/>
      </w:pPr>
      <w:r>
        <w:t>Convergence conditionnelle. Sous population finalement stable, absence de</w:t>
      </w:r>
    </w:p>
    <w:p>
      <w:r>
        <w:t xml:space="preserve">  saturation, communications récurrentes équitables et exécution illimitée,</w:t>
      </w:r>
    </w:p>
    <w:p>
      <w:r>
        <w:t xml:space="preserve">  chaque actif peut recevoir le maximum survivant via les sondes.</w:t>
      </w:r>
    </w:p>
    <w:p>
      <w:pPr>
        <w:pStyle w:val="ListBullet"/>
      </w:pPr>
      <w:r>
        <w:t>Limite. Cela ne garantit pas la convergence dans un horizon ou budget</w:t>
      </w:r>
    </w:p>
    <w:p>
      <w:r>
        <w:t xml:space="preserve">  fini, ni avec perte totale, ni la conservation d'un maximum dont le dernier</w:t>
      </w:r>
    </w:p>
    <w:p>
      <w:r>
        <w:t xml:space="preserve">  porteur disparaît avant toute transmission.</w:t>
      </w:r>
    </w:p>
    <w:p>
      <w:pPr>
        <w:pStyle w:val="Heading1"/>
      </w:pPr>
      <w:r>
        <w:t>4. Algorithme détaillé</w:t>
      </w:r>
    </w:p>
    <w:p>
      <w:pPr>
        <w:pStyle w:val="Heading2"/>
      </w:pPr>
      <w:r>
        <w:t>4.1 Ordre d'une période (canal unique)</w:t>
      </w:r>
    </w:p>
    <w:p>
      <w:pPr>
        <w:pStyle w:val="ListNumber"/>
      </w:pPr>
      <w:r>
        <w:t>Incrémenter le tour, puis appliquer les événements de ce tour dans l'ordre</w:t>
      </w:r>
    </w:p>
    <w:p>
      <w:r>
        <w:t xml:space="preserve">   des identifiants : retrait ou injection d'une nouvelle incarnation.</w:t>
      </w:r>
    </w:p>
    <w:p>
      <w:pPr>
        <w:pStyle w:val="ListNumber"/>
      </w:pPr>
      <w:r>
        <w:t>Livrer les messages échus, en rejetant les incarnations obsolètes.</w:t>
      </w:r>
    </w:p>
    <w:p>
      <w:pPr>
        <w:pStyle w:val="ListNumber"/>
      </w:pPr>
      <w:r>
        <w:t>Photographier les états qui seront émis. Parcourir les sources puis les</w:t>
      </w:r>
    </w:p>
    <w:p>
      <w:r>
        <w:t xml:space="preserve">   voisins dans l'ordre déterministe de sim::voisins, puis l'éventuelle sonde.</w:t>
      </w:r>
    </w:p>
    <w:p>
      <w:pPr>
        <w:pStyle w:val="ListNumber"/>
      </w:pPr>
      <w:r>
        <w:t>Chaque copie consomme une tentative et un tirage SplitMix64, **même</w:t>
      </w:r>
    </w:p>
    <w:p>
      <w:r>
        <w:t xml:space="preserve">   rejetée**. Classer par priorité : partition, destination inactive, perte</w:t>
      </w:r>
    </w:p>
    <w:p>
      <w:r>
        <w:t xml:space="preserve">   aléatoire, saturation, admission. Une probabilité de perte de 1 bloque donc</w:t>
      </w:r>
    </w:p>
    <w:p>
      <w:r>
        <w:t xml:space="preserve">   aussi les sondes : aucune lecture ou fusion distante ne contourne le canal.</w:t>
      </w:r>
    </w:p>
    <w:p>
      <w:pPr>
        <w:pStyle w:val="ListNumber"/>
      </w:pPr>
      <w:r>
        <w:t>Livrer les messages de latence zéro après toutes les émissions : pas de</w:t>
      </w:r>
    </w:p>
    <w:p>
      <w:r>
        <w:t xml:space="preserve">   cascade instantanée dépendant de l'ordre des identifiants.</w:t>
      </w:r>
    </w:p>
    <w:p>
      <w:pPr>
        <w:pStyle w:val="ListNumber"/>
      </w:pPr>
      <w:r>
        <w:t>Actualiser les compteurs de stabilité et publier l'observation.</w:t>
      </w:r>
    </w:p>
    <w:p>
      <w:pPr>
        <w:pStyle w:val="Heading2"/>
      </w:pPr>
      <w:r>
        <w:t>4.2 Latence et partition</w:t>
      </w:r>
    </w:p>
    <w:p>
      <w:r>
        <w:t>Une émission au tour t arrive au tour t + latence. La partition sépare les</w:t>
      </w:r>
    </w:p>
    <w:p>
      <w:r>
        <w:t>colonnes 0–2 des colonnes 3–5 et bloque les admissions jusqu'à fin_partition</w:t>
      </w:r>
    </w:p>
    <w:p>
      <w:r>
        <w:t>inclus. Les conditions du lien sont testées à l'admission ; un retrait de la</w:t>
      </w:r>
    </w:p>
    <w:p>
      <w:r>
        <w:t>source n'annule pas un message déjà admis. Le changement d'incarnation de la</w:t>
      </w:r>
    </w:p>
    <w:p>
      <w:r>
        <w:t>destination, lui, l'invalide à la livraison.</w:t>
      </w:r>
    </w:p>
    <w:p>
      <w:pPr>
        <w:pStyle w:val="Heading2"/>
      </w:pPr>
      <w:r>
        <w:t>4.3 Quiescence et reconnexion</w:t>
      </w:r>
    </w:p>
    <w:p>
      <w:r>
        <w:t>Un actif émet vers ses voisins si la quiescence est désactivée, s'il vient de</w:t>
      </w:r>
    </w:p>
    <w:p>
      <w:r>
        <w:t>changer par livraison différée, si sa stabilité est sous le seuil, ou lors d'un</w:t>
      </w:r>
    </w:p>
    <w:p>
      <w:r>
        <w:t>réveil périodique. Indépendamment, tous les sonde tours, il émet vers</w:t>
      </w:r>
    </w:p>
    <w:p>
      <w:r>
        <w:t>(id + offset) mod 30, offset parcourant 1…29. Une cible déjà voisine n'est</w:t>
      </w:r>
    </w:p>
    <w:p>
      <w:r>
        <w:t>pas dupliquée. Zéro désactive les sondes. **Aucun pair n'est sélectionné par</w:t>
      </w:r>
    </w:p>
    <w:p>
      <w:r>
        <w:t>lecture préalable de son état ou de son activité.**</w:t>
      </w:r>
    </w:p>
    <w:p>
      <w:pPr>
        <w:pStyle w:val="Heading2"/>
      </w:pPr>
      <w:r>
        <w:t>4.4 Optimisation du calendrier (mode agrégé)</w:t>
      </w:r>
    </w:p>
    <w:p>
      <w:r>
        <w:t>Le mode agrégé conserve, pour chaque date d'arrivée et destination, un seul</w:t>
      </w:r>
    </w:p>
    <w:p>
      <w:r>
        <w:t>couple maximal, l'incarnation cible et le nombre de copies admises. À latence</w:t>
      </w:r>
    </w:p>
    <w:p>
      <w:r>
        <w:t>fixe et événements uniquement aux frontières des tours, les messages d'une même</w:t>
      </w:r>
    </w:p>
    <w:p>
      <w:r>
        <w:t>case visent la même incarnation. L'associativité du max permet de remplacer</w:t>
      </w:r>
    </w:p>
    <w:p>
      <w:r>
        <w:t>leurs fusions successives par une fusion unique.</w:t>
      </w:r>
    </w:p>
    <w:p>
      <w:r>
        <w:t>Invariant critique. Les décisions d'admission et les tirages ne sont</w:t>
      </w:r>
    </w:p>
    <w:p>
      <w:r>
        <w:t>jamais agrégés : ordre RNG, pertes et capacité restent identiques au mode</w:t>
      </w:r>
    </w:p>
    <w:p>
      <w:r>
        <w:t>brut. Cette équivalence ne s'étend pas sans nouvelle preuve aux délais</w:t>
      </w:r>
    </w:p>
    <w:p>
      <w:r>
        <w:t>variables, effets secondaires par message ou fusions non idempotentes.</w:t>
      </w:r>
    </w:p>
    <w:p>
      <w:pPr>
        <w:pStyle w:val="Heading1"/>
      </w:pPr>
      <w:r>
        <w:t>5. Interfaces et données</w:t>
      </w:r>
    </w:p>
    <w:p>
      <w:pPr>
        <w:pStyle w:val="Heading2"/>
      </w:pPr>
      <w:r>
        <w:t>5.1 Comptabilité</w:t>
      </w:r>
    </w:p>
    <w:p>
      <w:pPr/>
      <w:r>
        <w:rPr>
          <w:rFonts w:ascii="Consolas" w:hAnsi="Consolas"/>
          <w:sz w:val="18"/>
        </w:rPr>
        <w:t>tentatives = perdues + partition + inactif + saturation + livrees + incarnation + en_vol</w:t>
      </w:r>
    </w:p>
    <w:p>
      <w:r>
        <w:t>La capacité est mesurée en copies logiques, identique dans les deux modes.</w:t>
      </w:r>
    </w:p>
    <w:p>
      <w:r>
        <w:t>Même à latence zéro, l'admission précède la livraison et peut saturer.</w:t>
      </w:r>
    </w:p>
    <w:p>
      <w:pPr>
        <w:pStyle w:val="Heading2"/>
      </w:pPr>
      <w:r>
        <w:t>5.2 Arrêt</w:t>
      </w:r>
    </w:p>
    <w:p>
      <w:r>
        <w:t>Budget épuisé : arrêt des émissions au message exact, fin de la période</w:t>
      </w:r>
    </w:p>
    <w:p>
      <w:r>
        <w:t>courante, puis arrêt du moteur sans vidange forcée. À l'horizon, les</w:t>
      </w:r>
    </w:p>
    <w:p>
      <w:r>
        <w:t>messages futurs restent en vol. L'accord ne provoque pas d'arrêt anticipé :</w:t>
      </w:r>
    </w:p>
    <w:p>
      <w:r>
        <w:t>les événements futurs sont honorés.</w:t>
      </w:r>
    </w:p>
    <w:p>
      <w:pPr>
        <w:pStyle w:val="Heading2"/>
      </w:pPr>
      <w:r>
        <w:t>5.3 Validation des entrées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Borne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≤ 100 000</w:t>
            </w:r>
          </w:p>
        </w:tc>
      </w:tr>
      <w:tr>
        <w:tc>
          <w:tcPr>
            <w:tcW w:type="dxa" w:w="4320"/>
          </w:tcPr>
          <w:p>
            <w:r>
              <w:t>Latence</w:t>
            </w:r>
          </w:p>
        </w:tc>
        <w:tc>
          <w:tcPr>
            <w:tcW w:type="dxa" w:w="4320"/>
          </w:tcPr>
          <w:p>
            <w:r>
              <w:t>≤ 10 000</w:t>
            </w:r>
          </w:p>
        </w:tc>
      </w:tr>
      <w:tr>
        <w:tc>
          <w:tcPr>
            <w:tcW w:type="dxa" w:w="4320"/>
          </w:tcPr>
          <w:p>
            <w:r>
              <w:t>Duplication</w:t>
            </w:r>
          </w:p>
        </w:tc>
        <w:tc>
          <w:tcPr>
            <w:tcW w:type="dxa" w:w="4320"/>
          </w:tcPr>
          <w:p>
            <w:r>
              <w:t>≤ 64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≤ 10 millions</w:t>
            </w:r>
          </w:p>
        </w:tc>
      </w:tr>
      <w:tr>
        <w:tc>
          <w:tcPr>
            <w:tcW w:type="dxa" w:w="4320"/>
          </w:tcPr>
          <w:p>
            <w:r>
              <w:t>Capacité</w:t>
            </w:r>
          </w:p>
        </w:tc>
        <w:tc>
          <w:tcPr>
            <w:tcW w:type="dxa" w:w="4320"/>
          </w:tcPr>
          <w:p>
            <w:r>
              <w:t>≤ 100 000</w:t>
            </w:r>
          </w:p>
        </w:tc>
      </w:tr>
      <w:tr>
        <w:tc>
          <w:tcPr>
            <w:tcW w:type="dxa" w:w="4320"/>
          </w:tcPr>
          <w:p>
            <w:r>
              <w:t>Événements</w:t>
            </w:r>
          </w:p>
        </w:tc>
        <w:tc>
          <w:tcPr>
            <w:tcW w:type="dxa" w:w="4320"/>
          </w:tcPr>
          <w:p>
            <w:r>
              <w:t>≤ 10 000</w:t>
            </w:r>
          </w:p>
        </w:tc>
      </w:tr>
      <w:tr>
        <w:tc>
          <w:tcPr>
            <w:tcW w:type="dxa" w:w="4320"/>
          </w:tcPr>
          <w:p>
            <w:r>
              <w:t>Probabilité</w:t>
            </w:r>
          </w:p>
        </w:tc>
        <w:tc>
          <w:tcPr>
            <w:tcW w:type="dxa" w:w="4320"/>
          </w:tcPr>
          <w:p>
            <w:r>
              <w:t>finie dans [0, 1]</w:t>
            </w:r>
          </w:p>
        </w:tc>
      </w:tr>
      <w:tr>
        <w:tc>
          <w:tcPr>
            <w:tcW w:type="dxa" w:w="4320"/>
          </w:tcPr>
          <w:p>
            <w:r>
              <w:t>Réveil</w:t>
            </w:r>
          </w:p>
        </w:tc>
        <w:tc>
          <w:tcPr>
            <w:tcW w:type="dxa" w:w="4320"/>
          </w:tcPr>
          <w:p>
            <w:r>
              <w:t>non nul</w:t>
            </w:r>
          </w:p>
        </w:tc>
      </w:tr>
      <w:tr>
        <w:tc>
          <w:tcPr>
            <w:tcW w:type="dxa" w:w="4320"/>
          </w:tcPr>
          <w:p>
            <w:r>
              <w:t>Partition</w:t>
            </w:r>
          </w:p>
        </w:tc>
        <w:tc>
          <w:tcPr>
            <w:tcW w:type="dxa" w:w="4320"/>
          </w:tcPr>
          <w:p>
            <w:r>
              <w:t>dans l'horizon</w:t>
            </w:r>
          </w:p>
        </w:tc>
      </w:tr>
    </w:tbl>
    <w:p/>
    <w:p>
      <w:r>
        <w:t>Les événements sont strictement ordonnés (tour, agent), tours 1…horizon,</w:t>
      </w:r>
    </w:p>
    <w:p>
      <w:r>
        <w:t>identifiants 0…29. Budget, horizon, duplication et capacité nuls sont autorisés</w:t>
      </w:r>
    </w:p>
    <w:p>
      <w:r>
        <w:t>et peuvent empêcher toute communication. Une population vide n'est pas</w:t>
      </w:r>
    </w:p>
    <w:p>
      <w:r>
        <w:t>déclarée en accord.</w:t>
      </w:r>
    </w:p>
    <w:p>
      <w:pPr>
        <w:pStyle w:val="Heading2"/>
      </w:pPr>
      <w:r>
        <w:t>5.4 Reprise exacte</w:t>
      </w:r>
    </w:p>
    <w:p>
      <w:r>
        <w:t>Checkpoint JSON format 1 : configuration, états, tour, RNG, stabilité,</w:t>
      </w:r>
    </w:p>
    <w:p>
      <w:r>
        <w:t>incarnations, calendrier complet, compteurs et mode de stockage. Sérialisation</w:t>
      </w:r>
    </w:p>
    <w:p>
      <w:r>
        <w:t>des flottants avec aller-retour exact. Reprise aux frontières des périodes,</w:t>
      </w:r>
    </w:p>
    <w:p>
      <w:r>
        <w:t>sans reseeding et sans modification implicite des paramètres.</w:t>
      </w:r>
    </w:p>
    <w:p>
      <w:r>
        <w:t>Chargement limité à 64 Mio ; schéma strict, limites de configuration,</w:t>
      </w:r>
    </w:p>
    <w:p>
      <w:r>
        <w:t>conservation des compteurs, incarnations attendues, calendrier et sommes des</w:t>
      </w:r>
    </w:p>
    <w:p>
      <w:r>
        <w:t>copies contrôlés. Ce contrôle structurel ne prouve pas l'authenticité ni</w:t>
      </w:r>
    </w:p>
    <w:p>
      <w:r>
        <w:t>l'histoire d'un fichier forgé. Aucun secret n'est nécessaire ou enregistré. Le</w:t>
      </w:r>
    </w:p>
    <w:p>
      <w:r>
        <w:t>CLI refuse d'écraser un fichier existant et synchronise le fichier écrit. Il ne</w:t>
      </w:r>
    </w:p>
    <w:p>
      <w:r>
        <w:t>promet pas une transaction durable après panne du système de fichiers : une</w:t>
      </w:r>
    </w:p>
    <w:p>
      <w:r>
        <w:t>écriture interrompue peut laisser un fichier incomplet, rejeté à la reprise.</w:t>
      </w:r>
    </w:p>
    <w:p>
      <w:pPr>
        <w:pStyle w:val="Heading1"/>
      </w:pPr>
      <w:r>
        <w:t>6. Validation et tests</w:t>
      </w:r>
    </w:p>
    <w:p>
      <w:pPr>
        <w:pStyle w:val="Heading2"/>
      </w:pPr>
      <w:r>
        <w:t>6.1 Résultats mesurés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4320"/>
          </w:tcPr>
          <w:p>
            <w:r>
              <w:t>Tests unitaires et d'intégration protocole_v6</w:t>
            </w:r>
          </w:p>
        </w:tc>
        <w:tc>
          <w:tcPr>
            <w:tcW w:type="dxa" w:w="4320"/>
          </w:tcPr>
          <w:p>
            <w:r>
              <w:t>10/10</w:t>
            </w:r>
          </w:p>
        </w:tc>
      </w:tr>
      <w:tr>
        <w:tc>
          <w:tcPr>
            <w:tcW w:type="dxa" w:w="4320"/>
          </w:tcPr>
          <w:p>
            <w:r>
              <w:t>Tests optimise_v5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  <w:tr>
        <w:tc>
          <w:tcPr>
            <w:tcW w:type="dxa" w:w="4320"/>
          </w:tcPr>
          <w:p>
            <w:r>
              <w:t>Parité Rust / Python</w:t>
            </w:r>
          </w:p>
        </w:tc>
        <w:tc>
          <w:tcPr>
            <w:tcW w:type="dxa" w:w="4320"/>
          </w:tcPr>
          <w:p>
            <w:r>
              <w:t>900 graines, 0 écart — bit-à-bit conforme</w:t>
            </w:r>
          </w:p>
        </w:tc>
      </w:tr>
    </w:tbl>
    <w:p/>
    <w:p>
      <w:pPr>
        <w:pStyle w:val="Heading2"/>
      </w:pPr>
      <w:r>
        <w:t>6.2 Mesures de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Quiescence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Durée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Tentatives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Accords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Pic de lots</w:t>
            </w:r>
          </w:p>
        </w:tc>
      </w:tr>
      <w:tr>
        <w:tc>
          <w:tcPr>
            <w:tcW w:type="dxa" w:w="1440"/>
          </w:tcPr>
          <w:p>
            <w:r>
              <w:t>Oracle brut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685,702</w:t>
            </w:r>
          </w:p>
        </w:tc>
        <w:tc>
          <w:tcPr>
            <w:tcW w:type="dxa" w:w="1440"/>
          </w:tcPr>
          <w:p>
            <w:r>
              <w:t>8 381 200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2 468</w:t>
            </w:r>
          </w:p>
        </w:tc>
      </w:tr>
      <w:tr>
        <w:tc>
          <w:tcPr>
            <w:tcW w:type="dxa" w:w="1440"/>
          </w:tcPr>
          <w:p>
            <w:r>
              <w:t>Agrégé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96,104</w:t>
            </w:r>
          </w:p>
        </w:tc>
        <w:tc>
          <w:tcPr>
            <w:tcW w:type="dxa" w:w="1440"/>
          </w:tcPr>
          <w:p>
            <w:r>
              <w:t>8 381 200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Oracle brut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1440"/>
          </w:tcPr>
          <w:p>
            <w:r>
              <w:t>181,465</w:t>
            </w:r>
          </w:p>
        </w:tc>
        <w:tc>
          <w:tcPr>
            <w:tcW w:type="dxa" w:w="1440"/>
          </w:tcPr>
          <w:p>
            <w:r>
              <w:t>2 131 640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2 426</w:t>
            </w:r>
          </w:p>
        </w:tc>
      </w:tr>
      <w:tr>
        <w:tc>
          <w:tcPr>
            <w:tcW w:type="dxa" w:w="1440"/>
          </w:tcPr>
          <w:p>
            <w:r>
              <w:t>Agrégé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1440"/>
          </w:tcPr>
          <w:p>
            <w:r>
              <w:t>39,190</w:t>
            </w:r>
          </w:p>
        </w:tc>
        <w:tc>
          <w:tcPr>
            <w:tcW w:type="dxa" w:w="1440"/>
          </w:tcPr>
          <w:p>
            <w:r>
              <w:t>2 131 640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</w:tbl>
    <w:p/>
    <w:p>
      <w:r>
        <w:t>Lecture. Le mode agrégé est 7,1 × plus rapide à tentatives identiques</w:t>
      </w:r>
    </w:p>
    <w:p>
      <w:r>
        <w:t>(8 381 200 dans les deux modes) : l'équivalence fonctionnelle est préservée, le</w:t>
      </w:r>
    </w:p>
    <w:p>
      <w:r>
        <w:t>gain porte uniquement sur le coût de stockage. Le pic de lots passe de 2 468 à</w:t>
      </w:r>
    </w:p>
    <w:p>
      <w:pPr>
        <w:pStyle w:val="ListNumber"/>
      </w:pPr>
      <w:r>
        <w:t>Le mode brut est un oracle de stockage volontairement simple, pas une</w:t>
      </w:r>
    </w:p>
    <w:p>
      <w:r>
        <w:t>baseline optimisée.</w:t>
      </w:r>
    </w:p>
    <w:p>
      <w:pPr>
        <w:pStyle w:val="Heading2"/>
      </w:pPr>
      <w:r>
        <w:t>6.3 Portée de la validation</w:t>
      </w:r>
    </w:p>
    <w:p>
      <w:r>
        <w:t>Les tests différentiels comparent le stockage brut et agrégé à chaque tour ;</w:t>
      </w:r>
    </w:p>
    <w:p>
      <w:r>
        <w:t>ils partagent le protocole, donc des cas adverses indépendants sont</w:t>
      </w:r>
    </w:p>
    <w:p>
      <w:r>
        <w:t>indispensables. Leur succès constitue une validation expérimentale bornée,</w:t>
      </w:r>
    </w:p>
    <w:p>
      <w:r>
        <w:t>jamais une preuve d'absence universelle de défauts.</w:t>
      </w:r>
    </w:p>
    <w:p>
      <w:pPr>
        <w:pStyle w:val="Heading1"/>
      </w:pPr>
      <w:r>
        <w:t>7. Annexes</w:t>
      </w:r>
    </w:p>
    <w:p>
      <w:pPr>
        <w:pStyle w:val="Heading2"/>
      </w:pPr>
      <w:r>
        <w:t>7.1 Références documentaires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Réf.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Document / Source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SPECIFICATION_V7.md — spécification normative, branche v6 de dagornc/alg-consensus</w:t>
            </w:r>
          </w:p>
        </w:tc>
      </w:tr>
      <w:tr>
        <w:tc>
          <w:tcPr>
            <w:tcW w:type="dxa" w:w="4320"/>
          </w:tcPr>
          <w:p>
            <w:r>
              <w:t>D2</w:t>
            </w:r>
          </w:p>
        </w:tc>
        <w:tc>
          <w:tcPr>
            <w:tcW w:type="dxa" w:w="4320"/>
          </w:tcPr>
          <w:p>
            <w:r>
              <w:t>V6_PROTOCOLE.md — développement Rust v6, contrat et API</w:t>
            </w:r>
          </w:p>
        </w:tc>
      </w:tr>
      <w:tr>
        <w:tc>
          <w:tcPr>
            <w:tcW w:type="dxa" w:w="4320"/>
          </w:tcPr>
          <w:p>
            <w:r>
              <w:t>D3</w:t>
            </w:r>
          </w:p>
        </w:tc>
        <w:tc>
          <w:tcPr>
            <w:tcW w:type="dxa" w:w="4320"/>
          </w:tcPr>
          <w:p>
            <w:r>
              <w:t>AUDIT_V6.md — audit contradictoire Rust v6 / spécification v7</w:t>
            </w:r>
          </w:p>
        </w:tc>
      </w:tr>
      <w:tr>
        <w:tc>
          <w:tcPr>
            <w:tcW w:type="dxa" w:w="4320"/>
          </w:tcPr>
          <w:p>
            <w:r>
              <w:t>D4</w:t>
            </w:r>
          </w:p>
        </w:tc>
        <w:tc>
          <w:tcPr>
            <w:tcW w:type="dxa" w:w="4320"/>
          </w:tcPr>
          <w:p>
            <w:r>
              <w:t>SPECIFICATION_V6.md — spécification v6 (version antérieure)</w:t>
            </w:r>
          </w:p>
        </w:tc>
      </w:tr>
      <w:tr>
        <w:tc>
          <w:tcPr>
            <w:tcW w:type="dxa" w:w="4320"/>
          </w:tcPr>
          <w:p>
            <w:r>
              <w:t>D5</w:t>
            </w:r>
          </w:p>
        </w:tc>
        <w:tc>
          <w:tcPr>
            <w:tcW w:type="dxa" w:w="4320"/>
          </w:tcPr>
          <w:p>
            <w:r>
              <w:t>V5_OPTIMISATION.md — optimisation du calendrier (mode agrégé)</w:t>
            </w:r>
          </w:p>
        </w:tc>
      </w:tr>
    </w:tbl>
    <w:p/>
    <w:p>
      <w:pPr>
        <w:pStyle w:val="Heading2"/>
      </w:pPr>
      <w:r>
        <w:t>7.2 Références scientifiques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Réf.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Auteurs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DOI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Shapiro, Preguiça, Baquero, Zawirski</w:t>
            </w:r>
          </w:p>
        </w:tc>
        <w:tc>
          <w:tcPr>
            <w:tcW w:type="dxa" w:w="1728"/>
          </w:tcPr>
          <w:p>
            <w:r>
              <w:t>Conflict-free Replicated Data Types</w:t>
            </w:r>
          </w:p>
        </w:tc>
        <w:tc>
          <w:tcPr>
            <w:tcW w:type="dxa" w:w="1728"/>
          </w:tcPr>
          <w:p>
            <w:r>
              <w:t>SSS 2011</w:t>
            </w:r>
          </w:p>
        </w:tc>
        <w:tc>
          <w:tcPr>
            <w:tcW w:type="dxa" w:w="1728"/>
          </w:tcPr>
          <w:p>
            <w:r>
              <w:t>10.1007/978-3-642-24550-3_29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Demers et al.</w:t>
            </w:r>
          </w:p>
        </w:tc>
        <w:tc>
          <w:tcPr>
            <w:tcW w:type="dxa" w:w="1728"/>
          </w:tcPr>
          <w:p>
            <w:r>
              <w:t>Epidemic Algorithms for Replicated Database Maintenance</w:t>
            </w:r>
          </w:p>
        </w:tc>
        <w:tc>
          <w:tcPr>
            <w:tcW w:type="dxa" w:w="1728"/>
          </w:tcPr>
          <w:p>
            <w:r>
              <w:t>PODC 1987</w:t>
            </w:r>
          </w:p>
        </w:tc>
        <w:tc>
          <w:tcPr>
            <w:tcW w:type="dxa" w:w="1728"/>
          </w:tcPr>
          <w:p>
            <w:r>
              <w:t>10.1145/41840.41841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Vogels</w:t>
            </w:r>
          </w:p>
        </w:tc>
        <w:tc>
          <w:tcPr>
            <w:tcW w:type="dxa" w:w="1728"/>
          </w:tcPr>
          <w:p>
            <w:r>
              <w:t>Eventually Consistent</w:t>
            </w:r>
          </w:p>
        </w:tc>
        <w:tc>
          <w:tcPr>
            <w:tcW w:type="dxa" w:w="1728"/>
          </w:tcPr>
          <w:p>
            <w:r>
              <w:t>CACM 2009</w:t>
            </w:r>
          </w:p>
        </w:tc>
        <w:tc>
          <w:tcPr>
            <w:tcW w:type="dxa" w:w="1728"/>
          </w:tcPr>
          <w:p>
            <w:r>
              <w:t>10.1145/1435417.1435432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Lamport</w:t>
            </w:r>
          </w:p>
        </w:tc>
        <w:tc>
          <w:tcPr>
            <w:tcW w:type="dxa" w:w="1728"/>
          </w:tcPr>
          <w:p>
            <w:r>
              <w:t>Time, Clocks, and the Ordering of Events in a Distributed System</w:t>
            </w:r>
          </w:p>
        </w:tc>
        <w:tc>
          <w:tcPr>
            <w:tcW w:type="dxa" w:w="1728"/>
          </w:tcPr>
          <w:p>
            <w:r>
              <w:t>CACM 1978</w:t>
            </w:r>
          </w:p>
        </w:tc>
        <w:tc>
          <w:tcPr>
            <w:tcW w:type="dxa" w:w="1728"/>
          </w:tcPr>
          <w:p>
            <w:r>
              <w:t>10.1145/359545.359563</w:t>
            </w:r>
          </w:p>
        </w:tc>
      </w:tr>
    </w:tbl>
    <w:p/>
    <w:p>
      <w:pPr>
        <w:pStyle w:val="Heading2"/>
      </w:pPr>
      <w:r>
        <w:t>7.3 Limites connues</w:t>
      </w:r>
    </w:p>
    <w:p>
      <w:pPr>
        <w:pStyle w:val="ListBullet"/>
      </w:pPr>
      <w:r>
        <w:t>Simulateur déterministe, pas un protocole byzantin ni un transport réel.</w:t>
      </w:r>
    </w:p>
    <w:p>
      <w:pPr>
        <w:pStyle w:val="ListBullet"/>
      </w:pPr>
      <w:r>
        <w:t>Le PRNG fini n'est pas une preuve d'indépendance probabiliste ni une</w:t>
      </w:r>
    </w:p>
    <w:p>
      <w:r>
        <w:t xml:space="preserve">  source cryptographique.</w:t>
      </w:r>
    </w:p>
    <w:p>
      <w:pPr>
        <w:pStyle w:val="ListBullet"/>
      </w:pPr>
      <w:r>
        <w:t>La convergence n'est garantie que sous les conditions de §3.3.</w:t>
      </w:r>
    </w:p>
    <w:p>
      <w:pPr>
        <w:pStyle w:val="ListBullet"/>
      </w:pPr>
      <w:r>
        <w:t>L'équivalence brut/agrégé ne s'étend pas aux délais variables sans preuve.</w:t>
      </w:r>
    </w:p>
    <w:p>
      <w:pPr>
        <w:pStyle w:val="ListBullet"/>
      </w:pPr>
      <w:r>
        <w:t>Le contrôle de checkpoint ne protège pas contre un fichier forgé.</w:t>
      </w:r>
    </w:p>
    <w:p>
      <w:pPr>
        <w:pStyle w:val="Heading2"/>
      </w:pPr>
      <w:r>
        <w:t>7.4 Licence</w:t>
      </w:r>
    </w:p>
    <w:p>
      <w:r>
        <w:t>MIT — Copyright (c) 2026 Christophe Dagorn.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