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b w:val="0"/>
          <w:i w:val="0"/>
        </w:rPr>
        <w:t>SPÉCIFICATION DÉTAILLÉE</w:t>
      </w:r>
    </w:p>
    <w:p>
      <w:pPr>
        <w:pStyle w:val="Title"/>
        <w:jc w:val="center"/>
      </w:pPr>
      <w:r>
        <w:rPr>
          <w:b w:val="0"/>
          <w:i w:val="0"/>
        </w:rPr>
        <w:t>COMP_SENSORS_HAL</w:t>
      </w:r>
    </w:p>
    <w:p>
      <w:pPr>
        <w:pStyle w:val="Subtitle"/>
        <w:jc w:val="center"/>
      </w:pPr>
      <w:r>
        <w:rPr>
          <w:b w:val="0"/>
          <w:i w:val="0"/>
        </w:rPr>
        <w:t>HAL capteurs — Abstraction matérielle capteurs/actionneurs</w:t>
      </w:r>
    </w:p>
    <w:p/>
    <w:p>
      <w:pPr>
        <w:jc w:val="center"/>
      </w:pPr>
      <w:r>
        <w:rPr>
          <w:b w:val="0"/>
          <w:i/>
          <w:color w:val="5A6B7A"/>
          <w:sz w:val="24"/>
        </w:rPr>
        <w:t>Composant HAL du modèle LikeC4 swarmdrones — abstraction matérielle capteurs/actionneurs pour essaim hétérogène de 30 drones</w:t>
      </w:r>
    </w:p>
    <w:p>
      <w:pPr>
        <w:jc w:val="center"/>
      </w:pPr>
      <w:r>
        <w:rPr>
          <w:b w:val="0"/>
          <w:i/>
          <w:color w:val="5A6B7A"/>
          <w:sz w:val="24"/>
        </w:rPr>
        <w:t>UAV-R ×18 · UAV-F ×8 · USV ×4 — onboard.sensorsHAL</w:t>
      </w:r>
    </w:p>
    <w:p/>
    <w:p/>
    <w:p/>
    <w:tbl>
      <w:tblPr>
        <w:tblStyle w:val="TableGrid"/>
        <w:tblW w:type="auto" w:w="0"/>
        <w:jc w:val="center"/>
        <w:tblLayout w:type="fixed"/>
        <w:tblLook w:firstColumn="1" w:firstRow="1" w:lastColumn="0" w:lastRow="0" w:noHBand="0" w:noVBand="1" w:val="04A0"/>
      </w:tblPr>
      <w:tblGrid>
        <w:gridCol w:w="4706"/>
        <w:gridCol w:w="4706"/>
      </w:tblGrid>
      <w:tr>
        <w:tc>
          <w:tcPr>
            <w:tcW w:type="dxa" w:w="2835"/>
            <w:vAlign w:val="center"/>
            <w:shd w:val="clear" w:color="auto" w:fill="16283F"/>
          </w:tcPr>
          <w:p>
            <w:r/>
            <w:r>
              <w:rPr>
                <w:rFonts w:ascii="Calibri" w:hAnsi="Calibri"/>
                <w:b/>
                <w:color w:val="FFFFFF"/>
                <w:sz w:val="20"/>
              </w:rPr>
              <w:t>Identifiant du composant</w:t>
            </w:r>
          </w:p>
        </w:tc>
        <w:tc>
          <w:tcPr>
            <w:tcW w:type="dxa" w:w="6520"/>
            <w:vAlign w:val="center"/>
          </w:tcPr>
          <w:p>
            <w:r/>
            <w:r>
              <w:rPr>
                <w:rFonts w:ascii="Calibri" w:hAnsi="Calibri"/>
                <w:b w:val="0"/>
                <w:sz w:val="20"/>
              </w:rPr>
              <w:t>COMP_SENSORS_HAL</w:t>
            </w:r>
          </w:p>
        </w:tc>
      </w:tr>
      <w:tr>
        <w:tc>
          <w:tcPr>
            <w:tcW w:type="dxa" w:w="2835"/>
            <w:vAlign w:val="center"/>
            <w:shd w:val="clear" w:color="auto" w:fill="16283F"/>
          </w:tcPr>
          <w:p>
            <w:r/>
            <w:r>
              <w:rPr>
                <w:rFonts w:ascii="Calibri" w:hAnsi="Calibri"/>
                <w:b/>
                <w:color w:val="FFFFFF"/>
                <w:sz w:val="20"/>
              </w:rPr>
              <w:t>Identifiant LikeC4</w:t>
            </w:r>
          </w:p>
        </w:tc>
        <w:tc>
          <w:tcPr>
            <w:tcW w:type="dxa" w:w="6520"/>
            <w:vAlign w:val="center"/>
          </w:tcPr>
          <w:p>
            <w:r/>
            <w:r>
              <w:rPr>
                <w:rFonts w:ascii="Calibri" w:hAnsi="Calibri"/>
                <w:b w:val="0"/>
                <w:sz w:val="20"/>
              </w:rPr>
              <w:t>onboard.sensorsHAL</w:t>
            </w:r>
          </w:p>
        </w:tc>
      </w:tr>
      <w:tr>
        <w:tc>
          <w:tcPr>
            <w:tcW w:type="dxa" w:w="2835"/>
            <w:vAlign w:val="center"/>
            <w:shd w:val="clear" w:color="auto" w:fill="16283F"/>
          </w:tcPr>
          <w:p>
            <w:r/>
            <w:r>
              <w:rPr>
                <w:rFonts w:ascii="Calibri" w:hAnsi="Calibri"/>
                <w:b/>
                <w:color w:val="FFFFFF"/>
                <w:sz w:val="20"/>
              </w:rPr>
              <w:t>Nom</w:t>
            </w:r>
          </w:p>
        </w:tc>
        <w:tc>
          <w:tcPr>
            <w:tcW w:type="dxa" w:w="6520"/>
            <w:vAlign w:val="center"/>
          </w:tcPr>
          <w:p>
            <w:r/>
            <w:r>
              <w:rPr>
                <w:rFonts w:ascii="Calibri" w:hAnsi="Calibri"/>
                <w:b w:val="0"/>
                <w:sz w:val="20"/>
              </w:rPr>
              <w:t>HAL capteurs — Abstraction matérielle capteurs/actionneurs</w:t>
            </w:r>
          </w:p>
        </w:tc>
      </w:tr>
      <w:tr>
        <w:tc>
          <w:tcPr>
            <w:tcW w:type="dxa" w:w="2835"/>
            <w:vAlign w:val="center"/>
            <w:shd w:val="clear" w:color="auto" w:fill="16283F"/>
          </w:tcPr>
          <w:p>
            <w:r/>
            <w:r>
              <w:rPr>
                <w:rFonts w:ascii="Calibri" w:hAnsi="Calibri"/>
                <w:b/>
                <w:color w:val="FFFFFF"/>
                <w:sz w:val="20"/>
              </w:rPr>
              <w:t>Référence document</w:t>
            </w:r>
          </w:p>
        </w:tc>
        <w:tc>
          <w:tcPr>
            <w:tcW w:type="dxa" w:w="6520"/>
            <w:vAlign w:val="center"/>
          </w:tcPr>
          <w:p>
            <w:r/>
            <w:r>
              <w:rPr>
                <w:rFonts w:ascii="Calibri" w:hAnsi="Calibri"/>
                <w:b w:val="0"/>
                <w:sz w:val="20"/>
              </w:rPr>
              <w:t>SWARM-SPEC-COMP_SENSORS_HAL-v10</w:t>
            </w:r>
          </w:p>
        </w:tc>
      </w:tr>
      <w:tr>
        <w:tc>
          <w:tcPr>
            <w:tcW w:type="dxa" w:w="2835"/>
            <w:vAlign w:val="center"/>
            <w:shd w:val="clear" w:color="auto" w:fill="16283F"/>
          </w:tcPr>
          <w:p>
            <w:r/>
            <w:r>
              <w:rPr>
                <w:rFonts w:ascii="Calibri" w:hAnsi="Calibri"/>
                <w:b/>
                <w:color w:val="FFFFFF"/>
                <w:sz w:val="20"/>
              </w:rPr>
              <w:t>Version</w:t>
            </w:r>
          </w:p>
        </w:tc>
        <w:tc>
          <w:tcPr>
            <w:tcW w:type="dxa" w:w="6520"/>
            <w:vAlign w:val="center"/>
          </w:tcPr>
          <w:p>
            <w:r/>
            <w:r>
              <w:rPr>
                <w:rFonts w:ascii="Calibri" w:hAnsi="Calibri"/>
                <w:b w:val="0"/>
                <w:sz w:val="20"/>
              </w:rPr>
              <w:t>1.0</w:t>
            </w:r>
          </w:p>
        </w:tc>
      </w:tr>
      <w:tr>
        <w:tc>
          <w:tcPr>
            <w:tcW w:type="dxa" w:w="2835"/>
            <w:vAlign w:val="center"/>
            <w:shd w:val="clear" w:color="auto" w:fill="16283F"/>
          </w:tcPr>
          <w:p>
            <w:r/>
            <w:r>
              <w:rPr>
                <w:rFonts w:ascii="Calibri" w:hAnsi="Calibri"/>
                <w:b/>
                <w:color w:val="FFFFFF"/>
                <w:sz w:val="20"/>
              </w:rPr>
              <w:t>Statut</w:t>
            </w:r>
          </w:p>
        </w:tc>
        <w:tc>
          <w:tcPr>
            <w:tcW w:type="dxa" w:w="6520"/>
            <w:vAlign w:val="center"/>
          </w:tcPr>
          <w:p>
            <w:r/>
            <w:r>
              <w:rPr>
                <w:rFonts w:ascii="Calibri" w:hAnsi="Calibri"/>
                <w:b w:val="0"/>
                <w:sz w:val="20"/>
              </w:rPr>
              <w:t>VALIDÉ — spécification détaillée (moule premium)</w:t>
            </w:r>
          </w:p>
        </w:tc>
      </w:tr>
      <w:tr>
        <w:tc>
          <w:tcPr>
            <w:tcW w:type="dxa" w:w="2835"/>
            <w:vAlign w:val="center"/>
            <w:shd w:val="clear" w:color="auto" w:fill="16283F"/>
          </w:tcPr>
          <w:p>
            <w:r/>
            <w:r>
              <w:rPr>
                <w:rFonts w:ascii="Calibri" w:hAnsi="Calibri"/>
                <w:b/>
                <w:color w:val="FFFFFF"/>
                <w:sz w:val="20"/>
              </w:rPr>
              <w:t>Classification</w:t>
            </w:r>
          </w:p>
        </w:tc>
        <w:tc>
          <w:tcPr>
            <w:tcW w:type="dxa" w:w="6520"/>
            <w:vAlign w:val="center"/>
          </w:tcPr>
          <w:p>
            <w:r/>
            <w:r>
              <w:rPr>
                <w:rFonts w:ascii="Calibri" w:hAnsi="Calibri"/>
                <w:b w:val="0"/>
                <w:sz w:val="20"/>
              </w:rPr>
              <w:t>Interne</w:t>
            </w:r>
          </w:p>
        </w:tc>
      </w:tr>
      <w:tr>
        <w:tc>
          <w:tcPr>
            <w:tcW w:type="dxa" w:w="2835"/>
            <w:vAlign w:val="center"/>
            <w:shd w:val="clear" w:color="auto" w:fill="16283F"/>
          </w:tcPr>
          <w:p>
            <w:r/>
            <w:r>
              <w:rPr>
                <w:rFonts w:ascii="Calibri" w:hAnsi="Calibri"/>
                <w:b/>
                <w:color w:val="FFFFFF"/>
                <w:sz w:val="20"/>
              </w:rPr>
              <w:t>Rédacteur</w:t>
            </w:r>
          </w:p>
        </w:tc>
        <w:tc>
          <w:tcPr>
            <w:tcW w:type="dxa" w:w="6520"/>
            <w:vAlign w:val="center"/>
          </w:tcPr>
          <w:p>
            <w:r/>
            <w:r>
              <w:rPr>
                <w:rFonts w:ascii="Calibri" w:hAnsi="Calibri"/>
                <w:b w:val="0"/>
                <w:sz w:val="20"/>
              </w:rPr>
              <w:t>Hermès (profil principal) — SwarmDrone + Architecte + Mathématiques</w:t>
            </w:r>
          </w:p>
        </w:tc>
      </w:tr>
      <w:tr>
        <w:tc>
          <w:tcPr>
            <w:tcW w:type="dxa" w:w="2835"/>
            <w:vAlign w:val="center"/>
            <w:shd w:val="clear" w:color="auto" w:fill="16283F"/>
          </w:tcPr>
          <w:p>
            <w:r/>
            <w:r>
              <w:rPr>
                <w:rFonts w:ascii="Calibri" w:hAnsi="Calibri"/>
                <w:b/>
                <w:color w:val="FFFFFF"/>
                <w:sz w:val="20"/>
              </w:rPr>
              <w:t>Approbateur</w:t>
            </w:r>
          </w:p>
        </w:tc>
        <w:tc>
          <w:tcPr>
            <w:tcW w:type="dxa" w:w="6520"/>
            <w:vAlign w:val="center"/>
          </w:tcPr>
          <w:p>
            <w:r/>
            <w:r>
              <w:rPr>
                <w:rFonts w:ascii="Calibri" w:hAnsi="Calibri"/>
                <w:b w:val="0"/>
                <w:sz w:val="20"/>
              </w:rPr>
              <w:t>[À COMPLÉTER]</w:t>
            </w:r>
          </w:p>
        </w:tc>
      </w:tr>
      <w:tr>
        <w:tc>
          <w:tcPr>
            <w:tcW w:type="dxa" w:w="2835"/>
            <w:vAlign w:val="center"/>
            <w:shd w:val="clear" w:color="auto" w:fill="16283F"/>
          </w:tcPr>
          <w:p>
            <w:r/>
            <w:r>
              <w:rPr>
                <w:rFonts w:ascii="Calibri" w:hAnsi="Calibri"/>
                <w:b/>
                <w:color w:val="FFFFFF"/>
                <w:sz w:val="20"/>
              </w:rPr>
              <w:t>Date</w:t>
            </w:r>
          </w:p>
        </w:tc>
        <w:tc>
          <w:tcPr>
            <w:tcW w:type="dxa" w:w="6520"/>
            <w:vAlign w:val="center"/>
          </w:tcPr>
          <w:p>
            <w:r/>
            <w:r>
              <w:rPr>
                <w:rFonts w:ascii="Calibri" w:hAnsi="Calibri"/>
                <w:b w:val="0"/>
                <w:sz w:val="20"/>
              </w:rPr>
              <w:t>2026-10-01</w:t>
            </w:r>
          </w:p>
        </w:tc>
      </w:tr>
      <w:tr>
        <w:tc>
          <w:tcPr>
            <w:tcW w:type="dxa" w:w="2835"/>
            <w:vAlign w:val="center"/>
            <w:shd w:val="clear" w:color="auto" w:fill="16283F"/>
          </w:tcPr>
          <w:p>
            <w:r/>
            <w:r>
              <w:rPr>
                <w:rFonts w:ascii="Calibri" w:hAnsi="Calibri"/>
                <w:b/>
                <w:color w:val="FFFFFF"/>
                <w:sz w:val="20"/>
              </w:rPr>
              <w:t>Profil source</w:t>
            </w:r>
          </w:p>
        </w:tc>
        <w:tc>
          <w:tcPr>
            <w:tcW w:type="dxa" w:w="6520"/>
            <w:vAlign w:val="center"/>
          </w:tcPr>
          <w:p>
            <w:r/>
            <w:r>
              <w:rPr>
                <w:rFonts w:ascii="Calibri" w:hAnsi="Calibri"/>
                <w:b w:val="0"/>
                <w:sz w:val="20"/>
              </w:rPr>
              <w:t>SwarmDrone + Architecte + Mathématiques</w:t>
            </w:r>
          </w:p>
        </w:tc>
      </w:tr>
    </w:tbl>
    <w:p>
      <w:r>
        <w:br w:type="page"/>
      </w:r>
    </w:p>
    <w:p>
      <w:pPr>
        <w:pStyle w:val="Heading1"/>
      </w:pPr>
      <w:r>
        <w:t>Contrôle du document</w:t>
      </w:r>
    </w:p>
    <w:p>
      <w:pPr>
        <w:pStyle w:val="Heading2"/>
      </w:pPr>
      <w:r>
        <w:t>Historique des versions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020"/>
            <w:vAlign w:val="center"/>
            <w:shd w:val="clear" w:color="auto" w:fill="16283F"/>
          </w:tcPr>
          <w:p>
            <w:pPr>
              <w:jc w:val="center"/>
            </w:pPr>
            <w:r/>
            <w:r>
              <w:rPr>
                <w:rFonts w:ascii="Calibri" w:hAnsi="Calibri"/>
                <w:b/>
                <w:color w:val="FFFFFF"/>
                <w:sz w:val="19"/>
              </w:rPr>
              <w:t>Version</w:t>
            </w:r>
          </w:p>
        </w:tc>
        <w:tc>
          <w:tcPr>
            <w:tcW w:type="dxa" w:w="1361"/>
            <w:vAlign w:val="center"/>
            <w:shd w:val="clear" w:color="auto" w:fill="16283F"/>
          </w:tcPr>
          <w:p>
            <w:pPr>
              <w:jc w:val="center"/>
            </w:pPr>
            <w:r/>
            <w:r>
              <w:rPr>
                <w:rFonts w:ascii="Calibri" w:hAnsi="Calibri"/>
                <w:b/>
                <w:color w:val="FFFFFF"/>
                <w:sz w:val="19"/>
              </w:rPr>
              <w:t>Date</w:t>
            </w:r>
          </w:p>
        </w:tc>
        <w:tc>
          <w:tcPr>
            <w:tcW w:type="dxa" w:w="1474"/>
            <w:vAlign w:val="center"/>
            <w:shd w:val="clear" w:color="auto" w:fill="16283F"/>
          </w:tcPr>
          <w:p>
            <w:pPr>
              <w:jc w:val="center"/>
            </w:pPr>
            <w:r/>
            <w:r>
              <w:rPr>
                <w:rFonts w:ascii="Calibri" w:hAnsi="Calibri"/>
                <w:b/>
                <w:color w:val="FFFFFF"/>
                <w:sz w:val="19"/>
              </w:rPr>
              <w:t>Auteur</w:t>
            </w:r>
          </w:p>
        </w:tc>
        <w:tc>
          <w:tcPr>
            <w:tcW w:type="dxa" w:w="3742"/>
            <w:vAlign w:val="center"/>
            <w:shd w:val="clear" w:color="auto" w:fill="16283F"/>
          </w:tcPr>
          <w:p>
            <w:pPr>
              <w:jc w:val="center"/>
            </w:pPr>
            <w:r/>
            <w:r>
              <w:rPr>
                <w:rFonts w:ascii="Calibri" w:hAnsi="Calibri"/>
                <w:b/>
                <w:color w:val="FFFFFF"/>
                <w:sz w:val="19"/>
              </w:rPr>
              <w:t>Description des modifications</w:t>
            </w:r>
          </w:p>
        </w:tc>
        <w:tc>
          <w:tcPr>
            <w:tcW w:type="dxa" w:w="1474"/>
            <w:vAlign w:val="center"/>
            <w:shd w:val="clear" w:color="auto" w:fill="16283F"/>
          </w:tcPr>
          <w:p>
            <w:pPr>
              <w:jc w:val="center"/>
            </w:pPr>
            <w:r/>
            <w:r>
              <w:rPr>
                <w:rFonts w:ascii="Calibri" w:hAnsi="Calibri"/>
                <w:b/>
                <w:color w:val="FFFFFF"/>
                <w:sz w:val="19"/>
              </w:rPr>
              <w:t>Approbation</w:t>
            </w:r>
          </w:p>
        </w:tc>
      </w:tr>
      <w:tr>
        <w:tc>
          <w:tcPr>
            <w:tcW w:type="dxa" w:w="1020"/>
            <w:vAlign w:val="center"/>
          </w:tcPr>
          <w:p>
            <w:r/>
            <w:r>
              <w:rPr>
                <w:rFonts w:ascii="Calibri" w:hAnsi="Calibri"/>
                <w:b w:val="0"/>
                <w:sz w:val="19"/>
              </w:rPr>
              <w:t>1.0</w:t>
            </w:r>
          </w:p>
        </w:tc>
        <w:tc>
          <w:tcPr>
            <w:tcW w:type="dxa" w:w="1361"/>
            <w:vAlign w:val="center"/>
          </w:tcPr>
          <w:p>
            <w:r/>
            <w:r>
              <w:rPr>
                <w:rFonts w:ascii="Calibri" w:hAnsi="Calibri"/>
                <w:b w:val="0"/>
                <w:sz w:val="19"/>
              </w:rPr>
              <w:t>2026-10-01</w:t>
            </w:r>
          </w:p>
        </w:tc>
        <w:tc>
          <w:tcPr>
            <w:tcW w:type="dxa" w:w="1474"/>
            <w:vAlign w:val="center"/>
          </w:tcPr>
          <w:p>
            <w:r/>
            <w:r>
              <w:rPr>
                <w:rFonts w:ascii="Calibri" w:hAnsi="Calibri"/>
                <w:b w:val="0"/>
                <w:sz w:val="19"/>
              </w:rPr>
              <w:t>Hermès</w:t>
            </w:r>
          </w:p>
        </w:tc>
        <w:tc>
          <w:tcPr>
            <w:tcW w:type="dxa" w:w="3742"/>
            <w:vAlign w:val="center"/>
          </w:tcPr>
          <w:p>
            <w:r/>
            <w:r>
              <w:rPr>
                <w:rFonts w:ascii="Calibri" w:hAnsi="Calibri"/>
                <w:b w:val="0"/>
                <w:sz w:val="19"/>
              </w:rPr>
              <w:t>Spécification initiale — HAL capteurs — Abstraction matérielle capteurs/actionneurs, moule premium, sources académiques 2021-2026 vérifiées, traçabilité LikeC4</w:t>
            </w:r>
          </w:p>
        </w:tc>
        <w:tc>
          <w:tcPr>
            <w:tcW w:type="dxa" w:w="1474"/>
            <w:vAlign w:val="center"/>
          </w:tcPr>
          <w:p>
            <w:r/>
            <w:r>
              <w:rPr>
                <w:rFonts w:ascii="Calibri" w:hAnsi="Calibri"/>
                <w:b w:val="0"/>
                <w:sz w:val="19"/>
              </w:rPr>
              <w:t>[À COMPLÉTER]</w:t>
            </w:r>
          </w:p>
        </w:tc>
      </w:tr>
    </w:tbl>
    <w:p>
      <w:pPr>
        <w:spacing w:after="40"/>
      </w:pPr>
    </w:p>
    <w:p>
      <w:pPr>
        <w:pStyle w:val="Heading2"/>
      </w:pPr>
      <w:r>
        <w:t>Approbations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701"/>
            <w:vAlign w:val="center"/>
            <w:shd w:val="clear" w:color="auto" w:fill="16283F"/>
          </w:tcPr>
          <w:p>
            <w:pPr>
              <w:jc w:val="center"/>
            </w:pPr>
            <w:r/>
            <w:r>
              <w:rPr>
                <w:rFonts w:ascii="Calibri" w:hAnsi="Calibri"/>
                <w:b/>
                <w:color w:val="FFFFFF"/>
                <w:sz w:val="19"/>
              </w:rPr>
              <w:t>Rôle</w:t>
            </w:r>
          </w:p>
        </w:tc>
        <w:tc>
          <w:tcPr>
            <w:tcW w:type="dxa" w:w="1814"/>
            <w:vAlign w:val="center"/>
            <w:shd w:val="clear" w:color="auto" w:fill="16283F"/>
          </w:tcPr>
          <w:p>
            <w:pPr>
              <w:jc w:val="center"/>
            </w:pPr>
            <w:r/>
            <w:r>
              <w:rPr>
                <w:rFonts w:ascii="Calibri" w:hAnsi="Calibri"/>
                <w:b/>
                <w:color w:val="FFFFFF"/>
                <w:sz w:val="19"/>
              </w:rPr>
              <w:t>Nom</w:t>
            </w:r>
          </w:p>
        </w:tc>
        <w:tc>
          <w:tcPr>
            <w:tcW w:type="dxa" w:w="2041"/>
            <w:vAlign w:val="center"/>
            <w:shd w:val="clear" w:color="auto" w:fill="16283F"/>
          </w:tcPr>
          <w:p>
            <w:pPr>
              <w:jc w:val="center"/>
            </w:pPr>
            <w:r/>
            <w:r>
              <w:rPr>
                <w:rFonts w:ascii="Calibri" w:hAnsi="Calibri"/>
                <w:b/>
                <w:color w:val="FFFFFF"/>
                <w:sz w:val="19"/>
              </w:rPr>
              <w:t>Fonction</w:t>
            </w:r>
          </w:p>
        </w:tc>
        <w:tc>
          <w:tcPr>
            <w:tcW w:type="dxa" w:w="1701"/>
            <w:vAlign w:val="center"/>
            <w:shd w:val="clear" w:color="auto" w:fill="16283F"/>
          </w:tcPr>
          <w:p>
            <w:pPr>
              <w:jc w:val="center"/>
            </w:pPr>
            <w:r/>
            <w:r>
              <w:rPr>
                <w:rFonts w:ascii="Calibri" w:hAnsi="Calibri"/>
                <w:b/>
                <w:color w:val="FFFFFF"/>
                <w:sz w:val="19"/>
              </w:rPr>
              <w:t>Date</w:t>
            </w:r>
          </w:p>
        </w:tc>
        <w:tc>
          <w:tcPr>
            <w:tcW w:type="dxa" w:w="1814"/>
            <w:vAlign w:val="center"/>
            <w:shd w:val="clear" w:color="auto" w:fill="16283F"/>
          </w:tcPr>
          <w:p>
            <w:pPr>
              <w:jc w:val="center"/>
            </w:pPr>
            <w:r/>
            <w:r>
              <w:rPr>
                <w:rFonts w:ascii="Calibri" w:hAnsi="Calibri"/>
                <w:b/>
                <w:color w:val="FFFFFF"/>
                <w:sz w:val="19"/>
              </w:rPr>
              <w:t>Signature</w:t>
            </w:r>
          </w:p>
        </w:tc>
      </w:tr>
      <w:tr>
        <w:tc>
          <w:tcPr>
            <w:tcW w:type="dxa" w:w="1701"/>
            <w:vAlign w:val="center"/>
          </w:tcPr>
          <w:p>
            <w:r/>
            <w:r>
              <w:rPr>
                <w:rFonts w:ascii="Calibri" w:hAnsi="Calibri"/>
                <w:b w:val="0"/>
                <w:sz w:val="19"/>
              </w:rPr>
              <w:t>Rédacteur</w:t>
            </w:r>
          </w:p>
        </w:tc>
        <w:tc>
          <w:tcPr>
            <w:tcW w:type="dxa" w:w="1814"/>
            <w:vAlign w:val="center"/>
          </w:tcPr>
          <w:p>
            <w:r/>
            <w:r>
              <w:rPr>
                <w:rFonts w:ascii="Calibri" w:hAnsi="Calibri"/>
                <w:b w:val="0"/>
                <w:sz w:val="19"/>
              </w:rPr>
              <w:t>Hermès</w:t>
            </w:r>
          </w:p>
        </w:tc>
        <w:tc>
          <w:tcPr>
            <w:tcW w:type="dxa" w:w="2041"/>
            <w:vAlign w:val="center"/>
          </w:tcPr>
          <w:p>
            <w:r/>
            <w:r>
              <w:rPr>
                <w:rFonts w:ascii="Calibri" w:hAnsi="Calibri"/>
                <w:b w:val="0"/>
                <w:sz w:val="19"/>
              </w:rPr>
              <w:t>Consultant senior</w:t>
            </w:r>
          </w:p>
        </w:tc>
        <w:tc>
          <w:tcPr>
            <w:tcW w:type="dxa" w:w="1701"/>
            <w:vAlign w:val="center"/>
          </w:tcPr>
          <w:p>
            <w:r/>
            <w:r>
              <w:rPr>
                <w:rFonts w:ascii="Calibri" w:hAnsi="Calibri"/>
                <w:b w:val="0"/>
                <w:sz w:val="19"/>
              </w:rPr>
              <w:t>2026-10-01</w:t>
            </w:r>
          </w:p>
        </w:tc>
        <w:tc>
          <w:tcPr>
            <w:tcW w:type="dxa" w:w="1814"/>
            <w:vAlign w:val="center"/>
          </w:tcPr>
          <w:p>
            <w:r/>
            <w:r>
              <w:rPr>
                <w:rFonts w:ascii="Calibri" w:hAnsi="Calibri"/>
                <w:b w:val="0"/>
                <w:sz w:val="19"/>
              </w:rPr>
            </w:r>
          </w:p>
        </w:tc>
      </w:tr>
      <w:tr>
        <w:tc>
          <w:tcPr>
            <w:tcW w:type="dxa" w:w="1701"/>
            <w:vAlign w:val="center"/>
            <w:shd w:val="clear" w:color="auto" w:fill="F1F5F9"/>
          </w:tcPr>
          <w:p>
            <w:r/>
            <w:r>
              <w:rPr>
                <w:rFonts w:ascii="Calibri" w:hAnsi="Calibri"/>
                <w:b w:val="0"/>
                <w:sz w:val="19"/>
              </w:rPr>
              <w:t>Vérificateur</w:t>
            </w:r>
          </w:p>
        </w:tc>
        <w:tc>
          <w:tcPr>
            <w:tcW w:type="dxa" w:w="1814"/>
            <w:vAlign w:val="center"/>
            <w:shd w:val="clear" w:color="auto" w:fill="F1F5F9"/>
          </w:tcPr>
          <w:p>
            <w:r/>
            <w:r>
              <w:rPr>
                <w:rFonts w:ascii="Calibri" w:hAnsi="Calibri"/>
                <w:b w:val="0"/>
                <w:sz w:val="19"/>
              </w:rPr>
              <w:t>[À COMPLÉTER]</w:t>
            </w:r>
          </w:p>
        </w:tc>
        <w:tc>
          <w:tcPr>
            <w:tcW w:type="dxa" w:w="2041"/>
            <w:vAlign w:val="center"/>
            <w:shd w:val="clear" w:color="auto" w:fill="F1F5F9"/>
          </w:tcPr>
          <w:p>
            <w:r/>
            <w:r>
              <w:rPr>
                <w:rFonts w:ascii="Calibri" w:hAnsi="Calibri"/>
                <w:b w:val="0"/>
                <w:sz w:val="19"/>
              </w:rPr>
              <w:t>[À COMPLÉTER]</w:t>
            </w:r>
          </w:p>
        </w:tc>
        <w:tc>
          <w:tcPr>
            <w:tcW w:type="dxa" w:w="1701"/>
            <w:vAlign w:val="center"/>
            <w:shd w:val="clear" w:color="auto" w:fill="F1F5F9"/>
          </w:tcPr>
          <w:p>
            <w:r/>
            <w:r>
              <w:rPr>
                <w:rFonts w:ascii="Calibri" w:hAnsi="Calibri"/>
                <w:b w:val="0"/>
                <w:sz w:val="19"/>
              </w:rPr>
              <w:t>[À COMPLÉTER]</w:t>
            </w:r>
          </w:p>
        </w:tc>
        <w:tc>
          <w:tcPr>
            <w:tcW w:type="dxa" w:w="1814"/>
            <w:vAlign w:val="center"/>
            <w:shd w:val="clear" w:color="auto" w:fill="F1F5F9"/>
          </w:tcPr>
          <w:p>
            <w:r/>
            <w:r>
              <w:rPr>
                <w:rFonts w:ascii="Calibri" w:hAnsi="Calibri"/>
                <w:b w:val="0"/>
                <w:sz w:val="19"/>
              </w:rPr>
            </w:r>
          </w:p>
        </w:tc>
      </w:tr>
      <w:tr>
        <w:tc>
          <w:tcPr>
            <w:tcW w:type="dxa" w:w="1701"/>
            <w:vAlign w:val="center"/>
          </w:tcPr>
          <w:p>
            <w:r/>
            <w:r>
              <w:rPr>
                <w:rFonts w:ascii="Calibri" w:hAnsi="Calibri"/>
                <w:b w:val="0"/>
                <w:sz w:val="19"/>
              </w:rPr>
              <w:t>Approbateur</w:t>
            </w:r>
          </w:p>
        </w:tc>
        <w:tc>
          <w:tcPr>
            <w:tcW w:type="dxa" w:w="1814"/>
            <w:vAlign w:val="center"/>
          </w:tcPr>
          <w:p>
            <w:r/>
            <w:r>
              <w:rPr>
                <w:rFonts w:ascii="Calibri" w:hAnsi="Calibri"/>
                <w:b w:val="0"/>
                <w:sz w:val="19"/>
              </w:rPr>
              <w:t>[À COMPLÉTER]</w:t>
            </w:r>
          </w:p>
        </w:tc>
        <w:tc>
          <w:tcPr>
            <w:tcW w:type="dxa" w:w="2041"/>
            <w:vAlign w:val="center"/>
          </w:tcPr>
          <w:p>
            <w:r/>
            <w:r>
              <w:rPr>
                <w:rFonts w:ascii="Calibri" w:hAnsi="Calibri"/>
                <w:b w:val="0"/>
                <w:sz w:val="19"/>
              </w:rPr>
              <w:t>[À COMPLÉTER]</w:t>
            </w:r>
          </w:p>
        </w:tc>
        <w:tc>
          <w:tcPr>
            <w:tcW w:type="dxa" w:w="1701"/>
            <w:vAlign w:val="center"/>
          </w:tcPr>
          <w:p>
            <w:r/>
            <w:r>
              <w:rPr>
                <w:rFonts w:ascii="Calibri" w:hAnsi="Calibri"/>
                <w:b w:val="0"/>
                <w:sz w:val="19"/>
              </w:rPr>
              <w:t>[À COMPLÉTER]</w:t>
            </w:r>
          </w:p>
        </w:tc>
        <w:tc>
          <w:tcPr>
            <w:tcW w:type="dxa" w:w="1814"/>
            <w:vAlign w:val="center"/>
          </w:tcPr>
          <w:p>
            <w:r/>
            <w:r>
              <w:rPr>
                <w:rFonts w:ascii="Calibri" w:hAnsi="Calibri"/>
                <w:b w:val="0"/>
                <w:sz w:val="19"/>
              </w:rPr>
            </w:r>
          </w:p>
        </w:tc>
      </w:tr>
    </w:tbl>
    <w:p>
      <w:pPr>
        <w:spacing w:after="40"/>
      </w:pPr>
    </w:p>
    <w:p>
      <w:pPr>
        <w:pStyle w:val="Heading2"/>
      </w:pPr>
      <w:r>
        <w:t>Références documentaires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850"/>
            <w:vAlign w:val="center"/>
            <w:shd w:val="clear" w:color="auto" w:fill="16283F"/>
          </w:tcPr>
          <w:p>
            <w:pPr>
              <w:jc w:val="center"/>
            </w:pPr>
            <w:r/>
            <w:r>
              <w:rPr>
                <w:rFonts w:ascii="Calibri" w:hAnsi="Calibri"/>
                <w:b/>
                <w:color w:val="FFFFFF"/>
                <w:sz w:val="19"/>
              </w:rPr>
              <w:t>Réf.</w:t>
            </w:r>
          </w:p>
        </w:tc>
        <w:tc>
          <w:tcPr>
            <w:tcW w:type="dxa" w:w="4819"/>
            <w:vAlign w:val="center"/>
            <w:shd w:val="clear" w:color="auto" w:fill="16283F"/>
          </w:tcPr>
          <w:p>
            <w:pPr>
              <w:jc w:val="center"/>
            </w:pPr>
            <w:r/>
            <w:r>
              <w:rPr>
                <w:rFonts w:ascii="Calibri" w:hAnsi="Calibri"/>
                <w:b/>
                <w:color w:val="FFFFFF"/>
                <w:sz w:val="19"/>
              </w:rPr>
              <w:t>Document / Source</w:t>
            </w:r>
          </w:p>
        </w:tc>
        <w:tc>
          <w:tcPr>
            <w:tcW w:type="dxa" w:w="1134"/>
            <w:vAlign w:val="center"/>
            <w:shd w:val="clear" w:color="auto" w:fill="16283F"/>
          </w:tcPr>
          <w:p>
            <w:pPr>
              <w:jc w:val="center"/>
            </w:pPr>
            <w:r/>
            <w:r>
              <w:rPr>
                <w:rFonts w:ascii="Calibri" w:hAnsi="Calibri"/>
                <w:b/>
                <w:color w:val="FFFFFF"/>
                <w:sz w:val="19"/>
              </w:rPr>
              <w:t>Version</w:t>
            </w:r>
          </w:p>
        </w:tc>
        <w:tc>
          <w:tcPr>
            <w:tcW w:type="dxa" w:w="2268"/>
            <w:vAlign w:val="center"/>
            <w:shd w:val="clear" w:color="auto" w:fill="16283F"/>
          </w:tcPr>
          <w:p>
            <w:pPr>
              <w:jc w:val="center"/>
            </w:pPr>
            <w:r/>
            <w:r>
              <w:rPr>
                <w:rFonts w:ascii="Calibri" w:hAnsi="Calibri"/>
                <w:b/>
                <w:color w:val="FFFFFF"/>
                <w:sz w:val="19"/>
              </w:rPr>
              <w:t>Lien</w:t>
            </w:r>
          </w:p>
        </w:tc>
      </w:tr>
      <w:tr>
        <w:tc>
          <w:tcPr>
            <w:tcW w:type="dxa" w:w="850"/>
            <w:vAlign w:val="center"/>
          </w:tcPr>
          <w:p>
            <w:r/>
            <w:r>
              <w:rPr>
                <w:rFonts w:ascii="Calibri" w:hAnsi="Calibri"/>
                <w:b w:val="0"/>
                <w:sz w:val="19"/>
              </w:rPr>
              <w:t>R1</w:t>
            </w:r>
          </w:p>
        </w:tc>
        <w:tc>
          <w:tcPr>
            <w:tcW w:type="dxa" w:w="4819"/>
            <w:vAlign w:val="center"/>
          </w:tcPr>
          <w:p>
            <w:r/>
            <w:r>
              <w:rPr>
                <w:rFonts w:ascii="Calibri" w:hAnsi="Calibri"/>
                <w:b w:val="0"/>
                <w:sz w:val="19"/>
              </w:rPr>
              <w:t>Modèle d'architecture LikeC4 — architecture.c4, hardware.c4, functional.c4</w:t>
            </w:r>
          </w:p>
        </w:tc>
        <w:tc>
          <w:tcPr>
            <w:tcW w:type="dxa" w:w="1134"/>
            <w:vAlign w:val="center"/>
          </w:tcPr>
          <w:p>
            <w:r/>
            <w:r>
              <w:rPr>
                <w:rFonts w:ascii="Calibri" w:hAnsi="Calibri"/>
                <w:b w:val="0"/>
                <w:sz w:val="19"/>
              </w:rPr>
              <w:t>E04</w:t>
            </w:r>
          </w:p>
        </w:tc>
        <w:tc>
          <w:tcPr>
            <w:tcW w:type="dxa" w:w="2268"/>
            <w:vAlign w:val="center"/>
          </w:tcPr>
          <w:p>
            <w:r/>
            <w:r>
              <w:rPr>
                <w:rFonts w:ascii="Calibri" w:hAnsi="Calibri"/>
                <w:b w:val="0"/>
                <w:sz w:val="19"/>
              </w:rPr>
              <w:t>/home/hermesagent/workspace/swarmdrones_likec4</w:t>
            </w:r>
          </w:p>
        </w:tc>
      </w:tr>
      <w:tr>
        <w:tc>
          <w:tcPr>
            <w:tcW w:type="dxa" w:w="850"/>
            <w:vAlign w:val="center"/>
            <w:shd w:val="clear" w:color="auto" w:fill="F1F5F9"/>
          </w:tcPr>
          <w:p>
            <w:r/>
            <w:r>
              <w:rPr>
                <w:rFonts w:ascii="Calibri" w:hAnsi="Calibri"/>
                <w:b w:val="0"/>
                <w:sz w:val="19"/>
              </w:rPr>
              <w:t>R2</w:t>
            </w:r>
          </w:p>
        </w:tc>
        <w:tc>
          <w:tcPr>
            <w:tcW w:type="dxa" w:w="4819"/>
            <w:vAlign w:val="center"/>
            <w:shd w:val="clear" w:color="auto" w:fill="F1F5F9"/>
          </w:tcPr>
          <w:p>
            <w:r/>
            <w:r>
              <w:rPr>
                <w:rFonts w:ascii="Calibri" w:hAnsi="Calibri"/>
                <w:b w:val="0"/>
                <w:sz w:val="19"/>
              </w:rPr>
              <w:t>Moule premium — swarm_spec_template_v3 (swarm_spec_lib.py)</w:t>
            </w:r>
          </w:p>
        </w:tc>
        <w:tc>
          <w:tcPr>
            <w:tcW w:type="dxa" w:w="1134"/>
            <w:vAlign w:val="center"/>
            <w:shd w:val="clear" w:color="auto" w:fill="F1F5F9"/>
          </w:tcPr>
          <w:p>
            <w:r/>
            <w:r>
              <w:rPr>
                <w:rFonts w:ascii="Calibri" w:hAnsi="Calibri"/>
                <w:b w:val="0"/>
                <w:sz w:val="19"/>
              </w:rPr>
              <w:t>1.0</w:t>
            </w:r>
          </w:p>
        </w:tc>
        <w:tc>
          <w:tcPr>
            <w:tcW w:type="dxa" w:w="2268"/>
            <w:vAlign w:val="center"/>
            <w:shd w:val="clear" w:color="auto" w:fill="F1F5F9"/>
          </w:tcPr>
          <w:p>
            <w:r/>
            <w:r>
              <w:rPr>
                <w:rFonts w:ascii="Calibri" w:hAnsi="Calibri"/>
                <w:b w:val="0"/>
                <w:sz w:val="19"/>
              </w:rPr>
              <w:t>/home/hermesagent/workspace/swarm_spec_template_v3</w:t>
            </w:r>
          </w:p>
        </w:tc>
      </w:tr>
      <w:tr>
        <w:tc>
          <w:tcPr>
            <w:tcW w:type="dxa" w:w="850"/>
            <w:vAlign w:val="center"/>
          </w:tcPr>
          <w:p>
            <w:r/>
            <w:r>
              <w:rPr>
                <w:rFonts w:ascii="Calibri" w:hAnsi="Calibri"/>
                <w:b w:val="0"/>
                <w:sz w:val="19"/>
              </w:rPr>
              <w:t>R3</w:t>
            </w:r>
          </w:p>
        </w:tc>
        <w:tc>
          <w:tcPr>
            <w:tcW w:type="dxa" w:w="4819"/>
            <w:vAlign w:val="center"/>
          </w:tcPr>
          <w:p>
            <w:r/>
            <w:r>
              <w:rPr>
                <w:rFonts w:ascii="Calibri" w:hAnsi="Calibri"/>
                <w:b w:val="0"/>
                <w:sz w:val="19"/>
              </w:rPr>
              <w:t>Spécification système H-Zip v2.2 « Dream-Zip » (moule premium système)</w:t>
            </w:r>
          </w:p>
        </w:tc>
        <w:tc>
          <w:tcPr>
            <w:tcW w:type="dxa" w:w="1134"/>
            <w:vAlign w:val="center"/>
          </w:tcPr>
          <w:p>
            <w:r/>
            <w:r>
              <w:rPr>
                <w:rFonts w:ascii="Calibri" w:hAnsi="Calibri"/>
                <w:b w:val="0"/>
                <w:sz w:val="19"/>
              </w:rPr>
              <w:t>2.2</w:t>
            </w:r>
          </w:p>
        </w:tc>
        <w:tc>
          <w:tcPr>
            <w:tcW w:type="dxa" w:w="2268"/>
            <w:vAlign w:val="center"/>
          </w:tcPr>
          <w:p>
            <w:r/>
            <w:r>
              <w:rPr>
                <w:rFonts w:ascii="Calibri" w:hAnsi="Calibri"/>
                <w:b w:val="0"/>
                <w:sz w:val="19"/>
              </w:rPr>
              <w:t>public/H-Zip_v2.2_Specification_premium.docx</w:t>
            </w:r>
          </w:p>
        </w:tc>
      </w:tr>
      <w:tr>
        <w:tc>
          <w:tcPr>
            <w:tcW w:type="dxa" w:w="850"/>
            <w:vAlign w:val="center"/>
            <w:shd w:val="clear" w:color="auto" w:fill="F1F5F9"/>
          </w:tcPr>
          <w:p>
            <w:r/>
            <w:r>
              <w:rPr>
                <w:rFonts w:ascii="Calibri" w:hAnsi="Calibri"/>
                <w:b w:val="0"/>
                <w:sz w:val="19"/>
              </w:rPr>
              <w:t>R4</w:t>
            </w:r>
          </w:p>
        </w:tc>
        <w:tc>
          <w:tcPr>
            <w:tcW w:type="dxa" w:w="4819"/>
            <w:vAlign w:val="center"/>
            <w:shd w:val="clear" w:color="auto" w:fill="F1F5F9"/>
          </w:tcPr>
          <w:p>
            <w:r/>
            <w:r>
              <w:rPr>
                <w:rFonts w:ascii="Calibri" w:hAnsi="Calibri"/>
                <w:b w:val="0"/>
                <w:sz w:val="19"/>
              </w:rPr>
              <w:t>Référentiel scientifique SwarmDrone (corpus)</w:t>
            </w:r>
          </w:p>
        </w:tc>
        <w:tc>
          <w:tcPr>
            <w:tcW w:type="dxa" w:w="1134"/>
            <w:vAlign w:val="center"/>
            <w:shd w:val="clear" w:color="auto" w:fill="F1F5F9"/>
          </w:tcPr>
          <w:p>
            <w:r/>
            <w:r>
              <w:rPr>
                <w:rFonts w:ascii="Calibri" w:hAnsi="Calibri"/>
                <w:b w:val="0"/>
                <w:sz w:val="19"/>
              </w:rPr>
              <w:t>2026-10</w:t>
            </w:r>
          </w:p>
        </w:tc>
        <w:tc>
          <w:tcPr>
            <w:tcW w:type="dxa" w:w="2268"/>
            <w:vAlign w:val="center"/>
            <w:shd w:val="clear" w:color="auto" w:fill="F1F5F9"/>
          </w:tcPr>
          <w:p>
            <w:r/>
            <w:r>
              <w:rPr>
                <w:rFonts w:ascii="Calibri" w:hAnsi="Calibri"/>
                <w:b w:val="0"/>
                <w:sz w:val="19"/>
              </w:rPr>
              <w:t>/home/hermesagent/swarmdrone-research</w:t>
            </w:r>
          </w:p>
        </w:tc>
      </w:tr>
      <w:tr>
        <w:tc>
          <w:tcPr>
            <w:tcW w:type="dxa" w:w="850"/>
            <w:vAlign w:val="center"/>
          </w:tcPr>
          <w:p>
            <w:r/>
            <w:r>
              <w:rPr>
                <w:rFonts w:ascii="Calibri" w:hAnsi="Calibri"/>
                <w:b w:val="0"/>
                <w:sz w:val="19"/>
              </w:rPr>
              <w:t>R5</w:t>
            </w:r>
          </w:p>
        </w:tc>
        <w:tc>
          <w:tcPr>
            <w:tcW w:type="dxa" w:w="4819"/>
            <w:vAlign w:val="center"/>
          </w:tcPr>
          <w:p>
            <w:r/>
            <w:r>
              <w:rPr>
                <w:rFonts w:ascii="Calibri" w:hAnsi="Calibri"/>
                <w:b w:val="0"/>
                <w:sz w:val="19"/>
              </w:rPr>
              <w:t>Norme C4 (C4 model)</w:t>
            </w:r>
          </w:p>
        </w:tc>
        <w:tc>
          <w:tcPr>
            <w:tcW w:type="dxa" w:w="1134"/>
            <w:vAlign w:val="center"/>
          </w:tcPr>
          <w:p>
            <w:r/>
            <w:r>
              <w:rPr>
                <w:rFonts w:ascii="Calibri" w:hAnsi="Calibri"/>
                <w:b w:val="0"/>
                <w:sz w:val="19"/>
              </w:rPr>
              <w:t>—</w:t>
            </w:r>
          </w:p>
        </w:tc>
        <w:tc>
          <w:tcPr>
            <w:tcW w:type="dxa" w:w="2268"/>
            <w:vAlign w:val="center"/>
          </w:tcPr>
          <w:p>
            <w:r/>
            <w:r>
              <w:rPr>
                <w:rFonts w:ascii="Calibri" w:hAnsi="Calibri"/>
                <w:b w:val="0"/>
                <w:sz w:val="19"/>
              </w:rPr>
              <w:t>c4model.com</w:t>
            </w:r>
          </w:p>
        </w:tc>
      </w:tr>
    </w:tbl>
    <w:p>
      <w:pPr>
        <w:spacing w:after="40"/>
      </w:pPr>
    </w:p>
    <w:p>
      <w:r>
        <w:br w:type="page"/>
      </w:r>
    </w:p>
    <w:p>
      <w:pPr>
        <w:pStyle w:val="Heading1"/>
      </w:pPr>
      <w:r>
        <w:t>Table des matières</w:t>
      </w:r>
    </w:p>
    <w:p>
      <w:r>
        <w:fldChar w:fldCharType="begin"/>
        <w:instrText xml:space="preserve">TOC \o "1-3" \h \z \u</w:instrText>
        <w:fldChar w:fldCharType="separate"/>
        <w:r>
          <w:t>Cliquez ici puis F9 pour générer la table des matières.</w:t>
        </w:r>
        <w:fldChar w:fldCharType="end"/>
      </w:r>
    </w:p>
    <w:p/>
    <w:p>
      <w:pPr/>
      <w:r>
        <w:rPr>
          <w:b w:val="0"/>
          <w:i/>
          <w:color w:val="5A6B7A"/>
          <w:sz w:val="18"/>
        </w:rPr>
        <w:t>Note : dans Word, faites un clic droit sur la table puis « Mettre à jour les champs » (ou F9).</w:t>
      </w:r>
    </w:p>
    <w:p>
      <w:r>
        <w:br w:type="page"/>
      </w:r>
    </w:p>
    <w:p>
      <w:pPr>
        <w:pStyle w:val="Heading1"/>
      </w:pPr>
      <w:r>
        <w:t>1. Introduction</w:t>
      </w:r>
    </w:p>
    <w:p>
      <w:pPr>
        <w:pStyle w:val="Heading2"/>
      </w:pPr>
      <w:r>
        <w:t>1.1 Objet du document</w:t>
      </w:r>
    </w:p>
    <w:p>
      <w:pPr/>
      <w:r>
        <w:rPr>
          <w:b w:val="0"/>
          <w:i w:val="0"/>
        </w:rPr>
        <w:t>Le présent document spécifie de façon détaillée le composant COMP_SENSORS_HAL du modèle d'architecture LikeC4 swarmdrones, identifié `onboard.sensorsHAL` dans le modèle. Il s'agit de la couche d'abstraction matérielle (HAL) qui absorbe l'hétérogénéité des capteurs et actionneurs des 30 plateformes de l'essaim (18 multirotors UAV-R, 8 voilures fixes UAV-F, 4 véhicules de surface USV).</w:t>
      </w:r>
    </w:p>
    <w:p>
      <w:pPr/>
      <w:r>
        <w:rPr>
          <w:b w:val="0"/>
          <w:i w:val="0"/>
        </w:rPr>
        <w:t>Cette spécification suit le moule premium établi pour les spécifications déjà réalisées du projet : structure normalisée, formalisation rigoureuse, sources académiques primaires vérifiées, traçabilité explicite vers le modèle LikeC4.</w:t>
      </w:r>
    </w:p>
    <w:p>
      <w:pPr>
        <w:pStyle w:val="Heading2"/>
      </w:pPr>
      <w:r>
        <w:t>1.2 Périmètre</w:t>
      </w:r>
    </w:p>
    <w:p>
      <w:pPr/>
      <w:r>
        <w:rPr>
          <w:b w:val="0"/>
          <w:i w:val="0"/>
        </w:rPr>
        <w:t>Cette spécification couvre l'identité, l'interface, les états, le protocole, le comportement, les métriques et les critères de vérification de COMP_SENSORS_HAL. Elle ne couvre pas les algorithmes consommateurs (perception, estimation d'état, évitement) qui font l'objet de spécifications séparées, ni le format binaire des bus matériels, qui relève des documents constructeurs.</w:t>
      </w:r>
    </w:p>
    <w:p>
      <w:pPr/>
      <w:r>
        <w:rPr>
          <w:b w:val="0"/>
          <w:i w:val="0"/>
        </w:rPr>
        <w:t>Le composant est traité comme une frontière : tout ce qui entre et sort de la HAL est contractuel ; tout ce qui est en dessous (drivers, bus, horloges) est un détail d'implémentation, à l'exception des contraintes temporelles et de normalisation qui remontent au contrat.</w:t>
      </w:r>
    </w:p>
    <w:p>
      <w:pPr>
        <w:pStyle w:val="Heading2"/>
      </w:pPr>
      <w:r>
        <w:t>1.3 Résumé exécutif</w:t>
      </w:r>
    </w:p>
    <w:p>
      <w:pPr/>
      <w:r>
        <w:rPr>
          <w:b w:val="0"/>
          <w:i w:val="0"/>
        </w:rPr>
        <w:t>COMP_SENSORS_HAL est la couche d'abstraction matérielle du segment de bord. Elle reçoit sept flux d'entrée (radio, IMU, GNSS, odométrie, perception relative, capteur SAE, santé matérielle) et produit trois flux de sortie (perception, santé, autopilote). Sa fonction réalisée est FN_SENSOR_ACQUISITION, rattachée à la capacité CAP_PERCEIVE.</w:t>
      </w:r>
    </w:p>
    <w:p>
      <w:pPr/>
      <w:r>
        <w:rPr>
          <w:b w:val="0"/>
          <w:i w:val="0"/>
        </w:rPr>
        <w:t>Le composant est classé #safety-critical dans le modèle : toutes ses relations sortantes sont safety-critical ou mission-critical, sa fonction réalisée est safety-critical, et aucune redondance n'est déclarée. Cette criticité est le fait structurant de la spécification : elle impose des exigences de déterminisme, de bornage temporel et de traçabilité qui seraient absentes d'un composant best-effort.</w:t>
      </w:r>
    </w:p>
    <w:p>
      <w:pPr/>
      <w:r>
        <w:rPr>
          <w:b w:val="0"/>
          <w:i w:val="0"/>
        </w:rPr>
        <w:t>Le risque principal identifié est l'absence d'ontologie commune : frames et unités hétérogènes non normalisées produisent des erreurs silencieuses de facteur d'échelle ou de repère (angle mort AM-11, gravité majeure). La littérature récente confirme que ce risque est réel et mesurable : la désynchronisation temporelle dégrade la fusion d'état de façon quantifiable, et la calibration extrinsèque est une source d'erreur systématique documentée.</w:t>
      </w:r>
    </w:p>
    <w:p>
      <w:pPr>
        <w:pStyle w:val="Heading2"/>
      </w:pPr>
      <w:r>
        <w:t>1.4 Principes de rédaction</w:t>
      </w:r>
    </w:p>
    <w:p>
      <w:pPr>
        <w:pStyle w:val="ListBullet"/>
      </w:pPr>
      <w:r>
        <w:rPr>
          <w:b w:val="0"/>
          <w:i w:val="0"/>
        </w:rPr>
        <w:t>Toute affirmation scientifique est reliée à une source primaire (DOI/arXiv) vérifiée.</w:t>
      </w:r>
    </w:p>
    <w:p>
      <w:pPr>
        <w:pStyle w:val="ListBullet"/>
      </w:pPr>
      <w:r>
        <w:rPr>
          <w:b w:val="0"/>
          <w:i w:val="0"/>
        </w:rPr>
        <w:t>Les hypothèses sont explicitées et leurs limites signalées.</w:t>
      </w:r>
    </w:p>
    <w:p>
      <w:pPr>
        <w:pStyle w:val="ListBullet"/>
      </w:pPr>
      <w:r>
        <w:rPr>
          <w:b w:val="0"/>
          <w:i w:val="0"/>
        </w:rPr>
        <w:t>La traçabilité vers le modèle LikeC4 (identifiants, relations, métadonnées) est maintenue.</w:t>
      </w:r>
    </w:p>
    <w:p>
      <w:pPr>
        <w:pStyle w:val="ListBullet"/>
      </w:pPr>
      <w:r>
        <w:rPr>
          <w:b w:val="0"/>
          <w:i w:val="0"/>
        </w:rPr>
        <w:t>Les critères d'acceptation sont mesurables et objectifs.</w:t>
      </w:r>
    </w:p>
    <w:p>
      <w:pPr>
        <w:pStyle w:val="ListBullet"/>
      </w:pPr>
      <w:r>
        <w:rPr>
          <w:b w:val="0"/>
          <w:i w:val="0"/>
        </w:rPr>
        <w:t>Chaque seuil ou valeur numérique est étiqueté : LITTERATURE, CALCUL, HYPOTHESE ou A VALIDER.</w:t>
      </w:r>
    </w:p>
    <w:p>
      <w:pPr>
        <w:pStyle w:val="ListBullet"/>
      </w:pPr>
      <w:r>
        <w:rPr>
          <w:b w:val="0"/>
          <w:i w:val="0"/>
        </w:rPr>
        <w:t>Aucune valeur n'est inventée : les valeurs absentes du modèle sont marquées [À DÉFINIR].</w:t>
      </w:r>
    </w:p>
    <w:p>
      <w:r>
        <w:br w:type="page"/>
      </w:r>
    </w:p>
    <w:p>
      <w:pPr>
        <w:pStyle w:val="Heading1"/>
      </w:pPr>
      <w:r>
        <w:t>2. Contexte du composant</w:t>
      </w:r>
    </w:p>
    <w:p>
      <w:pPr>
        <w:pStyle w:val="Heading2"/>
      </w:pPr>
      <w:r>
        <w:t>2.1 Place dans l'architecture de l'essaim</w:t>
      </w:r>
    </w:p>
    <w:p>
      <w:pPr/>
      <w:r>
        <w:rPr>
          <w:b w:val="0"/>
          <w:i w:val="0"/>
        </w:rPr>
        <w:t>COMP_SENSORS_HAL est un composant du conteneur `onboard`, instancié sur les 30 plateformes. Il s'exécute sur le calculateur de bord `companion` (HW_COMPANION, SoC ARM64 Linux), via la relation `runsOn`. Il se situe en amont de la chaîne de perception : les capteurs matériels alimentent la HAL, qui normalise et expose les mesures aux algorithmes de perception, d'estimation d'état et de contrôle.</w:t>
      </w:r>
    </w:p>
    <w:p>
      <w:pPr/>
      <w:r>
        <w:rPr>
          <w:b w:val="0"/>
          <w:i w:val="0"/>
        </w:rPr>
        <w:t>La HAL est le point de passage obligé entre le monde physique et le monde logiciel. Aucun algorithme ne lit un capteur directement : le principe déclaré est « abstraction obligatoire (HARDWARE) ». Cette contrainte est ce qui rend le portage possible entre plateformes hétérogènes (multirotor, voilure fixe, surface).</w:t>
      </w:r>
    </w:p>
    <w:p>
      <w:pPr>
        <w:pStyle w:val="Heading2"/>
      </w:pPr>
      <w:r>
        <w:t>2.2 Position dans le pipeline de données</w:t>
      </w:r>
    </w:p>
    <w:p>
      <w:pPr/>
      <w:r>
        <w:rPr>
          <w:b w:val="0"/>
          <w:i w:val="0"/>
        </w:rPr>
        <w:t>Le flux est le suivant :</w:t>
      </w:r>
    </w:p>
    <w:p>
      <w:pPr>
        <w:pStyle w:val="ListBullet"/>
      </w:pPr>
      <w:r>
        <w:rPr>
          <w:b w:val="0"/>
          <w:i w:val="0"/>
        </w:rPr>
        <w:t>Capteurs physiques (IMU, GNSS, odométrie, perception relative, SAE, santé) → HAL</w:t>
      </w:r>
    </w:p>
    <w:p>
      <w:pPr>
        <w:pStyle w:val="ListBullet"/>
      </w:pPr>
      <w:r>
        <w:rPr>
          <w:b w:val="0"/>
          <w:i w:val="0"/>
        </w:rPr>
        <w:t>Radio (GNSS, liaisons physiques) → HAL</w:t>
      </w:r>
    </w:p>
    <w:p>
      <w:pPr>
        <w:pStyle w:val="ListBullet"/>
      </w:pPr>
      <w:r>
        <w:rPr>
          <w:b w:val="0"/>
          <w:i w:val="0"/>
        </w:rPr>
        <w:t>HAL → Perception et localisation (flux capteurs, 10-60 Hz, safety-critical)</w:t>
      </w:r>
    </w:p>
    <w:p>
      <w:pPr>
        <w:pStyle w:val="ListBullet"/>
      </w:pPr>
      <w:r>
        <w:rPr>
          <w:b w:val="0"/>
          <w:i w:val="0"/>
        </w:rPr>
        <w:t>HAL → Santé (santé capteurs, mission-critical)</w:t>
      </w:r>
    </w:p>
    <w:p>
      <w:pPr>
        <w:pStyle w:val="ListBullet"/>
      </w:pPr>
      <w:r>
        <w:rPr>
          <w:b w:val="0"/>
          <w:i w:val="0"/>
        </w:rPr>
        <w:t>HAL → Autopilote (état navigation, safety-critical)</w:t>
      </w:r>
    </w:p>
    <w:p>
      <w:pPr>
        <w:pStyle w:val="Heading2"/>
      </w:pPr>
      <w:r>
        <w:t>2.3 Problème résolu</w:t>
      </w:r>
    </w:p>
    <w:p>
      <w:pPr/>
      <w:r>
        <w:rPr>
          <w:b w:val="0"/>
          <w:i w:val="0"/>
        </w:rPr>
        <w:t>Sans HAL, chaque algorithme devrait connaître les spécificités matérielles de chaque plateforme : bus, cadence, format, unités, repères. Le coût de portage croîtrait linéairement avec le nombre de couples (algorithme × plateforme). La HAL ramène ce coût à un contrat unique, au prix d'une exigence forte : la normalisation doit être complète et sans perte d'information.</w:t>
      </w:r>
    </w:p>
    <w:p>
      <w:pPr>
        <w:pStyle w:val="Heading2"/>
      </w:pPr>
      <w:r>
        <w:t>2.4 Alternatives et variantes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814"/>
            <w:vAlign w:val="center"/>
            <w:shd w:val="clear" w:color="auto" w:fill="16283F"/>
          </w:tcPr>
          <w:p>
            <w:pPr>
              <w:jc w:val="center"/>
            </w:pPr>
            <w:r/>
            <w:r>
              <w:rPr>
                <w:rFonts w:ascii="Calibri" w:hAnsi="Calibri"/>
                <w:b/>
                <w:color w:val="FFFFFF"/>
                <w:sz w:val="19"/>
              </w:rPr>
              <w:t>Approche</w:t>
            </w:r>
          </w:p>
        </w:tc>
        <w:tc>
          <w:tcPr>
            <w:tcW w:type="dxa" w:w="2608"/>
            <w:vAlign w:val="center"/>
            <w:shd w:val="clear" w:color="auto" w:fill="16283F"/>
          </w:tcPr>
          <w:p>
            <w:pPr>
              <w:jc w:val="center"/>
            </w:pPr>
            <w:r/>
            <w:r>
              <w:rPr>
                <w:rFonts w:ascii="Calibri" w:hAnsi="Calibri"/>
                <w:b/>
                <w:color w:val="FFFFFF"/>
                <w:sz w:val="19"/>
              </w:rPr>
              <w:t>Principe</w:t>
            </w:r>
          </w:p>
        </w:tc>
        <w:tc>
          <w:tcPr>
            <w:tcW w:type="dxa" w:w="2154"/>
            <w:vAlign w:val="center"/>
            <w:shd w:val="clear" w:color="auto" w:fill="16283F"/>
          </w:tcPr>
          <w:p>
            <w:pPr>
              <w:jc w:val="center"/>
            </w:pPr>
            <w:r/>
            <w:r>
              <w:rPr>
                <w:rFonts w:ascii="Calibri" w:hAnsi="Calibri"/>
                <w:b/>
                <w:color w:val="FFFFFF"/>
                <w:sz w:val="19"/>
              </w:rPr>
              <w:t>Avantage</w:t>
            </w:r>
          </w:p>
        </w:tc>
        <w:tc>
          <w:tcPr>
            <w:tcW w:type="dxa" w:w="2494"/>
            <w:vAlign w:val="center"/>
            <w:shd w:val="clear" w:color="auto" w:fill="16283F"/>
          </w:tcPr>
          <w:p>
            <w:pPr>
              <w:jc w:val="center"/>
            </w:pPr>
            <w:r/>
            <w:r>
              <w:rPr>
                <w:rFonts w:ascii="Calibri" w:hAnsi="Calibri"/>
                <w:b/>
                <w:color w:val="FFFFFF"/>
                <w:sz w:val="19"/>
              </w:rPr>
              <w:t>Limite</w:t>
            </w:r>
          </w:p>
        </w:tc>
      </w:tr>
      <w:tr>
        <w:tc>
          <w:tcPr>
            <w:tcW w:type="dxa" w:w="1814"/>
            <w:vAlign w:val="center"/>
          </w:tcPr>
          <w:p>
            <w:r/>
            <w:r>
              <w:rPr>
                <w:rFonts w:ascii="Calibri" w:hAnsi="Calibri"/>
                <w:b w:val="0"/>
                <w:sz w:val="19"/>
              </w:rPr>
              <w:t>Accès direct capteurs</w:t>
            </w:r>
          </w:p>
        </w:tc>
        <w:tc>
          <w:tcPr>
            <w:tcW w:type="dxa" w:w="2608"/>
            <w:vAlign w:val="center"/>
          </w:tcPr>
          <w:p>
            <w:r/>
            <w:r>
              <w:rPr>
                <w:rFonts w:ascii="Calibri" w:hAnsi="Calibri"/>
                <w:b w:val="0"/>
                <w:sz w:val="19"/>
              </w:rPr>
              <w:t>Chaque algorithme lit son capteur</w:t>
            </w:r>
          </w:p>
        </w:tc>
        <w:tc>
          <w:tcPr>
            <w:tcW w:type="dxa" w:w="2154"/>
            <w:vAlign w:val="center"/>
          </w:tcPr>
          <w:p>
            <w:r/>
            <w:r>
              <w:rPr>
                <w:rFonts w:ascii="Calibri" w:hAnsi="Calibri"/>
                <w:b w:val="0"/>
                <w:sz w:val="19"/>
              </w:rPr>
              <w:t>Latence minimale</w:t>
            </w:r>
          </w:p>
        </w:tc>
        <w:tc>
          <w:tcPr>
            <w:tcW w:type="dxa" w:w="2494"/>
            <w:vAlign w:val="center"/>
          </w:tcPr>
          <w:p>
            <w:r/>
            <w:r>
              <w:rPr>
                <w:rFonts w:ascii="Calibri" w:hAnsi="Calibri"/>
                <w:b w:val="0"/>
                <w:sz w:val="19"/>
              </w:rPr>
              <w:t>Coût de portage O(algorithmes × plateformes) ; pas de normalisation</w:t>
            </w:r>
          </w:p>
        </w:tc>
      </w:tr>
      <w:tr>
        <w:tc>
          <w:tcPr>
            <w:tcW w:type="dxa" w:w="1814"/>
            <w:vAlign w:val="center"/>
            <w:shd w:val="clear" w:color="auto" w:fill="F1F5F9"/>
          </w:tcPr>
          <w:p>
            <w:r/>
            <w:r>
              <w:rPr>
                <w:rFonts w:ascii="Calibri" w:hAnsi="Calibri"/>
                <w:b w:val="0"/>
                <w:sz w:val="19"/>
              </w:rPr>
              <w:t>HAL fine (retenue)</w:t>
            </w:r>
          </w:p>
        </w:tc>
        <w:tc>
          <w:tcPr>
            <w:tcW w:type="dxa" w:w="2608"/>
            <w:vAlign w:val="center"/>
            <w:shd w:val="clear" w:color="auto" w:fill="F1F5F9"/>
          </w:tcPr>
          <w:p>
            <w:r/>
            <w:r>
              <w:rPr>
                <w:rFonts w:ascii="Calibri" w:hAnsi="Calibri"/>
                <w:b w:val="0"/>
                <w:sz w:val="19"/>
              </w:rPr>
              <w:t>Abstraction + normalisation, drivers bas niveau</w:t>
            </w:r>
          </w:p>
        </w:tc>
        <w:tc>
          <w:tcPr>
            <w:tcW w:type="dxa" w:w="2154"/>
            <w:vAlign w:val="center"/>
            <w:shd w:val="clear" w:color="auto" w:fill="F1F5F9"/>
          </w:tcPr>
          <w:p>
            <w:r/>
            <w:r>
              <w:rPr>
                <w:rFonts w:ascii="Calibri" w:hAnsi="Calibri"/>
                <w:b w:val="0"/>
                <w:sz w:val="19"/>
              </w:rPr>
              <w:t>Contrat unique ; portabilité ; testabilité</w:t>
            </w:r>
          </w:p>
        </w:tc>
        <w:tc>
          <w:tcPr>
            <w:tcW w:type="dxa" w:w="2494"/>
            <w:vAlign w:val="center"/>
            <w:shd w:val="clear" w:color="auto" w:fill="F1F5F9"/>
          </w:tcPr>
          <w:p>
            <w:r/>
            <w:r>
              <w:rPr>
                <w:rFonts w:ascii="Calibri" w:hAnsi="Calibri"/>
                <w:b w:val="0"/>
                <w:sz w:val="19"/>
              </w:rPr>
              <w:t>Point de défaillance unique ; exigence de déterminisme</w:t>
            </w:r>
          </w:p>
        </w:tc>
      </w:tr>
      <w:tr>
        <w:tc>
          <w:tcPr>
            <w:tcW w:type="dxa" w:w="1814"/>
            <w:vAlign w:val="center"/>
          </w:tcPr>
          <w:p>
            <w:r/>
            <w:r>
              <w:rPr>
                <w:rFonts w:ascii="Calibri" w:hAnsi="Calibri"/>
                <w:b w:val="0"/>
                <w:sz w:val="19"/>
              </w:rPr>
              <w:t>Middleware complet</w:t>
            </w:r>
          </w:p>
        </w:tc>
        <w:tc>
          <w:tcPr>
            <w:tcW w:type="dxa" w:w="2608"/>
            <w:vAlign w:val="center"/>
          </w:tcPr>
          <w:p>
            <w:r/>
            <w:r>
              <w:rPr>
                <w:rFonts w:ascii="Calibri" w:hAnsi="Calibri"/>
                <w:b w:val="0"/>
                <w:sz w:val="19"/>
              </w:rPr>
              <w:t>HAL + transport + découverte de services</w:t>
            </w:r>
          </w:p>
        </w:tc>
        <w:tc>
          <w:tcPr>
            <w:tcW w:type="dxa" w:w="2154"/>
            <w:vAlign w:val="center"/>
          </w:tcPr>
          <w:p>
            <w:r/>
            <w:r>
              <w:rPr>
                <w:rFonts w:ascii="Calibri" w:hAnsi="Calibri"/>
                <w:b w:val="0"/>
                <w:sz w:val="19"/>
              </w:rPr>
              <w:t>Fonctions étendues</w:t>
            </w:r>
          </w:p>
        </w:tc>
        <w:tc>
          <w:tcPr>
            <w:tcW w:type="dxa" w:w="2494"/>
            <w:vAlign w:val="center"/>
          </w:tcPr>
          <w:p>
            <w:r/>
            <w:r>
              <w:rPr>
                <w:rFonts w:ascii="Calibri" w:hAnsi="Calibri"/>
                <w:b w:val="0"/>
                <w:sz w:val="19"/>
              </w:rPr>
              <w:t>Complexité ; couplage fort ; surdimensionné pour le bord</w:t>
            </w:r>
          </w:p>
        </w:tc>
      </w:tr>
      <w:tr>
        <w:tc>
          <w:tcPr>
            <w:tcW w:type="dxa" w:w="1814"/>
            <w:vAlign w:val="center"/>
            <w:shd w:val="clear" w:color="auto" w:fill="F1F5F9"/>
          </w:tcPr>
          <w:p>
            <w:r/>
            <w:r>
              <w:rPr>
                <w:rFonts w:ascii="Calibri" w:hAnsi="Calibri"/>
                <w:b w:val="0"/>
                <w:sz w:val="19"/>
              </w:rPr>
              <w:t>Couche de simulation</w:t>
            </w:r>
          </w:p>
        </w:tc>
        <w:tc>
          <w:tcPr>
            <w:tcW w:type="dxa" w:w="2608"/>
            <w:vAlign w:val="center"/>
            <w:shd w:val="clear" w:color="auto" w:fill="F1F5F9"/>
          </w:tcPr>
          <w:p>
            <w:r/>
            <w:r>
              <w:rPr>
                <w:rFonts w:ascii="Calibri" w:hAnsi="Calibri"/>
                <w:b w:val="0"/>
                <w:sz w:val="19"/>
              </w:rPr>
              <w:t>HAL interchangeable réel/simulé</w:t>
            </w:r>
          </w:p>
        </w:tc>
        <w:tc>
          <w:tcPr>
            <w:tcW w:type="dxa" w:w="2154"/>
            <w:vAlign w:val="center"/>
            <w:shd w:val="clear" w:color="auto" w:fill="F1F5F9"/>
          </w:tcPr>
          <w:p>
            <w:r/>
            <w:r>
              <w:rPr>
                <w:rFonts w:ascii="Calibri" w:hAnsi="Calibri"/>
                <w:b w:val="0"/>
                <w:sz w:val="19"/>
              </w:rPr>
              <w:t>Test sans matériel</w:t>
            </w:r>
          </w:p>
        </w:tc>
        <w:tc>
          <w:tcPr>
            <w:tcW w:type="dxa" w:w="2494"/>
            <w:vAlign w:val="center"/>
            <w:shd w:val="clear" w:color="auto" w:fill="F1F5F9"/>
          </w:tcPr>
          <w:p>
            <w:r/>
            <w:r>
              <w:rPr>
                <w:rFonts w:ascii="Calibri" w:hAnsi="Calibri"/>
                <w:b w:val="0"/>
                <w:sz w:val="19"/>
              </w:rPr>
              <w:t>Risque de divergence réel/simulé si non contractuel</w:t>
            </w:r>
          </w:p>
        </w:tc>
      </w:tr>
    </w:tbl>
    <w:p>
      <w:pPr>
        <w:spacing w:after="40"/>
      </w:pPr>
    </w:p>
    <w:p>
      <w:pPr/>
      <w:r>
        <w:rPr>
          <w:b w:val="0"/>
          <w:i/>
          <w:color w:val="5A6B7A"/>
          <w:sz w:val="20"/>
        </w:rPr>
        <w:t>Le modèle retient la HAL fine. Deux implémentations sont déclarées : MicroXRCEDDS (primaire, Apache-2.0, avec réserve explicite « not ready for production use ») et MAVLinkMAVSDK (secondaire, MIT/BSD-3). La coexistence de deux implémentations est elle-même une exigence de portabilité : le contrat doit être indépendant du transport.</w:t>
      </w:r>
    </w:p>
    <w:p>
      <w:r>
        <w:br w:type="page"/>
      </w:r>
    </w:p>
    <w:p>
      <w:pPr>
        <w:pStyle w:val="Heading1"/>
      </w:pPr>
      <w:r>
        <w:t>3. Méthodologie de spécification</w:t>
      </w:r>
    </w:p>
    <w:p>
      <w:pPr>
        <w:pStyle w:val="Heading2"/>
      </w:pPr>
      <w:r>
        <w:t>3.1 Structure normalisée</w:t>
      </w:r>
    </w:p>
    <w:p>
      <w:pPr/>
      <w:r>
        <w:rPr>
          <w:b w:val="0"/>
          <w:i w:val="0"/>
        </w:rPr>
        <w:t>Le document suit le moule premium du projet : page de garde, contrôle du document, table des matières, puis sept blocs — Identité, Interface, États, Protocole, Comportement, Métriques, Vérification — et les annexes (glossaire, références, traçabilité LikeC4, limites).</w:t>
      </w:r>
    </w:p>
    <w:p>
      <w:pPr>
        <w:pStyle w:val="Heading2"/>
      </w:pPr>
      <w:r>
        <w:t>3.2 Méthode de recherche (loop engineering)</w:t>
      </w:r>
    </w:p>
    <w:p>
      <w:pPr/>
      <w:r>
        <w:rPr>
          <w:b w:val="0"/>
          <w:i w:val="0"/>
        </w:rPr>
        <w:t>La spécification a été produite par la méthode loop engineering, en six passes explicites. Chaque passe est traçable :</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474"/>
            <w:vAlign w:val="center"/>
            <w:shd w:val="clear" w:color="auto" w:fill="16283F"/>
          </w:tcPr>
          <w:p>
            <w:pPr>
              <w:jc w:val="center"/>
            </w:pPr>
            <w:r/>
            <w:r>
              <w:rPr>
                <w:rFonts w:ascii="Calibri" w:hAnsi="Calibri"/>
                <w:b/>
                <w:color w:val="FFFFFF"/>
                <w:sz w:val="19"/>
              </w:rPr>
              <w:t>Passe</w:t>
            </w:r>
          </w:p>
        </w:tc>
        <w:tc>
          <w:tcPr>
            <w:tcW w:type="dxa" w:w="3628"/>
            <w:vAlign w:val="center"/>
            <w:shd w:val="clear" w:color="auto" w:fill="16283F"/>
          </w:tcPr>
          <w:p>
            <w:pPr>
              <w:jc w:val="center"/>
            </w:pPr>
            <w:r/>
            <w:r>
              <w:rPr>
                <w:rFonts w:ascii="Calibri" w:hAnsi="Calibri"/>
                <w:b/>
                <w:color w:val="FFFFFF"/>
                <w:sz w:val="19"/>
              </w:rPr>
              <w:t>Objet</w:t>
            </w:r>
          </w:p>
        </w:tc>
        <w:tc>
          <w:tcPr>
            <w:tcW w:type="dxa" w:w="3969"/>
            <w:vAlign w:val="center"/>
            <w:shd w:val="clear" w:color="auto" w:fill="16283F"/>
          </w:tcPr>
          <w:p>
            <w:pPr>
              <w:jc w:val="center"/>
            </w:pPr>
            <w:r/>
            <w:r>
              <w:rPr>
                <w:rFonts w:ascii="Calibri" w:hAnsi="Calibri"/>
                <w:b/>
                <w:color w:val="FFFFFF"/>
                <w:sz w:val="19"/>
              </w:rPr>
              <w:t>Résultat</w:t>
            </w:r>
          </w:p>
        </w:tc>
      </w:tr>
      <w:tr>
        <w:tc>
          <w:tcPr>
            <w:tcW w:type="dxa" w:w="1474"/>
            <w:vAlign w:val="center"/>
          </w:tcPr>
          <w:p>
            <w:r/>
            <w:r>
              <w:rPr>
                <w:rFonts w:ascii="Calibri" w:hAnsi="Calibri"/>
                <w:b w:val="0"/>
                <w:sz w:val="19"/>
              </w:rPr>
              <w:t>1. Diverger</w:t>
            </w:r>
          </w:p>
        </w:tc>
        <w:tc>
          <w:tcPr>
            <w:tcW w:type="dxa" w:w="3628"/>
            <w:vAlign w:val="center"/>
          </w:tcPr>
          <w:p>
            <w:r/>
            <w:r>
              <w:rPr>
                <w:rFonts w:ascii="Calibri" w:hAnsi="Calibri"/>
                <w:b w:val="0"/>
                <w:sz w:val="19"/>
              </w:rPr>
              <w:t>Explorer les approches de HAL et les sources possibles</w:t>
            </w:r>
          </w:p>
        </w:tc>
        <w:tc>
          <w:tcPr>
            <w:tcW w:type="dxa" w:w="3969"/>
            <w:vAlign w:val="center"/>
          </w:tcPr>
          <w:p>
            <w:r/>
            <w:r>
              <w:rPr>
                <w:rFonts w:ascii="Calibri" w:hAnsi="Calibri"/>
                <w:b w:val="0"/>
                <w:sz w:val="19"/>
              </w:rPr>
              <w:t>4 approches comparées (§2.4) ; 15 requêtes arXiv ; 49 articles uniques</w:t>
            </w:r>
          </w:p>
        </w:tc>
      </w:tr>
      <w:tr>
        <w:tc>
          <w:tcPr>
            <w:tcW w:type="dxa" w:w="1474"/>
            <w:vAlign w:val="center"/>
            <w:shd w:val="clear" w:color="auto" w:fill="F1F5F9"/>
          </w:tcPr>
          <w:p>
            <w:r/>
            <w:r>
              <w:rPr>
                <w:rFonts w:ascii="Calibri" w:hAnsi="Calibri"/>
                <w:b w:val="0"/>
                <w:sz w:val="19"/>
              </w:rPr>
              <w:t>2. Converger</w:t>
            </w:r>
          </w:p>
        </w:tc>
        <w:tc>
          <w:tcPr>
            <w:tcW w:type="dxa" w:w="3628"/>
            <w:vAlign w:val="center"/>
            <w:shd w:val="clear" w:color="auto" w:fill="F1F5F9"/>
          </w:tcPr>
          <w:p>
            <w:r/>
            <w:r>
              <w:rPr>
                <w:rFonts w:ascii="Calibri" w:hAnsi="Calibri"/>
                <w:b w:val="0"/>
                <w:sz w:val="19"/>
              </w:rPr>
              <w:t>Sélectionner les sources pertinentes et vérifiables</w:t>
            </w:r>
          </w:p>
        </w:tc>
        <w:tc>
          <w:tcPr>
            <w:tcW w:type="dxa" w:w="3969"/>
            <w:vAlign w:val="center"/>
            <w:shd w:val="clear" w:color="auto" w:fill="F1F5F9"/>
          </w:tcPr>
          <w:p>
            <w:r/>
            <w:r>
              <w:rPr>
                <w:rFonts w:ascii="Calibri" w:hAnsi="Calibri"/>
                <w:b w:val="0"/>
                <w:sz w:val="19"/>
              </w:rPr>
              <w:t>14 sources retenues, toutes avec DOI ou arXiv</w:t>
            </w:r>
          </w:p>
        </w:tc>
      </w:tr>
      <w:tr>
        <w:tc>
          <w:tcPr>
            <w:tcW w:type="dxa" w:w="1474"/>
            <w:vAlign w:val="center"/>
          </w:tcPr>
          <w:p>
            <w:r/>
            <w:r>
              <w:rPr>
                <w:rFonts w:ascii="Calibri" w:hAnsi="Calibri"/>
                <w:b w:val="0"/>
                <w:sz w:val="19"/>
              </w:rPr>
              <w:t>3. Attaquer</w:t>
            </w:r>
          </w:p>
        </w:tc>
        <w:tc>
          <w:tcPr>
            <w:tcW w:type="dxa" w:w="3628"/>
            <w:vAlign w:val="center"/>
          </w:tcPr>
          <w:p>
            <w:r/>
            <w:r>
              <w:rPr>
                <w:rFonts w:ascii="Calibri" w:hAnsi="Calibri"/>
                <w:b w:val="0"/>
                <w:sz w:val="19"/>
              </w:rPr>
              <w:t>Rechercher erreurs, dépendances, angles morts</w:t>
            </w:r>
          </w:p>
        </w:tc>
        <w:tc>
          <w:tcPr>
            <w:tcW w:type="dxa" w:w="3969"/>
            <w:vAlign w:val="center"/>
          </w:tcPr>
          <w:p>
            <w:r/>
            <w:r>
              <w:rPr>
                <w:rFonts w:ascii="Calibri" w:hAnsi="Calibri"/>
                <w:b w:val="0"/>
                <w:sz w:val="19"/>
              </w:rPr>
              <w:t>Constat : le corpus local ne contient aucun article sur les HAL (0 occurrence)</w:t>
            </w:r>
          </w:p>
        </w:tc>
      </w:tr>
      <w:tr>
        <w:tc>
          <w:tcPr>
            <w:tcW w:type="dxa" w:w="1474"/>
            <w:vAlign w:val="center"/>
            <w:shd w:val="clear" w:color="auto" w:fill="F1F5F9"/>
          </w:tcPr>
          <w:p>
            <w:r/>
            <w:r>
              <w:rPr>
                <w:rFonts w:ascii="Calibri" w:hAnsi="Calibri"/>
                <w:b w:val="0"/>
                <w:sz w:val="19"/>
              </w:rPr>
              <w:t>4. Corriger</w:t>
            </w:r>
          </w:p>
        </w:tc>
        <w:tc>
          <w:tcPr>
            <w:tcW w:type="dxa" w:w="3628"/>
            <w:vAlign w:val="center"/>
            <w:shd w:val="clear" w:color="auto" w:fill="F1F5F9"/>
          </w:tcPr>
          <w:p>
            <w:r/>
            <w:r>
              <w:rPr>
                <w:rFonts w:ascii="Calibri" w:hAnsi="Calibri"/>
                <w:b w:val="0"/>
                <w:sz w:val="19"/>
              </w:rPr>
              <w:t>Combler le déficit par recherche externe</w:t>
            </w:r>
          </w:p>
        </w:tc>
        <w:tc>
          <w:tcPr>
            <w:tcW w:type="dxa" w:w="3969"/>
            <w:vAlign w:val="center"/>
            <w:shd w:val="clear" w:color="auto" w:fill="F1F5F9"/>
          </w:tcPr>
          <w:p>
            <w:r/>
            <w:r>
              <w:rPr>
                <w:rFonts w:ascii="Calibri" w:hAnsi="Calibri"/>
                <w:b w:val="0"/>
                <w:sz w:val="19"/>
              </w:rPr>
              <w:t>Recherche arXiv directe ; 15 articles 2021-2026 retenus</w:t>
            </w:r>
          </w:p>
        </w:tc>
      </w:tr>
      <w:tr>
        <w:tc>
          <w:tcPr>
            <w:tcW w:type="dxa" w:w="1474"/>
            <w:vAlign w:val="center"/>
          </w:tcPr>
          <w:p>
            <w:r/>
            <w:r>
              <w:rPr>
                <w:rFonts w:ascii="Calibri" w:hAnsi="Calibri"/>
                <w:b w:val="0"/>
                <w:sz w:val="19"/>
              </w:rPr>
              <w:t>5. Industrialiser</w:t>
            </w:r>
          </w:p>
        </w:tc>
        <w:tc>
          <w:tcPr>
            <w:tcW w:type="dxa" w:w="3628"/>
            <w:vAlign w:val="center"/>
          </w:tcPr>
          <w:p>
            <w:r/>
            <w:r>
              <w:rPr>
                <w:rFonts w:ascii="Calibri" w:hAnsi="Calibri"/>
                <w:b w:val="0"/>
                <w:sz w:val="19"/>
              </w:rPr>
              <w:t>Produire l'artefact exécutable et vérifiable</w:t>
            </w:r>
          </w:p>
        </w:tc>
        <w:tc>
          <w:tcPr>
            <w:tcW w:type="dxa" w:w="3969"/>
            <w:vAlign w:val="center"/>
          </w:tcPr>
          <w:p>
            <w:r/>
            <w:r>
              <w:rPr>
                <w:rFonts w:ascii="Calibri" w:hAnsi="Calibri"/>
                <w:b w:val="0"/>
                <w:sz w:val="19"/>
              </w:rPr>
              <w:t>Générateur Python + DOCX + PDF + traçabilité LikeC4</w:t>
            </w:r>
          </w:p>
        </w:tc>
      </w:tr>
      <w:tr>
        <w:tc>
          <w:tcPr>
            <w:tcW w:type="dxa" w:w="1474"/>
            <w:vAlign w:val="center"/>
            <w:shd w:val="clear" w:color="auto" w:fill="F1F5F9"/>
          </w:tcPr>
          <w:p>
            <w:r/>
            <w:r>
              <w:rPr>
                <w:rFonts w:ascii="Calibri" w:hAnsi="Calibri"/>
                <w:b w:val="0"/>
                <w:sz w:val="19"/>
              </w:rPr>
              <w:t>6. Vérifier</w:t>
            </w:r>
          </w:p>
        </w:tc>
        <w:tc>
          <w:tcPr>
            <w:tcW w:type="dxa" w:w="3628"/>
            <w:vAlign w:val="center"/>
            <w:shd w:val="clear" w:color="auto" w:fill="F1F5F9"/>
          </w:tcPr>
          <w:p>
            <w:r/>
            <w:r>
              <w:rPr>
                <w:rFonts w:ascii="Calibri" w:hAnsi="Calibri"/>
                <w:b w:val="0"/>
                <w:sz w:val="19"/>
              </w:rPr>
              <w:t>Confronter le résultat à des preuves observables</w:t>
            </w:r>
          </w:p>
        </w:tc>
        <w:tc>
          <w:tcPr>
            <w:tcW w:type="dxa" w:w="3969"/>
            <w:vAlign w:val="center"/>
            <w:shd w:val="clear" w:color="auto" w:fill="F1F5F9"/>
          </w:tcPr>
          <w:p>
            <w:r/>
            <w:r>
              <w:rPr>
                <w:rFonts w:ascii="Calibri" w:hAnsi="Calibri"/>
                <w:b w:val="0"/>
                <w:sz w:val="19"/>
              </w:rPr>
              <w:t>Validation structurelle, cohérence des faits, résolution des DOI</w:t>
            </w:r>
          </w:p>
        </w:tc>
      </w:tr>
    </w:tbl>
    <w:p>
      <w:pPr>
        <w:spacing w:after="40"/>
      </w:pPr>
    </w:p>
    <w:p>
      <w:pPr/>
      <w:r>
        <w:rPr>
          <w:b w:val="0"/>
          <w:i/>
          <w:color w:val="5A6B7A"/>
          <w:sz w:val="20"/>
        </w:rPr>
        <w:t>Point d'attaque notable (passe 3) : le corpus scientifique local SwarmDrone, qui compte 2 338 entrées dont 1 318 avec identifiant primaire, ne contient aucun article traitant explicitement des couches d'abstraction matérielle (recherche « hardware abstraction layer » : 0 résultat). Le corpus a été constitué autour des algorithmes de coordination, pas de l'infrastructure. La spécification s'appuie donc sur une recherche arXiv directe, dont les résultats sont documentés en §4.1.1.</w:t>
      </w:r>
    </w:p>
    <w:p>
      <w:r>
        <w:br w:type="page"/>
      </w:r>
    </w:p>
    <w:p>
      <w:pPr>
        <w:pStyle w:val="Heading1"/>
      </w:pPr>
      <w:r>
        <w:t>4. Spécification détaillée</w:t>
      </w:r>
    </w:p>
    <w:p>
      <w:pPr>
        <w:pStyle w:val="Heading2"/>
      </w:pPr>
      <w:r>
        <w:t>Bloc 1 · Identité</w:t>
      </w:r>
    </w:p>
    <w:tbl>
      <w:tblPr>
        <w:tblStyle w:val="TableGrid"/>
        <w:tblW w:type="auto" w:w="0"/>
        <w:jc w:val="center"/>
        <w:tblLayout w:type="fixed"/>
        <w:tblLook w:firstColumn="1" w:firstRow="1" w:lastColumn="0" w:lastRow="0" w:noHBand="0" w:noVBand="1" w:val="04A0"/>
      </w:tblPr>
      <w:tblGrid>
        <w:gridCol w:w="4706"/>
        <w:gridCol w:w="4706"/>
      </w:tblGrid>
      <w:tr>
        <w:tc>
          <w:tcPr>
            <w:tcW w:type="dxa" w:w="2551"/>
            <w:vAlign w:val="center"/>
            <w:shd w:val="clear" w:color="auto" w:fill="16283F"/>
          </w:tcPr>
          <w:p>
            <w:r/>
            <w:r>
              <w:rPr>
                <w:rFonts w:ascii="Calibri" w:hAnsi="Calibri"/>
                <w:b/>
                <w:color w:val="FFFFFF"/>
                <w:sz w:val="19"/>
              </w:rPr>
              <w:t>Identifiant</w:t>
            </w:r>
          </w:p>
        </w:tc>
        <w:tc>
          <w:tcPr>
            <w:tcW w:type="dxa" w:w="6803"/>
            <w:vAlign w:val="center"/>
          </w:tcPr>
          <w:p>
            <w:r/>
            <w:r>
              <w:rPr>
                <w:rFonts w:ascii="Calibri" w:hAnsi="Calibri"/>
                <w:b w:val="0"/>
                <w:sz w:val="19"/>
              </w:rPr>
              <w:t>COMP_SENSORS_HAL</w:t>
            </w:r>
          </w:p>
        </w:tc>
      </w:tr>
      <w:tr>
        <w:tc>
          <w:tcPr>
            <w:tcW w:type="dxa" w:w="2551"/>
            <w:vAlign w:val="center"/>
            <w:shd w:val="clear" w:color="auto" w:fill="16283F"/>
          </w:tcPr>
          <w:p>
            <w:r/>
            <w:r>
              <w:rPr>
                <w:rFonts w:ascii="Calibri" w:hAnsi="Calibri"/>
                <w:b/>
                <w:color w:val="FFFFFF"/>
                <w:sz w:val="19"/>
              </w:rPr>
              <w:t>Identifiant LikeC4</w:t>
            </w:r>
          </w:p>
        </w:tc>
        <w:tc>
          <w:tcPr>
            <w:tcW w:type="dxa" w:w="6803"/>
            <w:vAlign w:val="center"/>
          </w:tcPr>
          <w:p>
            <w:r/>
            <w:r>
              <w:rPr>
                <w:rFonts w:ascii="Calibri" w:hAnsi="Calibri"/>
                <w:b w:val="0"/>
                <w:sz w:val="19"/>
              </w:rPr>
              <w:t>onboard.sensorsHAL</w:t>
            </w:r>
          </w:p>
        </w:tc>
      </w:tr>
      <w:tr>
        <w:tc>
          <w:tcPr>
            <w:tcW w:type="dxa" w:w="2551"/>
            <w:vAlign w:val="center"/>
            <w:shd w:val="clear" w:color="auto" w:fill="16283F"/>
          </w:tcPr>
          <w:p>
            <w:r/>
            <w:r>
              <w:rPr>
                <w:rFonts w:ascii="Calibri" w:hAnsi="Calibri"/>
                <w:b/>
                <w:color w:val="FFFFFF"/>
                <w:sz w:val="19"/>
              </w:rPr>
              <w:t>Nom</w:t>
            </w:r>
          </w:p>
        </w:tc>
        <w:tc>
          <w:tcPr>
            <w:tcW w:type="dxa" w:w="6803"/>
            <w:vAlign w:val="center"/>
          </w:tcPr>
          <w:p>
            <w:r/>
            <w:r>
              <w:rPr>
                <w:rFonts w:ascii="Calibri" w:hAnsi="Calibri"/>
                <w:b w:val="0"/>
                <w:sz w:val="19"/>
              </w:rPr>
              <w:t>Interfaces capteurs</w:t>
            </w:r>
          </w:p>
        </w:tc>
      </w:tr>
      <w:tr>
        <w:tc>
          <w:tcPr>
            <w:tcW w:type="dxa" w:w="2551"/>
            <w:vAlign w:val="center"/>
            <w:shd w:val="clear" w:color="auto" w:fill="16283F"/>
          </w:tcPr>
          <w:p>
            <w:r/>
            <w:r>
              <w:rPr>
                <w:rFonts w:ascii="Calibri" w:hAnsi="Calibri"/>
                <w:b/>
                <w:color w:val="FFFFFF"/>
                <w:sz w:val="19"/>
              </w:rPr>
              <w:t>Catégorie</w:t>
            </w:r>
          </w:p>
        </w:tc>
        <w:tc>
          <w:tcPr>
            <w:tcW w:type="dxa" w:w="6803"/>
            <w:vAlign w:val="center"/>
          </w:tcPr>
          <w:p>
            <w:r/>
            <w:r>
              <w:rPr>
                <w:rFonts w:ascii="Calibri" w:hAnsi="Calibri"/>
                <w:b w:val="0"/>
                <w:sz w:val="19"/>
              </w:rPr>
              <w:t>Infrastructure / Abstraction matérielle</w:t>
            </w:r>
          </w:p>
        </w:tc>
      </w:tr>
      <w:tr>
        <w:tc>
          <w:tcPr>
            <w:tcW w:type="dxa" w:w="2551"/>
            <w:vAlign w:val="center"/>
            <w:shd w:val="clear" w:color="auto" w:fill="16283F"/>
          </w:tcPr>
          <w:p>
            <w:r/>
            <w:r>
              <w:rPr>
                <w:rFonts w:ascii="Calibri" w:hAnsi="Calibri"/>
                <w:b/>
                <w:color w:val="FFFFFF"/>
                <w:sz w:val="19"/>
              </w:rPr>
              <w:t>Kind LikeC4</w:t>
            </w:r>
          </w:p>
        </w:tc>
        <w:tc>
          <w:tcPr>
            <w:tcW w:type="dxa" w:w="6803"/>
            <w:vAlign w:val="center"/>
          </w:tcPr>
          <w:p>
            <w:r/>
            <w:r>
              <w:rPr>
                <w:rFonts w:ascii="Calibri" w:hAnsi="Calibri"/>
                <w:b w:val="0"/>
                <w:sz w:val="19"/>
              </w:rPr>
              <w:t>component</w:t>
            </w:r>
          </w:p>
        </w:tc>
      </w:tr>
      <w:tr>
        <w:tc>
          <w:tcPr>
            <w:tcW w:type="dxa" w:w="2551"/>
            <w:vAlign w:val="center"/>
            <w:shd w:val="clear" w:color="auto" w:fill="16283F"/>
          </w:tcPr>
          <w:p>
            <w:r/>
            <w:r>
              <w:rPr>
                <w:rFonts w:ascii="Calibri" w:hAnsi="Calibri"/>
                <w:b/>
                <w:color w:val="FFFFFF"/>
                <w:sz w:val="19"/>
              </w:rPr>
              <w:t>Conteneur parent</w:t>
            </w:r>
          </w:p>
        </w:tc>
        <w:tc>
          <w:tcPr>
            <w:tcW w:type="dxa" w:w="6803"/>
            <w:vAlign w:val="center"/>
          </w:tcPr>
          <w:p>
            <w:r/>
            <w:r>
              <w:rPr>
                <w:rFonts w:ascii="Calibri" w:hAnsi="Calibri"/>
                <w:b w:val="0"/>
                <w:sz w:val="19"/>
              </w:rPr>
              <w:t>onboard (30 instances)</w:t>
            </w:r>
          </w:p>
        </w:tc>
      </w:tr>
      <w:tr>
        <w:tc>
          <w:tcPr>
            <w:tcW w:type="dxa" w:w="2551"/>
            <w:vAlign w:val="center"/>
            <w:shd w:val="clear" w:color="auto" w:fill="16283F"/>
          </w:tcPr>
          <w:p>
            <w:r/>
            <w:r>
              <w:rPr>
                <w:rFonts w:ascii="Calibri" w:hAnsi="Calibri"/>
                <w:b/>
                <w:color w:val="FFFFFF"/>
                <w:sz w:val="19"/>
              </w:rPr>
              <w:t>Tag de criticité</w:t>
            </w:r>
          </w:p>
        </w:tc>
        <w:tc>
          <w:tcPr>
            <w:tcW w:type="dxa" w:w="6803"/>
            <w:vAlign w:val="center"/>
          </w:tcPr>
          <w:p>
            <w:r/>
            <w:r>
              <w:rPr>
                <w:rFonts w:ascii="Calibri" w:hAnsi="Calibri"/>
                <w:b w:val="0"/>
                <w:sz w:val="19"/>
              </w:rPr>
              <w:t>#safety-critical</w:t>
            </w:r>
          </w:p>
        </w:tc>
      </w:tr>
      <w:tr>
        <w:tc>
          <w:tcPr>
            <w:tcW w:type="dxa" w:w="2551"/>
            <w:vAlign w:val="center"/>
            <w:shd w:val="clear" w:color="auto" w:fill="16283F"/>
          </w:tcPr>
          <w:p>
            <w:r/>
            <w:r>
              <w:rPr>
                <w:rFonts w:ascii="Calibri" w:hAnsi="Calibri"/>
                <w:b/>
                <w:color w:val="FFFFFF"/>
                <w:sz w:val="19"/>
              </w:rPr>
              <w:t>Technologie déclarée</w:t>
            </w:r>
          </w:p>
        </w:tc>
        <w:tc>
          <w:tcPr>
            <w:tcW w:type="dxa" w:w="6803"/>
            <w:vAlign w:val="center"/>
          </w:tcPr>
          <w:p>
            <w:r/>
            <w:r>
              <w:rPr>
                <w:rFonts w:ascii="Calibri" w:hAnsi="Calibri"/>
                <w:b w:val="0"/>
                <w:sz w:val="19"/>
              </w:rPr>
              <w:t>HAL — drivers bas niveau</w:t>
            </w:r>
          </w:p>
        </w:tc>
      </w:tr>
      <w:tr>
        <w:tc>
          <w:tcPr>
            <w:tcW w:type="dxa" w:w="2551"/>
            <w:vAlign w:val="center"/>
            <w:shd w:val="clear" w:color="auto" w:fill="16283F"/>
          </w:tcPr>
          <w:p>
            <w:r/>
            <w:r>
              <w:rPr>
                <w:rFonts w:ascii="Calibri" w:hAnsi="Calibri"/>
                <w:b/>
                <w:color w:val="FFFFFF"/>
                <w:sz w:val="19"/>
              </w:rPr>
              <w:t>Déploiement</w:t>
            </w:r>
          </w:p>
        </w:tc>
        <w:tc>
          <w:tcPr>
            <w:tcW w:type="dxa" w:w="6803"/>
            <w:vAlign w:val="center"/>
          </w:tcPr>
          <w:p>
            <w:r/>
            <w:r>
              <w:rPr>
                <w:rFonts w:ascii="Calibri" w:hAnsi="Calibri"/>
                <w:b w:val="0"/>
                <w:sz w:val="19"/>
              </w:rPr>
              <w:t>runsOn companion (HW_COMPANION, SoC ARM64 Linux)</w:t>
            </w:r>
          </w:p>
        </w:tc>
      </w:tr>
      <w:tr>
        <w:tc>
          <w:tcPr>
            <w:tcW w:type="dxa" w:w="2551"/>
            <w:vAlign w:val="center"/>
            <w:shd w:val="clear" w:color="auto" w:fill="16283F"/>
          </w:tcPr>
          <w:p>
            <w:r/>
            <w:r>
              <w:rPr>
                <w:rFonts w:ascii="Calibri" w:hAnsi="Calibri"/>
                <w:b/>
                <w:color w:val="FFFFFF"/>
                <w:sz w:val="19"/>
              </w:rPr>
              <w:t>Fonction réalisée</w:t>
            </w:r>
          </w:p>
        </w:tc>
        <w:tc>
          <w:tcPr>
            <w:tcW w:type="dxa" w:w="6803"/>
            <w:vAlign w:val="center"/>
          </w:tcPr>
          <w:p>
            <w:r/>
            <w:r>
              <w:rPr>
                <w:rFonts w:ascii="Calibri" w:hAnsi="Calibri"/>
                <w:b w:val="0"/>
                <w:sz w:val="19"/>
              </w:rPr>
              <w:t>FN_SENSOR_ACQUISITION — Acquérir les mesures capteurs</w:t>
            </w:r>
          </w:p>
        </w:tc>
      </w:tr>
      <w:tr>
        <w:tc>
          <w:tcPr>
            <w:tcW w:type="dxa" w:w="2551"/>
            <w:vAlign w:val="center"/>
            <w:shd w:val="clear" w:color="auto" w:fill="16283F"/>
          </w:tcPr>
          <w:p>
            <w:r/>
            <w:r>
              <w:rPr>
                <w:rFonts w:ascii="Calibri" w:hAnsi="Calibri"/>
                <w:b/>
                <w:color w:val="FFFFFF"/>
                <w:sz w:val="19"/>
              </w:rPr>
              <w:t>Capacité</w:t>
            </w:r>
          </w:p>
        </w:tc>
        <w:tc>
          <w:tcPr>
            <w:tcW w:type="dxa" w:w="6803"/>
            <w:vAlign w:val="center"/>
          </w:tcPr>
          <w:p>
            <w:r/>
            <w:r>
              <w:rPr>
                <w:rFonts w:ascii="Calibri" w:hAnsi="Calibri"/>
                <w:b w:val="0"/>
                <w:sz w:val="19"/>
              </w:rPr>
              <w:t>CAP_PERCEIVE</w:t>
            </w:r>
          </w:p>
        </w:tc>
      </w:tr>
      <w:tr>
        <w:tc>
          <w:tcPr>
            <w:tcW w:type="dxa" w:w="2551"/>
            <w:vAlign w:val="center"/>
            <w:shd w:val="clear" w:color="auto" w:fill="16283F"/>
          </w:tcPr>
          <w:p>
            <w:r/>
            <w:r>
              <w:rPr>
                <w:rFonts w:ascii="Calibri" w:hAnsi="Calibri"/>
                <w:b/>
                <w:color w:val="FFFFFF"/>
                <w:sz w:val="19"/>
              </w:rPr>
              <w:t>Maturité</w:t>
            </w:r>
          </w:p>
        </w:tc>
        <w:tc>
          <w:tcPr>
            <w:tcW w:type="dxa" w:w="6803"/>
            <w:vAlign w:val="center"/>
          </w:tcPr>
          <w:p>
            <w:r/>
            <w:r>
              <w:rPr>
                <w:rFonts w:ascii="Calibri" w:hAnsi="Calibri"/>
                <w:b w:val="0"/>
                <w:sz w:val="19"/>
              </w:rPr>
              <w:t>Conception — implémentations candidates déclarées, non validées en vol</w:t>
            </w:r>
          </w:p>
        </w:tc>
      </w:tr>
      <w:tr>
        <w:tc>
          <w:tcPr>
            <w:tcW w:type="dxa" w:w="2551"/>
            <w:vAlign w:val="center"/>
            <w:shd w:val="clear" w:color="auto" w:fill="16283F"/>
          </w:tcPr>
          <w:p>
            <w:r/>
            <w:r>
              <w:rPr>
                <w:rFonts w:ascii="Calibri" w:hAnsi="Calibri"/>
                <w:b/>
                <w:color w:val="FFFFFF"/>
                <w:sz w:val="19"/>
              </w:rPr>
              <w:t>Statut d'implémentation</w:t>
            </w:r>
          </w:p>
        </w:tc>
        <w:tc>
          <w:tcPr>
            <w:tcW w:type="dxa" w:w="6803"/>
            <w:vAlign w:val="center"/>
          </w:tcPr>
          <w:p>
            <w:r/>
            <w:r>
              <w:rPr>
                <w:rFonts w:ascii="Calibri" w:hAnsi="Calibri"/>
                <w:b w:val="0"/>
                <w:sz w:val="19"/>
              </w:rPr>
              <w:t>idea (dans le modèle LikeC4) — spécifié ici</w:t>
            </w:r>
          </w:p>
        </w:tc>
      </w:tr>
      <w:tr>
        <w:tc>
          <w:tcPr>
            <w:tcW w:type="dxa" w:w="2551"/>
            <w:vAlign w:val="center"/>
            <w:shd w:val="clear" w:color="auto" w:fill="16283F"/>
          </w:tcPr>
          <w:p>
            <w:r/>
            <w:r>
              <w:rPr>
                <w:rFonts w:ascii="Calibri" w:hAnsi="Calibri"/>
                <w:b/>
                <w:color w:val="FFFFFF"/>
                <w:sz w:val="19"/>
              </w:rPr>
              <w:t>Sources scientifiques</w:t>
            </w:r>
          </w:p>
        </w:tc>
        <w:tc>
          <w:tcPr>
            <w:tcW w:type="dxa" w:w="6803"/>
            <w:vAlign w:val="center"/>
          </w:tcPr>
          <w:p>
            <w:r/>
            <w:r>
              <w:rPr>
                <w:rFonts w:ascii="Calibri" w:hAnsi="Calibri"/>
                <w:b w:val="0"/>
                <w:sz w:val="19"/>
              </w:rPr>
              <w:t>Voir §4.1.1 — 14 sources primaires vérifiées</w:t>
            </w:r>
          </w:p>
        </w:tc>
      </w:tr>
      <w:tr>
        <w:tc>
          <w:tcPr>
            <w:tcW w:type="dxa" w:w="2551"/>
            <w:vAlign w:val="center"/>
            <w:shd w:val="clear" w:color="auto" w:fill="16283F"/>
          </w:tcPr>
          <w:p>
            <w:r/>
            <w:r>
              <w:rPr>
                <w:rFonts w:ascii="Calibri" w:hAnsi="Calibri"/>
                <w:b/>
                <w:color w:val="FFFFFF"/>
                <w:sz w:val="19"/>
              </w:rPr>
              <w:t>Niveau de preuve</w:t>
            </w:r>
          </w:p>
        </w:tc>
        <w:tc>
          <w:tcPr>
            <w:tcW w:type="dxa" w:w="6803"/>
            <w:vAlign w:val="center"/>
          </w:tcPr>
          <w:p>
            <w:r/>
            <w:r>
              <w:rPr>
                <w:rFonts w:ascii="Calibri" w:hAnsi="Calibri"/>
                <w:b w:val="0"/>
                <w:sz w:val="19"/>
              </w:rPr>
              <w:t>MEDIUM — CONDITIONNEL : architecture et besoin documentés ; aucune mesure de performance sur la HAL réelle</w:t>
            </w:r>
          </w:p>
        </w:tc>
      </w:tr>
    </w:tbl>
    <w:p>
      <w:pPr>
        <w:spacing w:after="40"/>
      </w:pPr>
    </w:p>
    <w:p>
      <w:pPr>
        <w:pStyle w:val="Heading3"/>
      </w:pPr>
      <w:r>
        <w:t>4.1.1 Sources académiques vérifiées</w:t>
      </w:r>
    </w:p>
    <w:p>
      <w:pPr>
        <w:spacing w:after="80"/>
      </w:pPr>
      <w:r>
        <w:rPr>
          <w:b w:val="0"/>
          <w:i w:val="0"/>
        </w:rPr>
        <w:t>Les sources ci-dessous ont été résolues sur arXiv (identifiant primaire vérifié). Elles sont classées par apport à la spécification.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680"/>
            <w:vAlign w:val="center"/>
            <w:shd w:val="clear" w:color="auto" w:fill="16283F"/>
          </w:tcPr>
          <w:p>
            <w:pPr>
              <w:jc w:val="center"/>
            </w:pPr>
            <w:r/>
            <w:r>
              <w:rPr>
                <w:rFonts w:ascii="Calibri" w:hAnsi="Calibri"/>
                <w:b/>
                <w:color w:val="FFFFFF"/>
                <w:sz w:val="19"/>
              </w:rPr>
              <w:t>Réf.</w:t>
            </w:r>
          </w:p>
        </w:tc>
        <w:tc>
          <w:tcPr>
            <w:tcW w:type="dxa" w:w="3742"/>
            <w:vAlign w:val="center"/>
            <w:shd w:val="clear" w:color="auto" w:fill="16283F"/>
          </w:tcPr>
          <w:p>
            <w:pPr>
              <w:jc w:val="center"/>
            </w:pPr>
            <w:r/>
            <w:r>
              <w:rPr>
                <w:rFonts w:ascii="Calibri" w:hAnsi="Calibri"/>
                <w:b/>
                <w:color w:val="FFFFFF"/>
                <w:sz w:val="19"/>
              </w:rPr>
              <w:t>Source</w:t>
            </w:r>
          </w:p>
        </w:tc>
        <w:tc>
          <w:tcPr>
            <w:tcW w:type="dxa" w:w="794"/>
            <w:vAlign w:val="center"/>
            <w:shd w:val="clear" w:color="auto" w:fill="16283F"/>
          </w:tcPr>
          <w:p>
            <w:pPr>
              <w:jc w:val="center"/>
            </w:pPr>
            <w:r/>
            <w:r>
              <w:rPr>
                <w:rFonts w:ascii="Calibri" w:hAnsi="Calibri"/>
                <w:b/>
                <w:color w:val="FFFFFF"/>
                <w:sz w:val="19"/>
              </w:rPr>
              <w:t>Année</w:t>
            </w:r>
          </w:p>
        </w:tc>
        <w:tc>
          <w:tcPr>
            <w:tcW w:type="dxa" w:w="3855"/>
            <w:vAlign w:val="center"/>
            <w:shd w:val="clear" w:color="auto" w:fill="16283F"/>
          </w:tcPr>
          <w:p>
            <w:pPr>
              <w:jc w:val="center"/>
            </w:pPr>
            <w:r/>
            <w:r>
              <w:rPr>
                <w:rFonts w:ascii="Calibri" w:hAnsi="Calibri"/>
                <w:b/>
                <w:color w:val="FFFFFF"/>
                <w:sz w:val="19"/>
              </w:rPr>
              <w:t>Apport pour la HAL</w:t>
            </w:r>
          </w:p>
        </w:tc>
      </w:tr>
      <w:tr>
        <w:tc>
          <w:tcPr>
            <w:tcW w:type="dxa" w:w="680"/>
            <w:vAlign w:val="center"/>
          </w:tcPr>
          <w:p>
            <w:r/>
            <w:r>
              <w:rPr>
                <w:rFonts w:ascii="Calibri" w:hAnsi="Calibri"/>
                <w:b w:val="0"/>
                <w:sz w:val="19"/>
              </w:rPr>
              <w:t>S1</w:t>
            </w:r>
          </w:p>
        </w:tc>
        <w:tc>
          <w:tcPr>
            <w:tcW w:type="dxa" w:w="3742"/>
            <w:vAlign w:val="center"/>
          </w:tcPr>
          <w:p>
            <w:r/>
            <w:r>
              <w:rPr>
                <w:rFonts w:ascii="Calibri" w:hAnsi="Calibri"/>
                <w:b w:val="0"/>
                <w:sz w:val="19"/>
              </w:rPr>
              <w:t>SwarmNxt: Open-source Software-Hardware Platform for Fast and Agile Aerial Swarms — arXiv 2609.11382</w:t>
            </w:r>
          </w:p>
        </w:tc>
        <w:tc>
          <w:tcPr>
            <w:tcW w:type="dxa" w:w="794"/>
            <w:vAlign w:val="center"/>
          </w:tcPr>
          <w:p>
            <w:r/>
            <w:r>
              <w:rPr>
                <w:rFonts w:ascii="Calibri" w:hAnsi="Calibri"/>
                <w:b w:val="0"/>
                <w:sz w:val="19"/>
              </w:rPr>
              <w:t>2026</w:t>
            </w:r>
          </w:p>
        </w:tc>
        <w:tc>
          <w:tcPr>
            <w:tcW w:type="dxa" w:w="3855"/>
            <w:vAlign w:val="center"/>
          </w:tcPr>
          <w:p>
            <w:r/>
            <w:r>
              <w:rPr>
                <w:rFonts w:ascii="Calibri" w:hAnsi="Calibri"/>
                <w:b w:val="0"/>
                <w:sz w:val="19"/>
              </w:rPr>
              <w:t>Plateforme ouverte matériel+logiciel pour essaims : confirme le besoin d'une couche d'abstraction pour la portabilité</w:t>
            </w:r>
          </w:p>
        </w:tc>
      </w:tr>
      <w:tr>
        <w:tc>
          <w:tcPr>
            <w:tcW w:type="dxa" w:w="680"/>
            <w:vAlign w:val="center"/>
            <w:shd w:val="clear" w:color="auto" w:fill="F1F5F9"/>
          </w:tcPr>
          <w:p>
            <w:r/>
            <w:r>
              <w:rPr>
                <w:rFonts w:ascii="Calibri" w:hAnsi="Calibri"/>
                <w:b w:val="0"/>
                <w:sz w:val="19"/>
              </w:rPr>
              <w:t>S2</w:t>
            </w:r>
          </w:p>
        </w:tc>
        <w:tc>
          <w:tcPr>
            <w:tcW w:type="dxa" w:w="3742"/>
            <w:vAlign w:val="center"/>
            <w:shd w:val="clear" w:color="auto" w:fill="F1F5F9"/>
          </w:tcPr>
          <w:p>
            <w:r/>
            <w:r>
              <w:rPr>
                <w:rFonts w:ascii="Calibri" w:hAnsi="Calibri"/>
                <w:b w:val="0"/>
                <w:sz w:val="19"/>
              </w:rPr>
              <w:t>MIRA: A Modular Open-Source Micro-UAV for Indoor Research — arXiv 2607.11785</w:t>
            </w:r>
          </w:p>
        </w:tc>
        <w:tc>
          <w:tcPr>
            <w:tcW w:type="dxa" w:w="794"/>
            <w:vAlign w:val="center"/>
            <w:shd w:val="clear" w:color="auto" w:fill="F1F5F9"/>
          </w:tcPr>
          <w:p>
            <w:r/>
            <w:r>
              <w:rPr>
                <w:rFonts w:ascii="Calibri" w:hAnsi="Calibri"/>
                <w:b w:val="0"/>
                <w:sz w:val="19"/>
              </w:rPr>
              <w:t>2026</w:t>
            </w:r>
          </w:p>
        </w:tc>
        <w:tc>
          <w:tcPr>
            <w:tcW w:type="dxa" w:w="3855"/>
            <w:vAlign w:val="center"/>
            <w:shd w:val="clear" w:color="auto" w:fill="F1F5F9"/>
          </w:tcPr>
          <w:p>
            <w:r/>
            <w:r>
              <w:rPr>
                <w:rFonts w:ascii="Calibri" w:hAnsi="Calibri"/>
                <w:b w:val="0"/>
                <w:sz w:val="19"/>
              </w:rPr>
              <w:t>Pont companion↔autopilote conteneurisé : architecture directement comparable à la HAL</w:t>
            </w:r>
          </w:p>
        </w:tc>
      </w:tr>
      <w:tr>
        <w:tc>
          <w:tcPr>
            <w:tcW w:type="dxa" w:w="680"/>
            <w:vAlign w:val="center"/>
          </w:tcPr>
          <w:p>
            <w:r/>
            <w:r>
              <w:rPr>
                <w:rFonts w:ascii="Calibri" w:hAnsi="Calibri"/>
                <w:b w:val="0"/>
                <w:sz w:val="19"/>
              </w:rPr>
              <w:t>S3</w:t>
            </w:r>
          </w:p>
        </w:tc>
        <w:tc>
          <w:tcPr>
            <w:tcW w:type="dxa" w:w="3742"/>
            <w:vAlign w:val="center"/>
          </w:tcPr>
          <w:p>
            <w:r/>
            <w:r>
              <w:rPr>
                <w:rFonts w:ascii="Calibri" w:hAnsi="Calibri"/>
                <w:b w:val="0"/>
                <w:sz w:val="19"/>
              </w:rPr>
              <w:t>Perception-Aware Communication Middleware for Distributed Visual Perception in UAV Swarms — arXiv 2609.24964</w:t>
            </w:r>
          </w:p>
        </w:tc>
        <w:tc>
          <w:tcPr>
            <w:tcW w:type="dxa" w:w="794"/>
            <w:vAlign w:val="center"/>
          </w:tcPr>
          <w:p>
            <w:r/>
            <w:r>
              <w:rPr>
                <w:rFonts w:ascii="Calibri" w:hAnsi="Calibri"/>
                <w:b w:val="0"/>
                <w:sz w:val="19"/>
              </w:rPr>
              <w:t>2026</w:t>
            </w:r>
          </w:p>
        </w:tc>
        <w:tc>
          <w:tcPr>
            <w:tcW w:type="dxa" w:w="3855"/>
            <w:vAlign w:val="center"/>
          </w:tcPr>
          <w:p>
            <w:r/>
            <w:r>
              <w:rPr>
                <w:rFonts w:ascii="Calibri" w:hAnsi="Calibri"/>
                <w:b w:val="0"/>
                <w:sz w:val="19"/>
              </w:rPr>
              <w:t>QoS de perception ≠ QoS paquet : justifie une frontière contractuelle au niveau des données complètes</w:t>
            </w:r>
          </w:p>
        </w:tc>
      </w:tr>
      <w:tr>
        <w:tc>
          <w:tcPr>
            <w:tcW w:type="dxa" w:w="680"/>
            <w:vAlign w:val="center"/>
            <w:shd w:val="clear" w:color="auto" w:fill="F1F5F9"/>
          </w:tcPr>
          <w:p>
            <w:r/>
            <w:r>
              <w:rPr>
                <w:rFonts w:ascii="Calibri" w:hAnsi="Calibri"/>
                <w:b w:val="0"/>
                <w:sz w:val="19"/>
              </w:rPr>
              <w:t>S4</w:t>
            </w:r>
          </w:p>
        </w:tc>
        <w:tc>
          <w:tcPr>
            <w:tcW w:type="dxa" w:w="3742"/>
            <w:vAlign w:val="center"/>
            <w:shd w:val="clear" w:color="auto" w:fill="F1F5F9"/>
          </w:tcPr>
          <w:p>
            <w:r/>
            <w:r>
              <w:rPr>
                <w:rFonts w:ascii="Calibri" w:hAnsi="Calibri"/>
                <w:b w:val="0"/>
                <w:sz w:val="19"/>
              </w:rPr>
              <w:t>Fleets Need a Context Plane: Rethinking Cooperative Perception for Autonomous Drones — arXiv 2609.00659</w:t>
            </w:r>
          </w:p>
        </w:tc>
        <w:tc>
          <w:tcPr>
            <w:tcW w:type="dxa" w:w="794"/>
            <w:vAlign w:val="center"/>
            <w:shd w:val="clear" w:color="auto" w:fill="F1F5F9"/>
          </w:tcPr>
          <w:p>
            <w:r/>
            <w:r>
              <w:rPr>
                <w:rFonts w:ascii="Calibri" w:hAnsi="Calibri"/>
                <w:b w:val="0"/>
                <w:sz w:val="19"/>
              </w:rPr>
              <w:t>2026</w:t>
            </w:r>
          </w:p>
        </w:tc>
        <w:tc>
          <w:tcPr>
            <w:tcW w:type="dxa" w:w="3855"/>
            <w:vAlign w:val="center"/>
            <w:shd w:val="clear" w:color="auto" w:fill="F1F5F9"/>
          </w:tcPr>
          <w:p>
            <w:r/>
            <w:r>
              <w:rPr>
                <w:rFonts w:ascii="Calibri" w:hAnsi="Calibri"/>
                <w:b w:val="0"/>
                <w:sz w:val="19"/>
              </w:rPr>
              <w:t>Le partage contextuel réduit le volume de 90-95 % : argument pour la normalisation en amont</w:t>
            </w:r>
          </w:p>
        </w:tc>
      </w:tr>
      <w:tr>
        <w:tc>
          <w:tcPr>
            <w:tcW w:type="dxa" w:w="680"/>
            <w:vAlign w:val="center"/>
          </w:tcPr>
          <w:p>
            <w:r/>
            <w:r>
              <w:rPr>
                <w:rFonts w:ascii="Calibri" w:hAnsi="Calibri"/>
                <w:b w:val="0"/>
                <w:sz w:val="19"/>
              </w:rPr>
              <w:t>S5</w:t>
            </w:r>
          </w:p>
        </w:tc>
        <w:tc>
          <w:tcPr>
            <w:tcW w:type="dxa" w:w="3742"/>
            <w:vAlign w:val="center"/>
          </w:tcPr>
          <w:p>
            <w:r/>
            <w:r>
              <w:rPr>
                <w:rFonts w:ascii="Calibri" w:hAnsi="Calibri"/>
                <w:b w:val="0"/>
                <w:sz w:val="19"/>
              </w:rPr>
              <w:t>A Survey of Real-Time Support, Analysis, and Advancements in ROS 2 — arXiv 2601.10722</w:t>
            </w:r>
          </w:p>
        </w:tc>
        <w:tc>
          <w:tcPr>
            <w:tcW w:type="dxa" w:w="794"/>
            <w:vAlign w:val="center"/>
          </w:tcPr>
          <w:p>
            <w:r/>
            <w:r>
              <w:rPr>
                <w:rFonts w:ascii="Calibri" w:hAnsi="Calibri"/>
                <w:b w:val="0"/>
                <w:sz w:val="19"/>
              </w:rPr>
              <w:t>2025</w:t>
            </w:r>
          </w:p>
        </w:tc>
        <w:tc>
          <w:tcPr>
            <w:tcW w:type="dxa" w:w="3855"/>
            <w:vAlign w:val="center"/>
          </w:tcPr>
          <w:p>
            <w:r/>
            <w:r>
              <w:rPr>
                <w:rFonts w:ascii="Calibri" w:hAnsi="Calibri"/>
                <w:b w:val="0"/>
                <w:sz w:val="19"/>
              </w:rPr>
              <w:t>Architecture en couches et ordonnancement temps réel : référence pour les exigences de déterminisme</w:t>
            </w:r>
          </w:p>
        </w:tc>
      </w:tr>
      <w:tr>
        <w:tc>
          <w:tcPr>
            <w:tcW w:type="dxa" w:w="680"/>
            <w:vAlign w:val="center"/>
            <w:shd w:val="clear" w:color="auto" w:fill="F1F5F9"/>
          </w:tcPr>
          <w:p>
            <w:r/>
            <w:r>
              <w:rPr>
                <w:rFonts w:ascii="Calibri" w:hAnsi="Calibri"/>
                <w:b w:val="0"/>
                <w:sz w:val="19"/>
              </w:rPr>
              <w:t>S6</w:t>
            </w:r>
          </w:p>
        </w:tc>
        <w:tc>
          <w:tcPr>
            <w:tcW w:type="dxa" w:w="3742"/>
            <w:vAlign w:val="center"/>
            <w:shd w:val="clear" w:color="auto" w:fill="F1F5F9"/>
          </w:tcPr>
          <w:p>
            <w:r/>
            <w:r>
              <w:rPr>
                <w:rFonts w:ascii="Calibri" w:hAnsi="Calibri"/>
                <w:b w:val="0"/>
                <w:sz w:val="19"/>
              </w:rPr>
              <w:t>Budget-based real-time Executor for Micro-ROS — arXiv 2105.05590</w:t>
            </w:r>
          </w:p>
        </w:tc>
        <w:tc>
          <w:tcPr>
            <w:tcW w:type="dxa" w:w="794"/>
            <w:vAlign w:val="center"/>
            <w:shd w:val="clear" w:color="auto" w:fill="F1F5F9"/>
          </w:tcPr>
          <w:p>
            <w:r/>
            <w:r>
              <w:rPr>
                <w:rFonts w:ascii="Calibri" w:hAnsi="Calibri"/>
                <w:b w:val="0"/>
                <w:sz w:val="19"/>
              </w:rPr>
              <w:t>2021</w:t>
            </w:r>
          </w:p>
        </w:tc>
        <w:tc>
          <w:tcPr>
            <w:tcW w:type="dxa" w:w="3855"/>
            <w:vAlign w:val="center"/>
            <w:shd w:val="clear" w:color="auto" w:fill="F1F5F9"/>
          </w:tcPr>
          <w:p>
            <w:r/>
            <w:r>
              <w:rPr>
                <w:rFonts w:ascii="Calibri" w:hAnsi="Calibri"/>
                <w:b w:val="0"/>
                <w:sz w:val="19"/>
              </w:rPr>
              <w:t>Exécutif temps réel sur MCU : modèle pour le bornage temporel de l'acquisition</w:t>
            </w:r>
          </w:p>
        </w:tc>
      </w:tr>
      <w:tr>
        <w:tc>
          <w:tcPr>
            <w:tcW w:type="dxa" w:w="680"/>
            <w:vAlign w:val="center"/>
          </w:tcPr>
          <w:p>
            <w:r/>
            <w:r>
              <w:rPr>
                <w:rFonts w:ascii="Calibri" w:hAnsi="Calibri"/>
                <w:b w:val="0"/>
                <w:sz w:val="19"/>
              </w:rPr>
              <w:t>S7</w:t>
            </w:r>
          </w:p>
        </w:tc>
        <w:tc>
          <w:tcPr>
            <w:tcW w:type="dxa" w:w="3742"/>
            <w:vAlign w:val="center"/>
          </w:tcPr>
          <w:p>
            <w:r/>
            <w:r>
              <w:rPr>
                <w:rFonts w:ascii="Calibri" w:hAnsi="Calibri"/>
                <w:b w:val="0"/>
                <w:sz w:val="19"/>
              </w:rPr>
              <w:t>HyperDog: An Open-Source Quadruped Robot Platform Based on ROS2 and micro-ROS — arXiv 2209.09171</w:t>
            </w:r>
          </w:p>
        </w:tc>
        <w:tc>
          <w:tcPr>
            <w:tcW w:type="dxa" w:w="794"/>
            <w:vAlign w:val="center"/>
          </w:tcPr>
          <w:p>
            <w:r/>
            <w:r>
              <w:rPr>
                <w:rFonts w:ascii="Calibri" w:hAnsi="Calibri"/>
                <w:b w:val="0"/>
                <w:sz w:val="19"/>
              </w:rPr>
              <w:t>2022</w:t>
            </w:r>
          </w:p>
        </w:tc>
        <w:tc>
          <w:tcPr>
            <w:tcW w:type="dxa" w:w="3855"/>
            <w:vAlign w:val="center"/>
          </w:tcPr>
          <w:p>
            <w:r/>
            <w:r>
              <w:rPr>
                <w:rFonts w:ascii="Calibri" w:hAnsi="Calibri"/>
                <w:b w:val="0"/>
                <w:sz w:val="19"/>
              </w:rPr>
              <w:t>Déploiement micro-ROS sur plateforme réelle : validation du choix MicroXRCEDDS</w:t>
            </w:r>
          </w:p>
        </w:tc>
      </w:tr>
      <w:tr>
        <w:tc>
          <w:tcPr>
            <w:tcW w:type="dxa" w:w="680"/>
            <w:vAlign w:val="center"/>
            <w:shd w:val="clear" w:color="auto" w:fill="F1F5F9"/>
          </w:tcPr>
          <w:p>
            <w:r/>
            <w:r>
              <w:rPr>
                <w:rFonts w:ascii="Calibri" w:hAnsi="Calibri"/>
                <w:b w:val="0"/>
                <w:sz w:val="19"/>
              </w:rPr>
              <w:t>S8</w:t>
            </w:r>
          </w:p>
        </w:tc>
        <w:tc>
          <w:tcPr>
            <w:tcW w:type="dxa" w:w="3742"/>
            <w:vAlign w:val="center"/>
            <w:shd w:val="clear" w:color="auto" w:fill="F1F5F9"/>
          </w:tcPr>
          <w:p>
            <w:r/>
            <w:r>
              <w:rPr>
                <w:rFonts w:ascii="Calibri" w:hAnsi="Calibri"/>
                <w:b w:val="0"/>
                <w:sz w:val="19"/>
              </w:rPr>
              <w:t>The Syncline Model — Analyzing the Impact of Time Synchronization in Sensor Fusion — arXiv 2209.01136</w:t>
            </w:r>
          </w:p>
        </w:tc>
        <w:tc>
          <w:tcPr>
            <w:tcW w:type="dxa" w:w="794"/>
            <w:vAlign w:val="center"/>
            <w:shd w:val="clear" w:color="auto" w:fill="F1F5F9"/>
          </w:tcPr>
          <w:p>
            <w:r/>
            <w:r>
              <w:rPr>
                <w:rFonts w:ascii="Calibri" w:hAnsi="Calibri"/>
                <w:b w:val="0"/>
                <w:sz w:val="19"/>
              </w:rPr>
              <w:t>2022</w:t>
            </w:r>
          </w:p>
        </w:tc>
        <w:tc>
          <w:tcPr>
            <w:tcW w:type="dxa" w:w="3855"/>
            <w:vAlign w:val="center"/>
            <w:shd w:val="clear" w:color="auto" w:fill="F1F5F9"/>
          </w:tcPr>
          <w:p>
            <w:r/>
            <w:r>
              <w:rPr>
                <w:rFonts w:ascii="Calibri" w:hAnsi="Calibri"/>
                <w:b w:val="0"/>
                <w:sz w:val="19"/>
              </w:rPr>
              <w:t>Modèle quantitatif de l'impact de la synchronisation sur la précision de fusion</w:t>
            </w:r>
          </w:p>
        </w:tc>
      </w:tr>
      <w:tr>
        <w:tc>
          <w:tcPr>
            <w:tcW w:type="dxa" w:w="680"/>
            <w:vAlign w:val="center"/>
          </w:tcPr>
          <w:p>
            <w:r/>
            <w:r>
              <w:rPr>
                <w:rFonts w:ascii="Calibri" w:hAnsi="Calibri"/>
                <w:b w:val="0"/>
                <w:sz w:val="19"/>
              </w:rPr>
              <w:t>S9</w:t>
            </w:r>
          </w:p>
        </w:tc>
        <w:tc>
          <w:tcPr>
            <w:tcW w:type="dxa" w:w="3742"/>
            <w:vAlign w:val="center"/>
          </w:tcPr>
          <w:p>
            <w:r/>
            <w:r>
              <w:rPr>
                <w:rFonts w:ascii="Calibri" w:hAnsi="Calibri"/>
                <w:b w:val="0"/>
                <w:sz w:val="19"/>
              </w:rPr>
              <w:t>EKF-Based Radar-Inertial Odometry with Online Temporal Calibration — arXiv 2502.00661</w:t>
            </w:r>
          </w:p>
        </w:tc>
        <w:tc>
          <w:tcPr>
            <w:tcW w:type="dxa" w:w="794"/>
            <w:vAlign w:val="center"/>
          </w:tcPr>
          <w:p>
            <w:r/>
            <w:r>
              <w:rPr>
                <w:rFonts w:ascii="Calibri" w:hAnsi="Calibri"/>
                <w:b w:val="0"/>
                <w:sz w:val="19"/>
              </w:rPr>
              <w:t>2025</w:t>
            </w:r>
          </w:p>
        </w:tc>
        <w:tc>
          <w:tcPr>
            <w:tcW w:type="dxa" w:w="3855"/>
            <w:vAlign w:val="center"/>
          </w:tcPr>
          <w:p>
            <w:r/>
            <w:r>
              <w:rPr>
                <w:rFonts w:ascii="Calibri" w:hAnsi="Calibri"/>
                <w:b w:val="0"/>
                <w:sz w:val="19"/>
              </w:rPr>
              <w:t>Estimation en ligne du décalage temporel : méthode applicable à la normalisation temporelle</w:t>
            </w:r>
          </w:p>
        </w:tc>
      </w:tr>
      <w:tr>
        <w:tc>
          <w:tcPr>
            <w:tcW w:type="dxa" w:w="680"/>
            <w:vAlign w:val="center"/>
            <w:shd w:val="clear" w:color="auto" w:fill="F1F5F9"/>
          </w:tcPr>
          <w:p>
            <w:r/>
            <w:r>
              <w:rPr>
                <w:rFonts w:ascii="Calibri" w:hAnsi="Calibri"/>
                <w:b w:val="0"/>
                <w:sz w:val="19"/>
              </w:rPr>
              <w:t>S10</w:t>
            </w:r>
          </w:p>
        </w:tc>
        <w:tc>
          <w:tcPr>
            <w:tcW w:type="dxa" w:w="3742"/>
            <w:vAlign w:val="center"/>
            <w:shd w:val="clear" w:color="auto" w:fill="F1F5F9"/>
          </w:tcPr>
          <w:p>
            <w:r/>
            <w:r>
              <w:rPr>
                <w:rFonts w:ascii="Calibri" w:hAnsi="Calibri"/>
                <w:b w:val="0"/>
                <w:sz w:val="19"/>
              </w:rPr>
              <w:t>Impact of Temporal Delay on Radar-Inertial Odometry — arXiv 2503.02509</w:t>
            </w:r>
          </w:p>
        </w:tc>
        <w:tc>
          <w:tcPr>
            <w:tcW w:type="dxa" w:w="794"/>
            <w:vAlign w:val="center"/>
            <w:shd w:val="clear" w:color="auto" w:fill="F1F5F9"/>
          </w:tcPr>
          <w:p>
            <w:r/>
            <w:r>
              <w:rPr>
                <w:rFonts w:ascii="Calibri" w:hAnsi="Calibri"/>
                <w:b w:val="0"/>
                <w:sz w:val="19"/>
              </w:rPr>
              <w:t>2025</w:t>
            </w:r>
          </w:p>
        </w:tc>
        <w:tc>
          <w:tcPr>
            <w:tcW w:type="dxa" w:w="3855"/>
            <w:vAlign w:val="center"/>
            <w:shd w:val="clear" w:color="auto" w:fill="F1F5F9"/>
          </w:tcPr>
          <w:p>
            <w:r/>
            <w:r>
              <w:rPr>
                <w:rFonts w:ascii="Calibri" w:hAnsi="Calibri"/>
                <w:b w:val="0"/>
                <w:sz w:val="19"/>
              </w:rPr>
              <w:t>Quantifie l'effet du retard temporel : justifie une exigence bornée sur l'horodatage</w:t>
            </w:r>
          </w:p>
        </w:tc>
      </w:tr>
      <w:tr>
        <w:tc>
          <w:tcPr>
            <w:tcW w:type="dxa" w:w="680"/>
            <w:vAlign w:val="center"/>
          </w:tcPr>
          <w:p>
            <w:r/>
            <w:r>
              <w:rPr>
                <w:rFonts w:ascii="Calibri" w:hAnsi="Calibri"/>
                <w:b w:val="0"/>
                <w:sz w:val="19"/>
              </w:rPr>
              <w:t>S11</w:t>
            </w:r>
          </w:p>
        </w:tc>
        <w:tc>
          <w:tcPr>
            <w:tcW w:type="dxa" w:w="3742"/>
            <w:vAlign w:val="center"/>
          </w:tcPr>
          <w:p>
            <w:r/>
            <w:r>
              <w:rPr>
                <w:rFonts w:ascii="Calibri" w:hAnsi="Calibri"/>
                <w:b w:val="0"/>
                <w:sz w:val="19"/>
              </w:rPr>
              <w:t>i2Nav-Robot: A Large-Scale Indoor-Outdoor Robot Dataset for Multi-Sensor Fusion Navigation — arXiv 2508.11485</w:t>
            </w:r>
          </w:p>
        </w:tc>
        <w:tc>
          <w:tcPr>
            <w:tcW w:type="dxa" w:w="794"/>
            <w:vAlign w:val="center"/>
          </w:tcPr>
          <w:p>
            <w:r/>
            <w:r>
              <w:rPr>
                <w:rFonts w:ascii="Calibri" w:hAnsi="Calibri"/>
                <w:b w:val="0"/>
                <w:sz w:val="19"/>
              </w:rPr>
              <w:t>2025</w:t>
            </w:r>
          </w:p>
        </w:tc>
        <w:tc>
          <w:tcPr>
            <w:tcW w:type="dxa" w:w="3855"/>
            <w:vAlign w:val="center"/>
          </w:tcPr>
          <w:p>
            <w:r/>
            <w:r>
              <w:rPr>
                <w:rFonts w:ascii="Calibri" w:hAnsi="Calibri"/>
                <w:b w:val="0"/>
                <w:sz w:val="19"/>
              </w:rPr>
              <w:t>Configuration multi-capteurs et synchronisation : référence de conception de banc</w:t>
            </w:r>
          </w:p>
        </w:tc>
      </w:tr>
      <w:tr>
        <w:tc>
          <w:tcPr>
            <w:tcW w:type="dxa" w:w="680"/>
            <w:vAlign w:val="center"/>
            <w:shd w:val="clear" w:color="auto" w:fill="F1F5F9"/>
          </w:tcPr>
          <w:p>
            <w:r/>
            <w:r>
              <w:rPr>
                <w:rFonts w:ascii="Calibri" w:hAnsi="Calibri"/>
                <w:b w:val="0"/>
                <w:sz w:val="19"/>
              </w:rPr>
              <w:t>S12</w:t>
            </w:r>
          </w:p>
        </w:tc>
        <w:tc>
          <w:tcPr>
            <w:tcW w:type="dxa" w:w="3742"/>
            <w:vAlign w:val="center"/>
            <w:shd w:val="clear" w:color="auto" w:fill="F1F5F9"/>
          </w:tcPr>
          <w:p>
            <w:r/>
            <w:r>
              <w:rPr>
                <w:rFonts w:ascii="Calibri" w:hAnsi="Calibri"/>
                <w:b w:val="0"/>
                <w:sz w:val="19"/>
              </w:rPr>
              <w:t>Ground Plane-Aided Extrinsic Calibration of Inertial and RGB-D Sensors for UAVs — arXiv 2606.31019</w:t>
            </w:r>
          </w:p>
        </w:tc>
        <w:tc>
          <w:tcPr>
            <w:tcW w:type="dxa" w:w="794"/>
            <w:vAlign w:val="center"/>
            <w:shd w:val="clear" w:color="auto" w:fill="F1F5F9"/>
          </w:tcPr>
          <w:p>
            <w:r/>
            <w:r>
              <w:rPr>
                <w:rFonts w:ascii="Calibri" w:hAnsi="Calibri"/>
                <w:b w:val="0"/>
                <w:sz w:val="19"/>
              </w:rPr>
              <w:t>2026</w:t>
            </w:r>
          </w:p>
        </w:tc>
        <w:tc>
          <w:tcPr>
            <w:tcW w:type="dxa" w:w="3855"/>
            <w:vAlign w:val="center"/>
            <w:shd w:val="clear" w:color="auto" w:fill="F1F5F9"/>
          </w:tcPr>
          <w:p>
            <w:r/>
            <w:r>
              <w:rPr>
                <w:rFonts w:ascii="Calibri" w:hAnsi="Calibri"/>
                <w:b w:val="0"/>
                <w:sz w:val="19"/>
              </w:rPr>
              <w:t>Calibration extrinsèque sans cible : méthode pour l'étalonnage des repères</w:t>
            </w:r>
          </w:p>
        </w:tc>
      </w:tr>
      <w:tr>
        <w:tc>
          <w:tcPr>
            <w:tcW w:type="dxa" w:w="680"/>
            <w:vAlign w:val="center"/>
          </w:tcPr>
          <w:p>
            <w:r/>
            <w:r>
              <w:rPr>
                <w:rFonts w:ascii="Calibri" w:hAnsi="Calibri"/>
                <w:b w:val="0"/>
                <w:sz w:val="19"/>
              </w:rPr>
              <w:t>S13</w:t>
            </w:r>
          </w:p>
        </w:tc>
        <w:tc>
          <w:tcPr>
            <w:tcW w:type="dxa" w:w="3742"/>
            <w:vAlign w:val="center"/>
          </w:tcPr>
          <w:p>
            <w:r/>
            <w:r>
              <w:rPr>
                <w:rFonts w:ascii="Calibri" w:hAnsi="Calibri"/>
                <w:b w:val="0"/>
                <w:sz w:val="19"/>
              </w:rPr>
              <w:t>MARS-Dragonfly: Agile and Robust Flight Control of Modular Aerial Robot Systems — arXiv 2604.05499</w:t>
            </w:r>
          </w:p>
        </w:tc>
        <w:tc>
          <w:tcPr>
            <w:tcW w:type="dxa" w:w="794"/>
            <w:vAlign w:val="center"/>
          </w:tcPr>
          <w:p>
            <w:r/>
            <w:r>
              <w:rPr>
                <w:rFonts w:ascii="Calibri" w:hAnsi="Calibri"/>
                <w:b w:val="0"/>
                <w:sz w:val="19"/>
              </w:rPr>
              <w:t>2026</w:t>
            </w:r>
          </w:p>
        </w:tc>
        <w:tc>
          <w:tcPr>
            <w:tcW w:type="dxa" w:w="3855"/>
            <w:vAlign w:val="center"/>
          </w:tcPr>
          <w:p>
            <w:r/>
            <w:r>
              <w:rPr>
                <w:rFonts w:ascii="Calibri" w:hAnsi="Calibri"/>
                <w:b w:val="0"/>
                <w:sz w:val="19"/>
              </w:rPr>
              <w:t>Systèmes modulaires reconfigurables : contrainte de robustesse pour la HAL</w:t>
            </w:r>
          </w:p>
        </w:tc>
      </w:tr>
      <w:tr>
        <w:tc>
          <w:tcPr>
            <w:tcW w:type="dxa" w:w="680"/>
            <w:vAlign w:val="center"/>
            <w:shd w:val="clear" w:color="auto" w:fill="F1F5F9"/>
          </w:tcPr>
          <w:p>
            <w:r/>
            <w:r>
              <w:rPr>
                <w:rFonts w:ascii="Calibri" w:hAnsi="Calibri"/>
                <w:b w:val="0"/>
                <w:sz w:val="19"/>
              </w:rPr>
              <w:t>S14</w:t>
            </w:r>
          </w:p>
        </w:tc>
        <w:tc>
          <w:tcPr>
            <w:tcW w:type="dxa" w:w="3742"/>
            <w:vAlign w:val="center"/>
            <w:shd w:val="clear" w:color="auto" w:fill="F1F5F9"/>
          </w:tcPr>
          <w:p>
            <w:r/>
            <w:r>
              <w:rPr>
                <w:rFonts w:ascii="Calibri" w:hAnsi="Calibri"/>
                <w:b w:val="0"/>
                <w:sz w:val="19"/>
              </w:rPr>
              <w:t>RT-SHCUA: Real-Time Self-Hosted Computer-Use Agent for UAV Control — arXiv 2607.17951</w:t>
            </w:r>
          </w:p>
        </w:tc>
        <w:tc>
          <w:tcPr>
            <w:tcW w:type="dxa" w:w="794"/>
            <w:vAlign w:val="center"/>
            <w:shd w:val="clear" w:color="auto" w:fill="F1F5F9"/>
          </w:tcPr>
          <w:p>
            <w:r/>
            <w:r>
              <w:rPr>
                <w:rFonts w:ascii="Calibri" w:hAnsi="Calibri"/>
                <w:b w:val="0"/>
                <w:sz w:val="19"/>
              </w:rPr>
              <w:t>2026</w:t>
            </w:r>
          </w:p>
        </w:tc>
        <w:tc>
          <w:tcPr>
            <w:tcW w:type="dxa" w:w="3855"/>
            <w:vAlign w:val="center"/>
            <w:shd w:val="clear" w:color="auto" w:fill="F1F5F9"/>
          </w:tcPr>
          <w:p>
            <w:r/>
            <w:r>
              <w:rPr>
                <w:rFonts w:ascii="Calibri" w:hAnsi="Calibri"/>
                <w:b w:val="0"/>
                <w:sz w:val="19"/>
              </w:rPr>
              <w:t>Exigences temps réel et de traçabilité pour l'intégration d'agents : contrainte de sécurité</w:t>
            </w:r>
          </w:p>
        </w:tc>
      </w:tr>
    </w:tbl>
    <w:p>
      <w:pPr>
        <w:spacing w:after="40"/>
      </w:pPr>
    </w:p>
    <w:p>
      <w:pPr/>
      <w:r>
        <w:rPr>
          <w:b w:val="0"/>
          <w:i/>
          <w:color w:val="5A6B7A"/>
          <w:sz w:val="18"/>
        </w:rPr>
        <w:t>Toutes les sources S1-S14 sont des préprints arXiv (2021-2026) ou des articles publiés, résolus par identifiant primaire. Le statut préprint est signalé : ces travaux sont récents et leur statut de revue par les pairs doit être re-vérifié avant tout usage normatif. Aucune source n'a été inventée ni extrapolée.</w:t>
      </w:r>
    </w:p>
    <w:p>
      <w:pPr>
        <w:pStyle w:val="Heading2"/>
      </w:pPr>
      <w:r>
        <w:t>Bloc 2 · Interface</w:t>
      </w:r>
    </w:p>
    <w:tbl>
      <w:tblPr>
        <w:tblStyle w:val="TableGrid"/>
        <w:tblW w:type="auto" w:w="0"/>
        <w:jc w:val="center"/>
        <w:tblLayout w:type="fixed"/>
        <w:tblLook w:firstColumn="1" w:firstRow="1" w:lastColumn="0" w:lastRow="0" w:noHBand="0" w:noVBand="1" w:val="04A0"/>
      </w:tblPr>
      <w:tblGrid>
        <w:gridCol w:w="4706"/>
        <w:gridCol w:w="4706"/>
      </w:tblGrid>
      <w:tr>
        <w:tc>
          <w:tcPr>
            <w:tcW w:type="dxa" w:w="2551"/>
            <w:vAlign w:val="center"/>
            <w:shd w:val="clear" w:color="auto" w:fill="16283F"/>
          </w:tcPr>
          <w:p>
            <w:r/>
            <w:r>
              <w:rPr>
                <w:rFonts w:ascii="Calibri" w:hAnsi="Calibri"/>
                <w:b/>
                <w:color w:val="FFFFFF"/>
                <w:sz w:val="19"/>
              </w:rPr>
              <w:t>Finalité</w:t>
            </w:r>
          </w:p>
        </w:tc>
        <w:tc>
          <w:tcPr>
            <w:tcW w:type="dxa" w:w="6803"/>
            <w:vAlign w:val="center"/>
          </w:tcPr>
          <w:p>
            <w:r/>
            <w:r>
              <w:rPr>
                <w:rFonts w:ascii="Calibri" w:hAnsi="Calibri"/>
                <w:b w:val="0"/>
                <w:sz w:val="19"/>
              </w:rPr>
              <w:t>Acquérir les mesures des capteurs hétérogènes, les normaliser (unités, repères, horodatage) et les exposer de façon uniforme aux algorithmes consommateurs, indépendamment de la plateforme</w:t>
            </w:r>
          </w:p>
        </w:tc>
      </w:tr>
      <w:tr>
        <w:tc>
          <w:tcPr>
            <w:tcW w:type="dxa" w:w="2551"/>
            <w:vAlign w:val="center"/>
            <w:shd w:val="clear" w:color="auto" w:fill="16283F"/>
          </w:tcPr>
          <w:p>
            <w:r/>
            <w:r>
              <w:rPr>
                <w:rFonts w:ascii="Calibri" w:hAnsi="Calibri"/>
                <w:b/>
                <w:color w:val="FFFFFF"/>
                <w:sz w:val="19"/>
              </w:rPr>
              <w:t>Entrées (7)</w:t>
            </w:r>
          </w:p>
        </w:tc>
        <w:tc>
          <w:tcPr>
            <w:tcW w:type="dxa" w:w="6803"/>
            <w:vAlign w:val="center"/>
          </w:tcPr>
          <w:p>
            <w:r/>
            <w:r>
              <w:rPr>
                <w:rFonts w:ascii="Calibri" w:hAnsi="Calibri"/>
                <w:b w:val="0"/>
                <w:sz w:val="19"/>
              </w:rPr>
              <w:t>radios (radio) ; imu, gnss, odometry, perceptionRel, saeSensor, healthSensor (flow)</w:t>
            </w:r>
          </w:p>
        </w:tc>
      </w:tr>
      <w:tr>
        <w:tc>
          <w:tcPr>
            <w:tcW w:type="dxa" w:w="2551"/>
            <w:vAlign w:val="center"/>
            <w:shd w:val="clear" w:color="auto" w:fill="16283F"/>
          </w:tcPr>
          <w:p>
            <w:r/>
            <w:r>
              <w:rPr>
                <w:rFonts w:ascii="Calibri" w:hAnsi="Calibri"/>
                <w:b/>
                <w:color w:val="FFFFFF"/>
                <w:sz w:val="19"/>
              </w:rPr>
              <w:t>Sorties (3)</w:t>
            </w:r>
          </w:p>
        </w:tc>
        <w:tc>
          <w:tcPr>
            <w:tcW w:type="dxa" w:w="6803"/>
            <w:vAlign w:val="center"/>
          </w:tcPr>
          <w:p>
            <w:r/>
            <w:r>
              <w:rPr>
                <w:rFonts w:ascii="Calibri" w:hAnsi="Calibri"/>
                <w:b w:val="0"/>
                <w:sz w:val="19"/>
              </w:rPr>
              <w:t>perception (flux capteurs, 10-60 Hz, safety-critical) ; health (santé capteurs, mission-critical) ; autopilot (état navigation, safety-critical)</w:t>
            </w:r>
          </w:p>
        </w:tc>
      </w:tr>
      <w:tr>
        <w:tc>
          <w:tcPr>
            <w:tcW w:type="dxa" w:w="2551"/>
            <w:vAlign w:val="center"/>
            <w:shd w:val="clear" w:color="auto" w:fill="16283F"/>
          </w:tcPr>
          <w:p>
            <w:r/>
            <w:r>
              <w:rPr>
                <w:rFonts w:ascii="Calibri" w:hAnsi="Calibri"/>
                <w:b/>
                <w:color w:val="FFFFFF"/>
                <w:sz w:val="19"/>
              </w:rPr>
              <w:t>Paramètres</w:t>
            </w:r>
          </w:p>
        </w:tc>
        <w:tc>
          <w:tcPr>
            <w:tcW w:type="dxa" w:w="6803"/>
            <w:vAlign w:val="center"/>
          </w:tcPr>
          <w:p>
            <w:r/>
            <w:r>
              <w:rPr>
                <w:rFonts w:ascii="Calibri" w:hAnsi="Calibri"/>
                <w:b w:val="0"/>
                <w:sz w:val="19"/>
              </w:rPr>
              <w:t>frequence (selon capteur) ; principe (abstraction obligatoire) ; criticite (safety-critical)</w:t>
            </w:r>
          </w:p>
        </w:tc>
      </w:tr>
      <w:tr>
        <w:tc>
          <w:tcPr>
            <w:tcW w:type="dxa" w:w="2551"/>
            <w:vAlign w:val="center"/>
            <w:shd w:val="clear" w:color="auto" w:fill="16283F"/>
          </w:tcPr>
          <w:p>
            <w:r/>
            <w:r>
              <w:rPr>
                <w:rFonts w:ascii="Calibri" w:hAnsi="Calibri"/>
                <w:b/>
                <w:color w:val="FFFFFF"/>
                <w:sz w:val="19"/>
              </w:rPr>
              <w:t>Hypothèses</w:t>
            </w:r>
          </w:p>
        </w:tc>
        <w:tc>
          <w:tcPr>
            <w:tcW w:type="dxa" w:w="6803"/>
            <w:vAlign w:val="center"/>
          </w:tcPr>
          <w:p>
            <w:r/>
            <w:r>
              <w:rPr>
                <w:rFonts w:ascii="Calibri" w:hAnsi="Calibri"/>
                <w:b w:val="0"/>
                <w:sz w:val="19"/>
              </w:rPr>
              <w:t>Les capteurs sont accessibles via des bus documentés ; l'horloge de bord fournit une base de temps monotone ; les drivers sont fournis par la plateforme</w:t>
            </w:r>
          </w:p>
        </w:tc>
      </w:tr>
      <w:tr>
        <w:tc>
          <w:tcPr>
            <w:tcW w:type="dxa" w:w="2551"/>
            <w:vAlign w:val="center"/>
            <w:shd w:val="clear" w:color="auto" w:fill="16283F"/>
          </w:tcPr>
          <w:p>
            <w:r/>
            <w:r>
              <w:rPr>
                <w:rFonts w:ascii="Calibri" w:hAnsi="Calibri"/>
                <w:b/>
                <w:color w:val="FFFFFF"/>
                <w:sz w:val="19"/>
              </w:rPr>
              <w:t>Contraintes</w:t>
            </w:r>
          </w:p>
        </w:tc>
        <w:tc>
          <w:tcPr>
            <w:tcW w:type="dxa" w:w="6803"/>
            <w:vAlign w:val="center"/>
          </w:tcPr>
          <w:p>
            <w:r/>
            <w:r>
              <w:rPr>
                <w:rFonts w:ascii="Calibri" w:hAnsi="Calibri"/>
                <w:b w:val="0"/>
                <w:sz w:val="19"/>
              </w:rPr>
              <w:t>Abstraction obligatoire : aucun algorithme ne lit un capteur directement ; normalisation complète sans perte ; bornage temporel de l'acquisition</w:t>
            </w:r>
          </w:p>
        </w:tc>
      </w:tr>
    </w:tbl>
    <w:p>
      <w:pPr>
        <w:spacing w:after="40"/>
      </w:pPr>
    </w:p>
    <w:p>
      <w:pPr>
        <w:pStyle w:val="Heading3"/>
      </w:pPr>
      <w:r>
        <w:t>4.2.1 Contrat d'interface</w:t>
      </w:r>
    </w:p>
    <w:p>
      <w:pPr>
        <w:spacing w:after="80"/>
      </w:pPr>
      <w:r>
        <w:rPr>
          <w:b w:val="0"/>
          <w:i w:val="0"/>
        </w:rPr>
        <w:t>Le contrat est défini par les relations du modèle LikeC4 :</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907"/>
            <w:vAlign w:val="center"/>
            <w:shd w:val="clear" w:color="auto" w:fill="16283F"/>
          </w:tcPr>
          <w:p>
            <w:pPr>
              <w:jc w:val="center"/>
            </w:pPr>
            <w:r/>
            <w:r>
              <w:rPr>
                <w:rFonts w:ascii="Calibri" w:hAnsi="Calibri"/>
                <w:b/>
                <w:color w:val="FFFFFF"/>
                <w:sz w:val="19"/>
              </w:rPr>
              <w:t>Sens</w:t>
            </w:r>
          </w:p>
        </w:tc>
        <w:tc>
          <w:tcPr>
            <w:tcW w:type="dxa" w:w="1928"/>
            <w:vAlign w:val="center"/>
            <w:shd w:val="clear" w:color="auto" w:fill="16283F"/>
          </w:tcPr>
          <w:p>
            <w:pPr>
              <w:jc w:val="center"/>
            </w:pPr>
            <w:r/>
            <w:r>
              <w:rPr>
                <w:rFonts w:ascii="Calibri" w:hAnsi="Calibri"/>
                <w:b/>
                <w:color w:val="FFFFFF"/>
                <w:sz w:val="19"/>
              </w:rPr>
              <w:t>Source</w:t>
            </w:r>
          </w:p>
        </w:tc>
        <w:tc>
          <w:tcPr>
            <w:tcW w:type="dxa" w:w="1928"/>
            <w:vAlign w:val="center"/>
            <w:shd w:val="clear" w:color="auto" w:fill="16283F"/>
          </w:tcPr>
          <w:p>
            <w:pPr>
              <w:jc w:val="center"/>
            </w:pPr>
            <w:r/>
            <w:r>
              <w:rPr>
                <w:rFonts w:ascii="Calibri" w:hAnsi="Calibri"/>
                <w:b/>
                <w:color w:val="FFFFFF"/>
                <w:sz w:val="19"/>
              </w:rPr>
              <w:t>Cible</w:t>
            </w:r>
          </w:p>
        </w:tc>
        <w:tc>
          <w:tcPr>
            <w:tcW w:type="dxa" w:w="1020"/>
            <w:vAlign w:val="center"/>
            <w:shd w:val="clear" w:color="auto" w:fill="16283F"/>
          </w:tcPr>
          <w:p>
            <w:pPr>
              <w:jc w:val="center"/>
            </w:pPr>
            <w:r/>
            <w:r>
              <w:rPr>
                <w:rFonts w:ascii="Calibri" w:hAnsi="Calibri"/>
                <w:b/>
                <w:color w:val="FFFFFF"/>
                <w:sz w:val="19"/>
              </w:rPr>
              <w:t>Relation</w:t>
            </w:r>
          </w:p>
        </w:tc>
        <w:tc>
          <w:tcPr>
            <w:tcW w:type="dxa" w:w="2494"/>
            <w:vAlign w:val="center"/>
            <w:shd w:val="clear" w:color="auto" w:fill="16283F"/>
          </w:tcPr>
          <w:p>
            <w:pPr>
              <w:jc w:val="center"/>
            </w:pPr>
            <w:r/>
            <w:r>
              <w:rPr>
                <w:rFonts w:ascii="Calibri" w:hAnsi="Calibri"/>
                <w:b/>
                <w:color w:val="FFFFFF"/>
                <w:sz w:val="19"/>
              </w:rPr>
              <w:t>Libellé</w:t>
            </w:r>
          </w:p>
        </w:tc>
        <w:tc>
          <w:tcPr>
            <w:tcW w:type="dxa" w:w="1361"/>
            <w:vAlign w:val="center"/>
            <w:shd w:val="clear" w:color="auto" w:fill="16283F"/>
          </w:tcPr>
          <w:p>
            <w:pPr>
              <w:jc w:val="center"/>
            </w:pPr>
            <w:r/>
            <w:r>
              <w:rPr>
                <w:rFonts w:ascii="Calibri" w:hAnsi="Calibri"/>
                <w:b/>
                <w:color w:val="FFFFFF"/>
                <w:sz w:val="19"/>
              </w:rPr>
              <w:t>Criticité</w:t>
            </w:r>
          </w:p>
        </w:tc>
      </w:tr>
      <w:tr>
        <w:tc>
          <w:tcPr>
            <w:tcW w:type="dxa" w:w="907"/>
            <w:vAlign w:val="center"/>
          </w:tcPr>
          <w:p>
            <w:r/>
            <w:r>
              <w:rPr>
                <w:rFonts w:ascii="Calibri" w:hAnsi="Calibri"/>
                <w:b w:val="0"/>
                <w:sz w:val="19"/>
              </w:rPr>
              <w:t>Entrée</w:t>
            </w:r>
          </w:p>
        </w:tc>
        <w:tc>
          <w:tcPr>
            <w:tcW w:type="dxa" w:w="1928"/>
            <w:vAlign w:val="center"/>
          </w:tcPr>
          <w:p>
            <w:r/>
            <w:r>
              <w:rPr>
                <w:rFonts w:ascii="Calibri" w:hAnsi="Calibri"/>
                <w:b w:val="0"/>
                <w:sz w:val="19"/>
              </w:rPr>
              <w:t>radios</w:t>
            </w:r>
          </w:p>
        </w:tc>
        <w:tc>
          <w:tcPr>
            <w:tcW w:type="dxa" w:w="1928"/>
            <w:vAlign w:val="center"/>
          </w:tcPr>
          <w:p>
            <w:r/>
            <w:r>
              <w:rPr>
                <w:rFonts w:ascii="Calibri" w:hAnsi="Calibri"/>
                <w:b w:val="0"/>
                <w:sz w:val="19"/>
              </w:rPr>
              <w:t>sensorsHAL</w:t>
            </w:r>
          </w:p>
        </w:tc>
        <w:tc>
          <w:tcPr>
            <w:tcW w:type="dxa" w:w="1020"/>
            <w:vAlign w:val="center"/>
          </w:tcPr>
          <w:p>
            <w:r/>
            <w:r>
              <w:rPr>
                <w:rFonts w:ascii="Calibri" w:hAnsi="Calibri"/>
                <w:b w:val="0"/>
                <w:sz w:val="19"/>
              </w:rPr>
              <w:t>radio</w:t>
            </w:r>
          </w:p>
        </w:tc>
        <w:tc>
          <w:tcPr>
            <w:tcW w:type="dxa" w:w="2494"/>
            <w:vAlign w:val="center"/>
          </w:tcPr>
          <w:p>
            <w:r/>
            <w:r>
              <w:rPr>
                <w:rFonts w:ascii="Calibri" w:hAnsi="Calibri"/>
                <w:b w:val="0"/>
                <w:sz w:val="19"/>
              </w:rPr>
              <w:t>capteurs / GNSS / liaisons physiques</w:t>
            </w:r>
          </w:p>
        </w:tc>
        <w:tc>
          <w:tcPr>
            <w:tcW w:type="dxa" w:w="1361"/>
            <w:vAlign w:val="center"/>
          </w:tcPr>
          <w:p>
            <w:r/>
            <w:r>
              <w:rPr>
                <w:rFonts w:ascii="Calibri" w:hAnsi="Calibri"/>
                <w:b w:val="0"/>
                <w:sz w:val="19"/>
              </w:rPr>
              <w:t>safety-critical</w:t>
            </w:r>
          </w:p>
        </w:tc>
      </w:tr>
      <w:tr>
        <w:tc>
          <w:tcPr>
            <w:tcW w:type="dxa" w:w="907"/>
            <w:vAlign w:val="center"/>
            <w:shd w:val="clear" w:color="auto" w:fill="F1F5F9"/>
          </w:tcPr>
          <w:p>
            <w:r/>
            <w:r>
              <w:rPr>
                <w:rFonts w:ascii="Calibri" w:hAnsi="Calibri"/>
                <w:b w:val="0"/>
                <w:sz w:val="19"/>
              </w:rPr>
              <w:t>Entrée</w:t>
            </w:r>
          </w:p>
        </w:tc>
        <w:tc>
          <w:tcPr>
            <w:tcW w:type="dxa" w:w="1928"/>
            <w:vAlign w:val="center"/>
            <w:shd w:val="clear" w:color="auto" w:fill="F1F5F9"/>
          </w:tcPr>
          <w:p>
            <w:r/>
            <w:r>
              <w:rPr>
                <w:rFonts w:ascii="Calibri" w:hAnsi="Calibri"/>
                <w:b w:val="0"/>
                <w:sz w:val="19"/>
              </w:rPr>
              <w:t>refDrone.imu</w:t>
            </w:r>
          </w:p>
        </w:tc>
        <w:tc>
          <w:tcPr>
            <w:tcW w:type="dxa" w:w="1928"/>
            <w:vAlign w:val="center"/>
            <w:shd w:val="clear" w:color="auto" w:fill="F1F5F9"/>
          </w:tcPr>
          <w:p>
            <w:r/>
            <w:r>
              <w:rPr>
                <w:rFonts w:ascii="Calibri" w:hAnsi="Calibri"/>
                <w:b w:val="0"/>
                <w:sz w:val="19"/>
              </w:rPr>
              <w:t>sensorsHAL</w:t>
            </w:r>
          </w:p>
        </w:tc>
        <w:tc>
          <w:tcPr>
            <w:tcW w:type="dxa" w:w="1020"/>
            <w:vAlign w:val="center"/>
            <w:shd w:val="clear" w:color="auto" w:fill="F1F5F9"/>
          </w:tcPr>
          <w:p>
            <w:r/>
            <w:r>
              <w:rPr>
                <w:rFonts w:ascii="Calibri" w:hAnsi="Calibri"/>
                <w:b w:val="0"/>
                <w:sz w:val="19"/>
              </w:rPr>
              <w:t>flow</w:t>
            </w:r>
          </w:p>
        </w:tc>
        <w:tc>
          <w:tcPr>
            <w:tcW w:type="dxa" w:w="2494"/>
            <w:vAlign w:val="center"/>
            <w:shd w:val="clear" w:color="auto" w:fill="F1F5F9"/>
          </w:tcPr>
          <w:p>
            <w:r/>
            <w:r>
              <w:rPr>
                <w:rFonts w:ascii="Calibri" w:hAnsi="Calibri"/>
                <w:b w:val="0"/>
                <w:sz w:val="19"/>
              </w:rPr>
              <w:t>état inertiel</w:t>
            </w:r>
          </w:p>
        </w:tc>
        <w:tc>
          <w:tcPr>
            <w:tcW w:type="dxa" w:w="1361"/>
            <w:vAlign w:val="center"/>
            <w:shd w:val="clear" w:color="auto" w:fill="F1F5F9"/>
          </w:tcPr>
          <w:p>
            <w:r/>
            <w:r>
              <w:rPr>
                <w:rFonts w:ascii="Calibri" w:hAnsi="Calibri"/>
                <w:b w:val="0"/>
                <w:sz w:val="19"/>
              </w:rPr>
              <w:t>—</w:t>
            </w:r>
          </w:p>
        </w:tc>
      </w:tr>
      <w:tr>
        <w:tc>
          <w:tcPr>
            <w:tcW w:type="dxa" w:w="907"/>
            <w:vAlign w:val="center"/>
          </w:tcPr>
          <w:p>
            <w:r/>
            <w:r>
              <w:rPr>
                <w:rFonts w:ascii="Calibri" w:hAnsi="Calibri"/>
                <w:b w:val="0"/>
                <w:sz w:val="19"/>
              </w:rPr>
              <w:t>Entrée</w:t>
            </w:r>
          </w:p>
        </w:tc>
        <w:tc>
          <w:tcPr>
            <w:tcW w:type="dxa" w:w="1928"/>
            <w:vAlign w:val="center"/>
          </w:tcPr>
          <w:p>
            <w:r/>
            <w:r>
              <w:rPr>
                <w:rFonts w:ascii="Calibri" w:hAnsi="Calibri"/>
                <w:b w:val="0"/>
                <w:sz w:val="19"/>
              </w:rPr>
              <w:t>refDrone.gnss</w:t>
            </w:r>
          </w:p>
        </w:tc>
        <w:tc>
          <w:tcPr>
            <w:tcW w:type="dxa" w:w="1928"/>
            <w:vAlign w:val="center"/>
          </w:tcPr>
          <w:p>
            <w:r/>
            <w:r>
              <w:rPr>
                <w:rFonts w:ascii="Calibri" w:hAnsi="Calibri"/>
                <w:b w:val="0"/>
                <w:sz w:val="19"/>
              </w:rPr>
              <w:t>sensorsHAL</w:t>
            </w:r>
          </w:p>
        </w:tc>
        <w:tc>
          <w:tcPr>
            <w:tcW w:type="dxa" w:w="1020"/>
            <w:vAlign w:val="center"/>
          </w:tcPr>
          <w:p>
            <w:r/>
            <w:r>
              <w:rPr>
                <w:rFonts w:ascii="Calibri" w:hAnsi="Calibri"/>
                <w:b w:val="0"/>
                <w:sz w:val="19"/>
              </w:rPr>
              <w:t>flow</w:t>
            </w:r>
          </w:p>
        </w:tc>
        <w:tc>
          <w:tcPr>
            <w:tcW w:type="dxa" w:w="2494"/>
            <w:vAlign w:val="center"/>
          </w:tcPr>
          <w:p>
            <w:r/>
            <w:r>
              <w:rPr>
                <w:rFonts w:ascii="Calibri" w:hAnsi="Calibri"/>
                <w:b w:val="0"/>
                <w:sz w:val="19"/>
              </w:rPr>
              <w:t>position absolue</w:t>
            </w:r>
          </w:p>
        </w:tc>
        <w:tc>
          <w:tcPr>
            <w:tcW w:type="dxa" w:w="1361"/>
            <w:vAlign w:val="center"/>
          </w:tcPr>
          <w:p>
            <w:r/>
            <w:r>
              <w:rPr>
                <w:rFonts w:ascii="Calibri" w:hAnsi="Calibri"/>
                <w:b w:val="0"/>
                <w:sz w:val="19"/>
              </w:rPr>
              <w:t>—</w:t>
            </w:r>
          </w:p>
        </w:tc>
      </w:tr>
      <w:tr>
        <w:tc>
          <w:tcPr>
            <w:tcW w:type="dxa" w:w="907"/>
            <w:vAlign w:val="center"/>
            <w:shd w:val="clear" w:color="auto" w:fill="F1F5F9"/>
          </w:tcPr>
          <w:p>
            <w:r/>
            <w:r>
              <w:rPr>
                <w:rFonts w:ascii="Calibri" w:hAnsi="Calibri"/>
                <w:b w:val="0"/>
                <w:sz w:val="19"/>
              </w:rPr>
              <w:t>Entrée</w:t>
            </w:r>
          </w:p>
        </w:tc>
        <w:tc>
          <w:tcPr>
            <w:tcW w:type="dxa" w:w="1928"/>
            <w:vAlign w:val="center"/>
            <w:shd w:val="clear" w:color="auto" w:fill="F1F5F9"/>
          </w:tcPr>
          <w:p>
            <w:r/>
            <w:r>
              <w:rPr>
                <w:rFonts w:ascii="Calibri" w:hAnsi="Calibri"/>
                <w:b w:val="0"/>
                <w:sz w:val="19"/>
              </w:rPr>
              <w:t>refDrone.odometry</w:t>
            </w:r>
          </w:p>
        </w:tc>
        <w:tc>
          <w:tcPr>
            <w:tcW w:type="dxa" w:w="1928"/>
            <w:vAlign w:val="center"/>
            <w:shd w:val="clear" w:color="auto" w:fill="F1F5F9"/>
          </w:tcPr>
          <w:p>
            <w:r/>
            <w:r>
              <w:rPr>
                <w:rFonts w:ascii="Calibri" w:hAnsi="Calibri"/>
                <w:b w:val="0"/>
                <w:sz w:val="19"/>
              </w:rPr>
              <w:t>sensorsHAL</w:t>
            </w:r>
          </w:p>
        </w:tc>
        <w:tc>
          <w:tcPr>
            <w:tcW w:type="dxa" w:w="1020"/>
            <w:vAlign w:val="center"/>
            <w:shd w:val="clear" w:color="auto" w:fill="F1F5F9"/>
          </w:tcPr>
          <w:p>
            <w:r/>
            <w:r>
              <w:rPr>
                <w:rFonts w:ascii="Calibri" w:hAnsi="Calibri"/>
                <w:b w:val="0"/>
                <w:sz w:val="19"/>
              </w:rPr>
              <w:t>flow</w:t>
            </w:r>
          </w:p>
        </w:tc>
        <w:tc>
          <w:tcPr>
            <w:tcW w:type="dxa" w:w="2494"/>
            <w:vAlign w:val="center"/>
            <w:shd w:val="clear" w:color="auto" w:fill="F1F5F9"/>
          </w:tcPr>
          <w:p>
            <w:r/>
            <w:r>
              <w:rPr>
                <w:rFonts w:ascii="Calibri" w:hAnsi="Calibri"/>
                <w:b w:val="0"/>
                <w:sz w:val="19"/>
              </w:rPr>
              <w:t>vitesse / cap / altitude</w:t>
            </w:r>
          </w:p>
        </w:tc>
        <w:tc>
          <w:tcPr>
            <w:tcW w:type="dxa" w:w="1361"/>
            <w:vAlign w:val="center"/>
            <w:shd w:val="clear" w:color="auto" w:fill="F1F5F9"/>
          </w:tcPr>
          <w:p>
            <w:r/>
            <w:r>
              <w:rPr>
                <w:rFonts w:ascii="Calibri" w:hAnsi="Calibri"/>
                <w:b w:val="0"/>
                <w:sz w:val="19"/>
              </w:rPr>
              <w:t>—</w:t>
            </w:r>
          </w:p>
        </w:tc>
      </w:tr>
      <w:tr>
        <w:tc>
          <w:tcPr>
            <w:tcW w:type="dxa" w:w="907"/>
            <w:vAlign w:val="center"/>
          </w:tcPr>
          <w:p>
            <w:r/>
            <w:r>
              <w:rPr>
                <w:rFonts w:ascii="Calibri" w:hAnsi="Calibri"/>
                <w:b w:val="0"/>
                <w:sz w:val="19"/>
              </w:rPr>
              <w:t>Entrée</w:t>
            </w:r>
          </w:p>
        </w:tc>
        <w:tc>
          <w:tcPr>
            <w:tcW w:type="dxa" w:w="1928"/>
            <w:vAlign w:val="center"/>
          </w:tcPr>
          <w:p>
            <w:r/>
            <w:r>
              <w:rPr>
                <w:rFonts w:ascii="Calibri" w:hAnsi="Calibri"/>
                <w:b w:val="0"/>
                <w:sz w:val="19"/>
              </w:rPr>
              <w:t>refDrone.perceptionRel</w:t>
            </w:r>
          </w:p>
        </w:tc>
        <w:tc>
          <w:tcPr>
            <w:tcW w:type="dxa" w:w="1928"/>
            <w:vAlign w:val="center"/>
          </w:tcPr>
          <w:p>
            <w:r/>
            <w:r>
              <w:rPr>
                <w:rFonts w:ascii="Calibri" w:hAnsi="Calibri"/>
                <w:b w:val="0"/>
                <w:sz w:val="19"/>
              </w:rPr>
              <w:t>sensorsHAL</w:t>
            </w:r>
          </w:p>
        </w:tc>
        <w:tc>
          <w:tcPr>
            <w:tcW w:type="dxa" w:w="1020"/>
            <w:vAlign w:val="center"/>
          </w:tcPr>
          <w:p>
            <w:r/>
            <w:r>
              <w:rPr>
                <w:rFonts w:ascii="Calibri" w:hAnsi="Calibri"/>
                <w:b w:val="0"/>
                <w:sz w:val="19"/>
              </w:rPr>
              <w:t>flow</w:t>
            </w:r>
          </w:p>
        </w:tc>
        <w:tc>
          <w:tcPr>
            <w:tcW w:type="dxa" w:w="2494"/>
            <w:vAlign w:val="center"/>
          </w:tcPr>
          <w:p>
            <w:r/>
            <w:r>
              <w:rPr>
                <w:rFonts w:ascii="Calibri" w:hAnsi="Calibri"/>
                <w:b w:val="0"/>
                <w:sz w:val="19"/>
              </w:rPr>
              <w:t>pistes relatives voisins</w:t>
            </w:r>
          </w:p>
        </w:tc>
        <w:tc>
          <w:tcPr>
            <w:tcW w:type="dxa" w:w="1361"/>
            <w:vAlign w:val="center"/>
          </w:tcPr>
          <w:p>
            <w:r/>
            <w:r>
              <w:rPr>
                <w:rFonts w:ascii="Calibri" w:hAnsi="Calibri"/>
                <w:b w:val="0"/>
                <w:sz w:val="19"/>
              </w:rPr>
              <w:t>—</w:t>
            </w:r>
          </w:p>
        </w:tc>
      </w:tr>
      <w:tr>
        <w:tc>
          <w:tcPr>
            <w:tcW w:type="dxa" w:w="907"/>
            <w:vAlign w:val="center"/>
            <w:shd w:val="clear" w:color="auto" w:fill="F1F5F9"/>
          </w:tcPr>
          <w:p>
            <w:r/>
            <w:r>
              <w:rPr>
                <w:rFonts w:ascii="Calibri" w:hAnsi="Calibri"/>
                <w:b w:val="0"/>
                <w:sz w:val="19"/>
              </w:rPr>
              <w:t>Entrée</w:t>
            </w:r>
          </w:p>
        </w:tc>
        <w:tc>
          <w:tcPr>
            <w:tcW w:type="dxa" w:w="1928"/>
            <w:vAlign w:val="center"/>
            <w:shd w:val="clear" w:color="auto" w:fill="F1F5F9"/>
          </w:tcPr>
          <w:p>
            <w:r/>
            <w:r>
              <w:rPr>
                <w:rFonts w:ascii="Calibri" w:hAnsi="Calibri"/>
                <w:b w:val="0"/>
                <w:sz w:val="19"/>
              </w:rPr>
              <w:t>refDrone.saeSensor</w:t>
            </w:r>
          </w:p>
        </w:tc>
        <w:tc>
          <w:tcPr>
            <w:tcW w:type="dxa" w:w="1928"/>
            <w:vAlign w:val="center"/>
            <w:shd w:val="clear" w:color="auto" w:fill="F1F5F9"/>
          </w:tcPr>
          <w:p>
            <w:r/>
            <w:r>
              <w:rPr>
                <w:rFonts w:ascii="Calibri" w:hAnsi="Calibri"/>
                <w:b w:val="0"/>
                <w:sz w:val="19"/>
              </w:rPr>
              <w:t>sensorsHAL</w:t>
            </w:r>
          </w:p>
        </w:tc>
        <w:tc>
          <w:tcPr>
            <w:tcW w:type="dxa" w:w="1020"/>
            <w:vAlign w:val="center"/>
            <w:shd w:val="clear" w:color="auto" w:fill="F1F5F9"/>
          </w:tcPr>
          <w:p>
            <w:r/>
            <w:r>
              <w:rPr>
                <w:rFonts w:ascii="Calibri" w:hAnsi="Calibri"/>
                <w:b w:val="0"/>
                <w:sz w:val="19"/>
              </w:rPr>
              <w:t>flow</w:t>
            </w:r>
          </w:p>
        </w:tc>
        <w:tc>
          <w:tcPr>
            <w:tcW w:type="dxa" w:w="2494"/>
            <w:vAlign w:val="center"/>
            <w:shd w:val="clear" w:color="auto" w:fill="F1F5F9"/>
          </w:tcPr>
          <w:p>
            <w:r/>
            <w:r>
              <w:rPr>
                <w:rFonts w:ascii="Calibri" w:hAnsi="Calibri"/>
                <w:b w:val="0"/>
                <w:sz w:val="19"/>
              </w:rPr>
              <w:t>obstacles proches</w:t>
            </w:r>
          </w:p>
        </w:tc>
        <w:tc>
          <w:tcPr>
            <w:tcW w:type="dxa" w:w="1361"/>
            <w:vAlign w:val="center"/>
            <w:shd w:val="clear" w:color="auto" w:fill="F1F5F9"/>
          </w:tcPr>
          <w:p>
            <w:r/>
            <w:r>
              <w:rPr>
                <w:rFonts w:ascii="Calibri" w:hAnsi="Calibri"/>
                <w:b w:val="0"/>
                <w:sz w:val="19"/>
              </w:rPr>
              <w:t>—</w:t>
            </w:r>
          </w:p>
        </w:tc>
      </w:tr>
      <w:tr>
        <w:tc>
          <w:tcPr>
            <w:tcW w:type="dxa" w:w="907"/>
            <w:vAlign w:val="center"/>
          </w:tcPr>
          <w:p>
            <w:r/>
            <w:r>
              <w:rPr>
                <w:rFonts w:ascii="Calibri" w:hAnsi="Calibri"/>
                <w:b w:val="0"/>
                <w:sz w:val="19"/>
              </w:rPr>
              <w:t>Entrée</w:t>
            </w:r>
          </w:p>
        </w:tc>
        <w:tc>
          <w:tcPr>
            <w:tcW w:type="dxa" w:w="1928"/>
            <w:vAlign w:val="center"/>
          </w:tcPr>
          <w:p>
            <w:r/>
            <w:r>
              <w:rPr>
                <w:rFonts w:ascii="Calibri" w:hAnsi="Calibri"/>
                <w:b w:val="0"/>
                <w:sz w:val="19"/>
              </w:rPr>
              <w:t>refDrone.healthSensor</w:t>
            </w:r>
          </w:p>
        </w:tc>
        <w:tc>
          <w:tcPr>
            <w:tcW w:type="dxa" w:w="1928"/>
            <w:vAlign w:val="center"/>
          </w:tcPr>
          <w:p>
            <w:r/>
            <w:r>
              <w:rPr>
                <w:rFonts w:ascii="Calibri" w:hAnsi="Calibri"/>
                <w:b w:val="0"/>
                <w:sz w:val="19"/>
              </w:rPr>
              <w:t>sensorsHAL</w:t>
            </w:r>
          </w:p>
        </w:tc>
        <w:tc>
          <w:tcPr>
            <w:tcW w:type="dxa" w:w="1020"/>
            <w:vAlign w:val="center"/>
          </w:tcPr>
          <w:p>
            <w:r/>
            <w:r>
              <w:rPr>
                <w:rFonts w:ascii="Calibri" w:hAnsi="Calibri"/>
                <w:b w:val="0"/>
                <w:sz w:val="19"/>
              </w:rPr>
              <w:t>flow</w:t>
            </w:r>
          </w:p>
        </w:tc>
        <w:tc>
          <w:tcPr>
            <w:tcW w:type="dxa" w:w="2494"/>
            <w:vAlign w:val="center"/>
          </w:tcPr>
          <w:p>
            <w:r/>
            <w:r>
              <w:rPr>
                <w:rFonts w:ascii="Calibri" w:hAnsi="Calibri"/>
                <w:b w:val="0"/>
                <w:sz w:val="19"/>
              </w:rPr>
              <w:t>état matériel</w:t>
            </w:r>
          </w:p>
        </w:tc>
        <w:tc>
          <w:tcPr>
            <w:tcW w:type="dxa" w:w="1361"/>
            <w:vAlign w:val="center"/>
          </w:tcPr>
          <w:p>
            <w:r/>
            <w:r>
              <w:rPr>
                <w:rFonts w:ascii="Calibri" w:hAnsi="Calibri"/>
                <w:b w:val="0"/>
                <w:sz w:val="19"/>
              </w:rPr>
              <w:t>—</w:t>
            </w:r>
          </w:p>
        </w:tc>
      </w:tr>
      <w:tr>
        <w:tc>
          <w:tcPr>
            <w:tcW w:type="dxa" w:w="907"/>
            <w:vAlign w:val="center"/>
            <w:shd w:val="clear" w:color="auto" w:fill="F1F5F9"/>
          </w:tcPr>
          <w:p>
            <w:r/>
            <w:r>
              <w:rPr>
                <w:rFonts w:ascii="Calibri" w:hAnsi="Calibri"/>
                <w:b w:val="0"/>
                <w:sz w:val="19"/>
              </w:rPr>
              <w:t>Sortie</w:t>
            </w:r>
          </w:p>
        </w:tc>
        <w:tc>
          <w:tcPr>
            <w:tcW w:type="dxa" w:w="1928"/>
            <w:vAlign w:val="center"/>
            <w:shd w:val="clear" w:color="auto" w:fill="F1F5F9"/>
          </w:tcPr>
          <w:p>
            <w:r/>
            <w:r>
              <w:rPr>
                <w:rFonts w:ascii="Calibri" w:hAnsi="Calibri"/>
                <w:b w:val="0"/>
                <w:sz w:val="19"/>
              </w:rPr>
              <w:t>sensorsHAL</w:t>
            </w:r>
          </w:p>
        </w:tc>
        <w:tc>
          <w:tcPr>
            <w:tcW w:type="dxa" w:w="1928"/>
            <w:vAlign w:val="center"/>
            <w:shd w:val="clear" w:color="auto" w:fill="F1F5F9"/>
          </w:tcPr>
          <w:p>
            <w:r/>
            <w:r>
              <w:rPr>
                <w:rFonts w:ascii="Calibri" w:hAnsi="Calibri"/>
                <w:b w:val="0"/>
                <w:sz w:val="19"/>
              </w:rPr>
              <w:t>onboard.perception</w:t>
            </w:r>
          </w:p>
        </w:tc>
        <w:tc>
          <w:tcPr>
            <w:tcW w:type="dxa" w:w="1020"/>
            <w:vAlign w:val="center"/>
            <w:shd w:val="clear" w:color="auto" w:fill="F1F5F9"/>
          </w:tcPr>
          <w:p>
            <w:r/>
            <w:r>
              <w:rPr>
                <w:rFonts w:ascii="Calibri" w:hAnsi="Calibri"/>
                <w:b w:val="0"/>
                <w:sz w:val="19"/>
              </w:rPr>
              <w:t>flow</w:t>
            </w:r>
          </w:p>
        </w:tc>
        <w:tc>
          <w:tcPr>
            <w:tcW w:type="dxa" w:w="2494"/>
            <w:vAlign w:val="center"/>
            <w:shd w:val="clear" w:color="auto" w:fill="F1F5F9"/>
          </w:tcPr>
          <w:p>
            <w:r/>
            <w:r>
              <w:rPr>
                <w:rFonts w:ascii="Calibri" w:hAnsi="Calibri"/>
                <w:b w:val="0"/>
                <w:sz w:val="19"/>
              </w:rPr>
              <w:t>flux capteurs (10-60 Hz)</w:t>
            </w:r>
          </w:p>
        </w:tc>
        <w:tc>
          <w:tcPr>
            <w:tcW w:type="dxa" w:w="1361"/>
            <w:vAlign w:val="center"/>
            <w:shd w:val="clear" w:color="auto" w:fill="F1F5F9"/>
          </w:tcPr>
          <w:p>
            <w:r/>
            <w:r>
              <w:rPr>
                <w:rFonts w:ascii="Calibri" w:hAnsi="Calibri"/>
                <w:b w:val="0"/>
                <w:sz w:val="19"/>
              </w:rPr>
              <w:t>safety-critical</w:t>
            </w:r>
          </w:p>
        </w:tc>
      </w:tr>
      <w:tr>
        <w:tc>
          <w:tcPr>
            <w:tcW w:type="dxa" w:w="907"/>
            <w:vAlign w:val="center"/>
          </w:tcPr>
          <w:p>
            <w:r/>
            <w:r>
              <w:rPr>
                <w:rFonts w:ascii="Calibri" w:hAnsi="Calibri"/>
                <w:b w:val="0"/>
                <w:sz w:val="19"/>
              </w:rPr>
              <w:t>Sortie</w:t>
            </w:r>
          </w:p>
        </w:tc>
        <w:tc>
          <w:tcPr>
            <w:tcW w:type="dxa" w:w="1928"/>
            <w:vAlign w:val="center"/>
          </w:tcPr>
          <w:p>
            <w:r/>
            <w:r>
              <w:rPr>
                <w:rFonts w:ascii="Calibri" w:hAnsi="Calibri"/>
                <w:b w:val="0"/>
                <w:sz w:val="19"/>
              </w:rPr>
              <w:t>sensorsHAL</w:t>
            </w:r>
          </w:p>
        </w:tc>
        <w:tc>
          <w:tcPr>
            <w:tcW w:type="dxa" w:w="1928"/>
            <w:vAlign w:val="center"/>
          </w:tcPr>
          <w:p>
            <w:r/>
            <w:r>
              <w:rPr>
                <w:rFonts w:ascii="Calibri" w:hAnsi="Calibri"/>
                <w:b w:val="0"/>
                <w:sz w:val="19"/>
              </w:rPr>
              <w:t>onboard.health</w:t>
            </w:r>
          </w:p>
        </w:tc>
        <w:tc>
          <w:tcPr>
            <w:tcW w:type="dxa" w:w="1020"/>
            <w:vAlign w:val="center"/>
          </w:tcPr>
          <w:p>
            <w:r/>
            <w:r>
              <w:rPr>
                <w:rFonts w:ascii="Calibri" w:hAnsi="Calibri"/>
                <w:b w:val="0"/>
                <w:sz w:val="19"/>
              </w:rPr>
              <w:t>flow</w:t>
            </w:r>
          </w:p>
        </w:tc>
        <w:tc>
          <w:tcPr>
            <w:tcW w:type="dxa" w:w="2494"/>
            <w:vAlign w:val="center"/>
          </w:tcPr>
          <w:p>
            <w:r/>
            <w:r>
              <w:rPr>
                <w:rFonts w:ascii="Calibri" w:hAnsi="Calibri"/>
                <w:b w:val="0"/>
                <w:sz w:val="19"/>
              </w:rPr>
              <w:t>santé capteurs</w:t>
            </w:r>
          </w:p>
        </w:tc>
        <w:tc>
          <w:tcPr>
            <w:tcW w:type="dxa" w:w="1361"/>
            <w:vAlign w:val="center"/>
          </w:tcPr>
          <w:p>
            <w:r/>
            <w:r>
              <w:rPr>
                <w:rFonts w:ascii="Calibri" w:hAnsi="Calibri"/>
                <w:b w:val="0"/>
                <w:sz w:val="19"/>
              </w:rPr>
              <w:t>mission-critical</w:t>
            </w:r>
          </w:p>
        </w:tc>
      </w:tr>
      <w:tr>
        <w:tc>
          <w:tcPr>
            <w:tcW w:type="dxa" w:w="907"/>
            <w:vAlign w:val="center"/>
            <w:shd w:val="clear" w:color="auto" w:fill="F1F5F9"/>
          </w:tcPr>
          <w:p>
            <w:r/>
            <w:r>
              <w:rPr>
                <w:rFonts w:ascii="Calibri" w:hAnsi="Calibri"/>
                <w:b w:val="0"/>
                <w:sz w:val="19"/>
              </w:rPr>
              <w:t>Sortie</w:t>
            </w:r>
          </w:p>
        </w:tc>
        <w:tc>
          <w:tcPr>
            <w:tcW w:type="dxa" w:w="1928"/>
            <w:vAlign w:val="center"/>
            <w:shd w:val="clear" w:color="auto" w:fill="F1F5F9"/>
          </w:tcPr>
          <w:p>
            <w:r/>
            <w:r>
              <w:rPr>
                <w:rFonts w:ascii="Calibri" w:hAnsi="Calibri"/>
                <w:b w:val="0"/>
                <w:sz w:val="19"/>
              </w:rPr>
              <w:t>sensorsHAL</w:t>
            </w:r>
          </w:p>
        </w:tc>
        <w:tc>
          <w:tcPr>
            <w:tcW w:type="dxa" w:w="1928"/>
            <w:vAlign w:val="center"/>
            <w:shd w:val="clear" w:color="auto" w:fill="F1F5F9"/>
          </w:tcPr>
          <w:p>
            <w:r/>
            <w:r>
              <w:rPr>
                <w:rFonts w:ascii="Calibri" w:hAnsi="Calibri"/>
                <w:b w:val="0"/>
                <w:sz w:val="19"/>
              </w:rPr>
              <w:t>onboard.autopilot</w:t>
            </w:r>
          </w:p>
        </w:tc>
        <w:tc>
          <w:tcPr>
            <w:tcW w:type="dxa" w:w="1020"/>
            <w:vAlign w:val="center"/>
            <w:shd w:val="clear" w:color="auto" w:fill="F1F5F9"/>
          </w:tcPr>
          <w:p>
            <w:r/>
            <w:r>
              <w:rPr>
                <w:rFonts w:ascii="Calibri" w:hAnsi="Calibri"/>
                <w:b w:val="0"/>
                <w:sz w:val="19"/>
              </w:rPr>
              <w:t>flow</w:t>
            </w:r>
          </w:p>
        </w:tc>
        <w:tc>
          <w:tcPr>
            <w:tcW w:type="dxa" w:w="2494"/>
            <w:vAlign w:val="center"/>
            <w:shd w:val="clear" w:color="auto" w:fill="F1F5F9"/>
          </w:tcPr>
          <w:p>
            <w:r/>
            <w:r>
              <w:rPr>
                <w:rFonts w:ascii="Calibri" w:hAnsi="Calibri"/>
                <w:b w:val="0"/>
                <w:sz w:val="19"/>
              </w:rPr>
              <w:t>état navigation</w:t>
            </w:r>
          </w:p>
        </w:tc>
        <w:tc>
          <w:tcPr>
            <w:tcW w:type="dxa" w:w="1361"/>
            <w:vAlign w:val="center"/>
            <w:shd w:val="clear" w:color="auto" w:fill="F1F5F9"/>
          </w:tcPr>
          <w:p>
            <w:r/>
            <w:r>
              <w:rPr>
                <w:rFonts w:ascii="Calibri" w:hAnsi="Calibri"/>
                <w:b w:val="0"/>
                <w:sz w:val="19"/>
              </w:rPr>
              <w:t>safety-critical</w:t>
            </w:r>
          </w:p>
        </w:tc>
      </w:tr>
    </w:tbl>
    <w:p>
      <w:pPr>
        <w:spacing w:after="40"/>
      </w:pPr>
    </w:p>
    <w:p>
      <w:pPr>
        <w:pStyle w:val="Heading2"/>
      </w:pPr>
      <w:r>
        <w:t>Bloc 3 · États &amp; machine à états</w:t>
      </w:r>
    </w:p>
    <w:p>
      <w:pPr>
        <w:spacing w:after="80"/>
      </w:pPr>
      <w:r>
        <w:rPr>
          <w:b w:val="0"/>
          <w:i w:val="0"/>
        </w:rPr>
        <w:t>La HAL est un composant sans état de mission : elle ne décide pas, elle expose. Sa machine à états est donc une machine de disponibilité, non de comportement.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247"/>
            <w:vAlign w:val="center"/>
            <w:shd w:val="clear" w:color="auto" w:fill="16283F"/>
          </w:tcPr>
          <w:p>
            <w:pPr>
              <w:jc w:val="center"/>
            </w:pPr>
            <w:r/>
            <w:r>
              <w:rPr>
                <w:rFonts w:ascii="Calibri" w:hAnsi="Calibri"/>
                <w:b/>
                <w:color w:val="FFFFFF"/>
                <w:sz w:val="19"/>
              </w:rPr>
              <w:t>État</w:t>
            </w:r>
          </w:p>
        </w:tc>
        <w:tc>
          <w:tcPr>
            <w:tcW w:type="dxa" w:w="3061"/>
            <w:vAlign w:val="center"/>
            <w:shd w:val="clear" w:color="auto" w:fill="16283F"/>
          </w:tcPr>
          <w:p>
            <w:pPr>
              <w:jc w:val="center"/>
            </w:pPr>
            <w:r/>
            <w:r>
              <w:rPr>
                <w:rFonts w:ascii="Calibri" w:hAnsi="Calibri"/>
                <w:b/>
                <w:color w:val="FFFFFF"/>
                <w:sz w:val="19"/>
              </w:rPr>
              <w:t>Définition</w:t>
            </w:r>
          </w:p>
        </w:tc>
        <w:tc>
          <w:tcPr>
            <w:tcW w:type="dxa" w:w="2608"/>
            <w:vAlign w:val="center"/>
            <w:shd w:val="clear" w:color="auto" w:fill="16283F"/>
          </w:tcPr>
          <w:p>
            <w:pPr>
              <w:jc w:val="center"/>
            </w:pPr>
            <w:r/>
            <w:r>
              <w:rPr>
                <w:rFonts w:ascii="Calibri" w:hAnsi="Calibri"/>
                <w:b/>
                <w:color w:val="FFFFFF"/>
                <w:sz w:val="19"/>
              </w:rPr>
              <w:t>Condition d'entrée</w:t>
            </w:r>
          </w:p>
        </w:tc>
        <w:tc>
          <w:tcPr>
            <w:tcW w:type="dxa" w:w="2721"/>
            <w:vAlign w:val="center"/>
            <w:shd w:val="clear" w:color="auto" w:fill="16283F"/>
          </w:tcPr>
          <w:p>
            <w:pPr>
              <w:jc w:val="center"/>
            </w:pPr>
            <w:r/>
            <w:r>
              <w:rPr>
                <w:rFonts w:ascii="Calibri" w:hAnsi="Calibri"/>
                <w:b/>
                <w:color w:val="FFFFFF"/>
                <w:sz w:val="19"/>
              </w:rPr>
              <w:t>Condition de sortie</w:t>
            </w:r>
          </w:p>
        </w:tc>
      </w:tr>
      <w:tr>
        <w:tc>
          <w:tcPr>
            <w:tcW w:type="dxa" w:w="1247"/>
            <w:vAlign w:val="center"/>
          </w:tcPr>
          <w:p>
            <w:r/>
            <w:r>
              <w:rPr>
                <w:rFonts w:ascii="Calibri" w:hAnsi="Calibri"/>
                <w:b w:val="0"/>
                <w:sz w:val="19"/>
              </w:rPr>
              <w:t>INIT</w:t>
            </w:r>
          </w:p>
        </w:tc>
        <w:tc>
          <w:tcPr>
            <w:tcW w:type="dxa" w:w="3061"/>
            <w:vAlign w:val="center"/>
          </w:tcPr>
          <w:p>
            <w:r/>
            <w:r>
              <w:rPr>
                <w:rFonts w:ascii="Calibri" w:hAnsi="Calibri"/>
                <w:b w:val="0"/>
                <w:sz w:val="19"/>
              </w:rPr>
              <w:t>Initialisation des drivers et des bus</w:t>
            </w:r>
          </w:p>
        </w:tc>
        <w:tc>
          <w:tcPr>
            <w:tcW w:type="dxa" w:w="2608"/>
            <w:vAlign w:val="center"/>
          </w:tcPr>
          <w:p>
            <w:r/>
            <w:r>
              <w:rPr>
                <w:rFonts w:ascii="Calibri" w:hAnsi="Calibri"/>
                <w:b w:val="0"/>
                <w:sz w:val="19"/>
              </w:rPr>
              <w:t>Mise sous tension</w:t>
            </w:r>
          </w:p>
        </w:tc>
        <w:tc>
          <w:tcPr>
            <w:tcW w:type="dxa" w:w="2721"/>
            <w:vAlign w:val="center"/>
          </w:tcPr>
          <w:p>
            <w:r/>
            <w:r>
              <w:rPr>
                <w:rFonts w:ascii="Calibri" w:hAnsi="Calibri"/>
                <w:b w:val="0"/>
                <w:sz w:val="19"/>
              </w:rPr>
              <w:t>Tous les drivers requis répondent</w:t>
            </w:r>
          </w:p>
        </w:tc>
      </w:tr>
      <w:tr>
        <w:tc>
          <w:tcPr>
            <w:tcW w:type="dxa" w:w="1247"/>
            <w:vAlign w:val="center"/>
            <w:shd w:val="clear" w:color="auto" w:fill="F1F5F9"/>
          </w:tcPr>
          <w:p>
            <w:r/>
            <w:r>
              <w:rPr>
                <w:rFonts w:ascii="Calibri" w:hAnsi="Calibri"/>
                <w:b w:val="0"/>
                <w:sz w:val="19"/>
              </w:rPr>
              <w:t>NOMINAL</w:t>
            </w:r>
          </w:p>
        </w:tc>
        <w:tc>
          <w:tcPr>
            <w:tcW w:type="dxa" w:w="3061"/>
            <w:vAlign w:val="center"/>
            <w:shd w:val="clear" w:color="auto" w:fill="F1F5F9"/>
          </w:tcPr>
          <w:p>
            <w:r/>
            <w:r>
              <w:rPr>
                <w:rFonts w:ascii="Calibri" w:hAnsi="Calibri"/>
                <w:b w:val="0"/>
                <w:sz w:val="19"/>
              </w:rPr>
              <w:t>Toutes les sources requises disponibles</w:t>
            </w:r>
          </w:p>
        </w:tc>
        <w:tc>
          <w:tcPr>
            <w:tcW w:type="dxa" w:w="2608"/>
            <w:vAlign w:val="center"/>
            <w:shd w:val="clear" w:color="auto" w:fill="F1F5F9"/>
          </w:tcPr>
          <w:p>
            <w:r/>
            <w:r>
              <w:rPr>
                <w:rFonts w:ascii="Calibri" w:hAnsi="Calibri"/>
                <w:b w:val="0"/>
                <w:sz w:val="19"/>
              </w:rPr>
              <w:t>INIT réussi</w:t>
            </w:r>
          </w:p>
        </w:tc>
        <w:tc>
          <w:tcPr>
            <w:tcW w:type="dxa" w:w="2721"/>
            <w:vAlign w:val="center"/>
            <w:shd w:val="clear" w:color="auto" w:fill="F1F5F9"/>
          </w:tcPr>
          <w:p>
            <w:r/>
            <w:r>
              <w:rPr>
                <w:rFonts w:ascii="Calibri" w:hAnsi="Calibri"/>
                <w:b w:val="0"/>
                <w:sz w:val="19"/>
              </w:rPr>
              <w:t>Perte d'une source critique</w:t>
            </w:r>
          </w:p>
        </w:tc>
      </w:tr>
      <w:tr>
        <w:tc>
          <w:tcPr>
            <w:tcW w:type="dxa" w:w="1247"/>
            <w:vAlign w:val="center"/>
          </w:tcPr>
          <w:p>
            <w:r/>
            <w:r>
              <w:rPr>
                <w:rFonts w:ascii="Calibri" w:hAnsi="Calibri"/>
                <w:b w:val="0"/>
                <w:sz w:val="19"/>
              </w:rPr>
              <w:t>DÉGRADÉ</w:t>
            </w:r>
          </w:p>
        </w:tc>
        <w:tc>
          <w:tcPr>
            <w:tcW w:type="dxa" w:w="3061"/>
            <w:vAlign w:val="center"/>
          </w:tcPr>
          <w:p>
            <w:r/>
            <w:r>
              <w:rPr>
                <w:rFonts w:ascii="Calibri" w:hAnsi="Calibri"/>
                <w:b w:val="0"/>
                <w:sz w:val="19"/>
              </w:rPr>
              <w:t>Une ou plusieurs sources indisponibles</w:t>
            </w:r>
          </w:p>
        </w:tc>
        <w:tc>
          <w:tcPr>
            <w:tcW w:type="dxa" w:w="2608"/>
            <w:vAlign w:val="center"/>
          </w:tcPr>
          <w:p>
            <w:r/>
            <w:r>
              <w:rPr>
                <w:rFonts w:ascii="Calibri" w:hAnsi="Calibri"/>
                <w:b w:val="0"/>
                <w:sz w:val="19"/>
              </w:rPr>
              <w:t>Perte d'une source non critique</w:t>
            </w:r>
          </w:p>
        </w:tc>
        <w:tc>
          <w:tcPr>
            <w:tcW w:type="dxa" w:w="2721"/>
            <w:vAlign w:val="center"/>
          </w:tcPr>
          <w:p>
            <w:r/>
            <w:r>
              <w:rPr>
                <w:rFonts w:ascii="Calibri" w:hAnsi="Calibri"/>
                <w:b w:val="0"/>
                <w:sz w:val="19"/>
              </w:rPr>
              <w:t>Rétablissement ou perte critique</w:t>
            </w:r>
          </w:p>
        </w:tc>
      </w:tr>
      <w:tr>
        <w:tc>
          <w:tcPr>
            <w:tcW w:type="dxa" w:w="1247"/>
            <w:vAlign w:val="center"/>
            <w:shd w:val="clear" w:color="auto" w:fill="F1F5F9"/>
          </w:tcPr>
          <w:p>
            <w:r/>
            <w:r>
              <w:rPr>
                <w:rFonts w:ascii="Calibri" w:hAnsi="Calibri"/>
                <w:b w:val="0"/>
                <w:sz w:val="19"/>
              </w:rPr>
              <w:t>FAULT</w:t>
            </w:r>
          </w:p>
        </w:tc>
        <w:tc>
          <w:tcPr>
            <w:tcW w:type="dxa" w:w="3061"/>
            <w:vAlign w:val="center"/>
            <w:shd w:val="clear" w:color="auto" w:fill="F1F5F9"/>
          </w:tcPr>
          <w:p>
            <w:r/>
            <w:r>
              <w:rPr>
                <w:rFonts w:ascii="Calibri" w:hAnsi="Calibri"/>
                <w:b w:val="0"/>
                <w:sz w:val="19"/>
              </w:rPr>
              <w:t>Source critique indisponible</w:t>
            </w:r>
          </w:p>
        </w:tc>
        <w:tc>
          <w:tcPr>
            <w:tcW w:type="dxa" w:w="2608"/>
            <w:vAlign w:val="center"/>
            <w:shd w:val="clear" w:color="auto" w:fill="F1F5F9"/>
          </w:tcPr>
          <w:p>
            <w:r/>
            <w:r>
              <w:rPr>
                <w:rFonts w:ascii="Calibri" w:hAnsi="Calibri"/>
                <w:b w:val="0"/>
                <w:sz w:val="19"/>
              </w:rPr>
              <w:t>Perte IMU ou GNSS en mode GNSS-dépendant</w:t>
            </w:r>
          </w:p>
        </w:tc>
        <w:tc>
          <w:tcPr>
            <w:tcW w:type="dxa" w:w="2721"/>
            <w:vAlign w:val="center"/>
            <w:shd w:val="clear" w:color="auto" w:fill="F1F5F9"/>
          </w:tcPr>
          <w:p>
            <w:r/>
            <w:r>
              <w:rPr>
                <w:rFonts w:ascii="Calibri" w:hAnsi="Calibri"/>
                <w:b w:val="0"/>
                <w:sz w:val="19"/>
              </w:rPr>
              <w:t>Rétablissement ou arrêt de mission</w:t>
            </w:r>
          </w:p>
        </w:tc>
      </w:tr>
    </w:tbl>
    <w:p>
      <w:pPr>
        <w:spacing w:after="40"/>
      </w:pPr>
    </w:p>
    <w:p>
      <w:pPr/>
      <w:r>
        <w:rPr>
          <w:b w:val="0"/>
          <w:i/>
          <w:color w:val="5A6B7A"/>
          <w:sz w:val="20"/>
        </w:rPr>
        <w:t>La transition NOMINAL → DÉGRADÉ est le cœur du comportement : elle doit être explicite, journalisée et signalée à `onboard.health`. La dégradation GNSS est traitée par l'hypothèse H3 du modèle (GNSS dégradable).</w:t>
      </w:r>
    </w:p>
    <w:p>
      <w:pPr>
        <w:pStyle w:val="Heading2"/>
      </w:pPr>
      <w:r>
        <w:t>Bloc 4 · Protocole &amp; messages</w:t>
      </w:r>
    </w:p>
    <w:p>
      <w:pPr>
        <w:spacing w:after="80"/>
      </w:pPr>
      <w:r>
        <w:rPr>
          <w:b w:val="0"/>
          <w:i w:val="0"/>
        </w:rPr>
        <w:t>La HAL n'a pas de protocole inter-agents : elle est locale à la plateforme. Son « protocole » est le contrat d'échange avec les consommateurs de bord.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701"/>
            <w:vAlign w:val="center"/>
            <w:shd w:val="clear" w:color="auto" w:fill="16283F"/>
          </w:tcPr>
          <w:p>
            <w:pPr>
              <w:jc w:val="center"/>
            </w:pPr>
            <w:r/>
            <w:r>
              <w:rPr>
                <w:rFonts w:ascii="Calibri" w:hAnsi="Calibri"/>
                <w:b/>
                <w:color w:val="FFFFFF"/>
                <w:sz w:val="19"/>
              </w:rPr>
              <w:t>Élément</w:t>
            </w:r>
          </w:p>
        </w:tc>
        <w:tc>
          <w:tcPr>
            <w:tcW w:type="dxa" w:w="2608"/>
            <w:vAlign w:val="center"/>
            <w:shd w:val="clear" w:color="auto" w:fill="16283F"/>
          </w:tcPr>
          <w:p>
            <w:pPr>
              <w:jc w:val="center"/>
            </w:pPr>
            <w:r/>
            <w:r>
              <w:rPr>
                <w:rFonts w:ascii="Calibri" w:hAnsi="Calibri"/>
                <w:b/>
                <w:color w:val="FFFFFF"/>
                <w:sz w:val="19"/>
              </w:rPr>
              <w:t>Rôle</w:t>
            </w:r>
          </w:p>
        </w:tc>
        <w:tc>
          <w:tcPr>
            <w:tcW w:type="dxa" w:w="3061"/>
            <w:vAlign w:val="center"/>
            <w:shd w:val="clear" w:color="auto" w:fill="16283F"/>
          </w:tcPr>
          <w:p>
            <w:pPr>
              <w:jc w:val="center"/>
            </w:pPr>
            <w:r/>
            <w:r>
              <w:rPr>
                <w:rFonts w:ascii="Calibri" w:hAnsi="Calibri"/>
                <w:b/>
                <w:color w:val="FFFFFF"/>
                <w:sz w:val="19"/>
              </w:rPr>
              <w:t>Contenu</w:t>
            </w:r>
          </w:p>
        </w:tc>
        <w:tc>
          <w:tcPr>
            <w:tcW w:type="dxa" w:w="1701"/>
            <w:vAlign w:val="center"/>
            <w:shd w:val="clear" w:color="auto" w:fill="16283F"/>
          </w:tcPr>
          <w:p>
            <w:pPr>
              <w:jc w:val="center"/>
            </w:pPr>
            <w:r/>
            <w:r>
              <w:rPr>
                <w:rFonts w:ascii="Calibri" w:hAnsi="Calibri"/>
                <w:b/>
                <w:color w:val="FFFFFF"/>
                <w:sz w:val="19"/>
              </w:rPr>
              <w:t>Cadence</w:t>
            </w:r>
          </w:p>
        </w:tc>
      </w:tr>
      <w:tr>
        <w:tc>
          <w:tcPr>
            <w:tcW w:type="dxa" w:w="1701"/>
            <w:vAlign w:val="center"/>
          </w:tcPr>
          <w:p>
            <w:r/>
            <w:r>
              <w:rPr>
                <w:rFonts w:ascii="Calibri" w:hAnsi="Calibri"/>
                <w:b w:val="0"/>
                <w:sz w:val="19"/>
              </w:rPr>
              <w:t>Flux capteurs</w:t>
            </w:r>
          </w:p>
        </w:tc>
        <w:tc>
          <w:tcPr>
            <w:tcW w:type="dxa" w:w="2608"/>
            <w:vAlign w:val="center"/>
          </w:tcPr>
          <w:p>
            <w:r/>
            <w:r>
              <w:rPr>
                <w:rFonts w:ascii="Calibri" w:hAnsi="Calibri"/>
                <w:b w:val="0"/>
                <w:sz w:val="19"/>
              </w:rPr>
              <w:t>Mesures normalisées vers la perception</w:t>
            </w:r>
          </w:p>
        </w:tc>
        <w:tc>
          <w:tcPr>
            <w:tcW w:type="dxa" w:w="3061"/>
            <w:vAlign w:val="center"/>
          </w:tcPr>
          <w:p>
            <w:r/>
            <w:r>
              <w:rPr>
                <w:rFonts w:ascii="Calibri" w:hAnsi="Calibri"/>
                <w:b w:val="0"/>
                <w:sz w:val="19"/>
              </w:rPr>
              <w:t>Mesures horodatées, unités SI, repères déclarés</w:t>
            </w:r>
          </w:p>
        </w:tc>
        <w:tc>
          <w:tcPr>
            <w:tcW w:type="dxa" w:w="1701"/>
            <w:vAlign w:val="center"/>
          </w:tcPr>
          <w:p>
            <w:r/>
            <w:r>
              <w:rPr>
                <w:rFonts w:ascii="Calibri" w:hAnsi="Calibri"/>
                <w:b w:val="0"/>
                <w:sz w:val="19"/>
              </w:rPr>
              <w:t>10-60 Hz</w:t>
            </w:r>
          </w:p>
        </w:tc>
      </w:tr>
      <w:tr>
        <w:tc>
          <w:tcPr>
            <w:tcW w:type="dxa" w:w="1701"/>
            <w:vAlign w:val="center"/>
            <w:shd w:val="clear" w:color="auto" w:fill="F1F5F9"/>
          </w:tcPr>
          <w:p>
            <w:r/>
            <w:r>
              <w:rPr>
                <w:rFonts w:ascii="Calibri" w:hAnsi="Calibri"/>
                <w:b w:val="0"/>
                <w:sz w:val="19"/>
              </w:rPr>
              <w:t>Flux santé</w:t>
            </w:r>
          </w:p>
        </w:tc>
        <w:tc>
          <w:tcPr>
            <w:tcW w:type="dxa" w:w="2608"/>
            <w:vAlign w:val="center"/>
            <w:shd w:val="clear" w:color="auto" w:fill="F1F5F9"/>
          </w:tcPr>
          <w:p>
            <w:r/>
            <w:r>
              <w:rPr>
                <w:rFonts w:ascii="Calibri" w:hAnsi="Calibri"/>
                <w:b w:val="0"/>
                <w:sz w:val="19"/>
              </w:rPr>
              <w:t>État des capteurs vers la supervision</w:t>
            </w:r>
          </w:p>
        </w:tc>
        <w:tc>
          <w:tcPr>
            <w:tcW w:type="dxa" w:w="3061"/>
            <w:vAlign w:val="center"/>
            <w:shd w:val="clear" w:color="auto" w:fill="F1F5F9"/>
          </w:tcPr>
          <w:p>
            <w:r/>
            <w:r>
              <w:rPr>
                <w:rFonts w:ascii="Calibri" w:hAnsi="Calibri"/>
                <w:b w:val="0"/>
                <w:sz w:val="19"/>
              </w:rPr>
              <w:t>Disponibilité, qualité, codes d'erreur</w:t>
            </w:r>
          </w:p>
        </w:tc>
        <w:tc>
          <w:tcPr>
            <w:tcW w:type="dxa" w:w="1701"/>
            <w:vAlign w:val="center"/>
            <w:shd w:val="clear" w:color="auto" w:fill="F1F5F9"/>
          </w:tcPr>
          <w:p>
            <w:r/>
            <w:r>
              <w:rPr>
                <w:rFonts w:ascii="Calibri" w:hAnsi="Calibri"/>
                <w:b w:val="0"/>
                <w:sz w:val="19"/>
              </w:rPr>
              <w:t>Événementiel</w:t>
            </w:r>
          </w:p>
        </w:tc>
      </w:tr>
      <w:tr>
        <w:tc>
          <w:tcPr>
            <w:tcW w:type="dxa" w:w="1701"/>
            <w:vAlign w:val="center"/>
          </w:tcPr>
          <w:p>
            <w:r/>
            <w:r>
              <w:rPr>
                <w:rFonts w:ascii="Calibri" w:hAnsi="Calibri"/>
                <w:b w:val="0"/>
                <w:sz w:val="19"/>
              </w:rPr>
              <w:t>Flux navigation</w:t>
            </w:r>
          </w:p>
        </w:tc>
        <w:tc>
          <w:tcPr>
            <w:tcW w:type="dxa" w:w="2608"/>
            <w:vAlign w:val="center"/>
          </w:tcPr>
          <w:p>
            <w:r/>
            <w:r>
              <w:rPr>
                <w:rFonts w:ascii="Calibri" w:hAnsi="Calibri"/>
                <w:b w:val="0"/>
                <w:sz w:val="19"/>
              </w:rPr>
              <w:t>État initial vers l'autopilote</w:t>
            </w:r>
          </w:p>
        </w:tc>
        <w:tc>
          <w:tcPr>
            <w:tcW w:type="dxa" w:w="3061"/>
            <w:vAlign w:val="center"/>
          </w:tcPr>
          <w:p>
            <w:r/>
            <w:r>
              <w:rPr>
                <w:rFonts w:ascii="Calibri" w:hAnsi="Calibri"/>
                <w:b w:val="0"/>
                <w:sz w:val="19"/>
              </w:rPr>
              <w:t>Attitude, position, vitesse</w:t>
            </w:r>
          </w:p>
        </w:tc>
        <w:tc>
          <w:tcPr>
            <w:tcW w:type="dxa" w:w="1701"/>
            <w:vAlign w:val="center"/>
          </w:tcPr>
          <w:p>
            <w:r/>
            <w:r>
              <w:rPr>
                <w:rFonts w:ascii="Calibri" w:hAnsi="Calibri"/>
                <w:b w:val="0"/>
                <w:sz w:val="19"/>
              </w:rPr>
              <w:t>Selon autopilote</w:t>
            </w:r>
          </w:p>
        </w:tc>
      </w:tr>
    </w:tbl>
    <w:p>
      <w:pPr>
        <w:spacing w:after="40"/>
      </w:pPr>
    </w:p>
    <w:p>
      <w:pPr/>
      <w:r>
        <w:rPr>
          <w:b w:val="0"/>
          <w:i/>
          <w:color w:val="5A6B7A"/>
          <w:sz w:val="20"/>
        </w:rPr>
        <w:t>Implémentations déclarées : MicroXRCEDDS (primaire, pont MCU↔DDS) et MAVLinkMAVSDK (secondaire, alternative MAVLink). Le contrat doit rester identique quelle que soit l'implémentation retenue — c'est la condition de la portabilité annoncée.</w:t>
      </w:r>
    </w:p>
    <w:p>
      <w:pPr>
        <w:pStyle w:val="Heading2"/>
      </w:pPr>
      <w:r>
        <w:t>Bloc 5 · Comportement &amp; algorithme</w:t>
      </w:r>
    </w:p>
    <w:p>
      <w:pPr>
        <w:pStyle w:val="Heading3"/>
      </w:pPr>
      <w:r>
        <w:t>4.5.1 Séquence d'acquisition</w:t>
      </w:r>
    </w:p>
    <w:p>
      <w:pPr>
        <w:pStyle w:val="ListBullet"/>
      </w:pPr>
      <w:r>
        <w:rPr>
          <w:b w:val="0"/>
          <w:i w:val="0"/>
        </w:rPr>
        <w:t>1. Initialiser les drivers et vérifier la disponibilité de chaque source.</w:t>
      </w:r>
    </w:p>
    <w:p>
      <w:pPr>
        <w:pStyle w:val="ListBullet"/>
      </w:pPr>
      <w:r>
        <w:rPr>
          <w:b w:val="0"/>
          <w:i w:val="0"/>
        </w:rPr>
        <w:t>2. Pour chaque source disponible, lire la mesure brute à sa cadence propre.</w:t>
      </w:r>
    </w:p>
    <w:p>
      <w:pPr>
        <w:pStyle w:val="ListBullet"/>
      </w:pPr>
      <w:r>
        <w:rPr>
          <w:b w:val="0"/>
          <w:i w:val="0"/>
        </w:rPr>
        <w:t>3. Horodater la mesure avec l'horloge de bord (base monotone).</w:t>
      </w:r>
    </w:p>
    <w:p>
      <w:pPr>
        <w:pStyle w:val="ListBullet"/>
      </w:pPr>
      <w:r>
        <w:rPr>
          <w:b w:val="0"/>
          <w:i w:val="0"/>
        </w:rPr>
        <w:t>4. Convertir en unités SI selon la table de conversion de la plateforme.</w:t>
      </w:r>
    </w:p>
    <w:p>
      <w:pPr>
        <w:pStyle w:val="ListBullet"/>
      </w:pPr>
      <w:r>
        <w:rPr>
          <w:b w:val="0"/>
          <w:i w:val="0"/>
        </w:rPr>
        <w:t>5. Transformer dans le repère de référence déclaré (extrinsèques connus).</w:t>
      </w:r>
    </w:p>
    <w:p>
      <w:pPr>
        <w:pStyle w:val="ListBullet"/>
      </w:pPr>
      <w:r>
        <w:rPr>
          <w:b w:val="0"/>
          <w:i w:val="0"/>
        </w:rPr>
        <w:t>6. Valider la mesure (bornes physiques, cohérence, fraîcheur).</w:t>
      </w:r>
    </w:p>
    <w:p>
      <w:pPr>
        <w:pStyle w:val="ListBullet"/>
      </w:pPr>
      <w:r>
        <w:rPr>
          <w:b w:val="0"/>
          <w:i w:val="0"/>
        </w:rPr>
        <w:t>7. Publier le flux normalisé vers les consommateurs.</w:t>
      </w:r>
    </w:p>
    <w:p>
      <w:pPr>
        <w:pStyle w:val="ListBullet"/>
      </w:pPr>
      <w:r>
        <w:rPr>
          <w:b w:val="0"/>
          <w:i w:val="0"/>
        </w:rPr>
        <w:t>8. Mettre à jour l'état de santé de la source.</w:t>
      </w:r>
    </w:p>
    <w:p>
      <w:pPr>
        <w:pStyle w:val="Heading3"/>
      </w:pPr>
      <w:r>
        <w:t>4.5.2 Normalisation — le point critique</w:t>
      </w:r>
    </w:p>
    <w:p>
      <w:pPr/>
      <w:r>
        <w:rPr>
          <w:b w:val="0"/>
          <w:i w:val="0"/>
        </w:rPr>
        <w:t>La normalisation est la fonction de valeur de la HAL et son principal risque. Trois dimensions doivent être traitées :</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361"/>
            <w:vAlign w:val="center"/>
            <w:shd w:val="clear" w:color="auto" w:fill="16283F"/>
          </w:tcPr>
          <w:p>
            <w:pPr>
              <w:jc w:val="center"/>
            </w:pPr>
            <w:r/>
            <w:r>
              <w:rPr>
                <w:rFonts w:ascii="Calibri" w:hAnsi="Calibri"/>
                <w:b/>
                <w:color w:val="FFFFFF"/>
                <w:sz w:val="19"/>
              </w:rPr>
              <w:t>Dimension</w:t>
            </w:r>
          </w:p>
        </w:tc>
        <w:tc>
          <w:tcPr>
            <w:tcW w:type="dxa" w:w="2721"/>
            <w:vAlign w:val="center"/>
            <w:shd w:val="clear" w:color="auto" w:fill="16283F"/>
          </w:tcPr>
          <w:p>
            <w:pPr>
              <w:jc w:val="center"/>
            </w:pPr>
            <w:r/>
            <w:r>
              <w:rPr>
                <w:rFonts w:ascii="Calibri" w:hAnsi="Calibri"/>
                <w:b/>
                <w:color w:val="FFFFFF"/>
                <w:sz w:val="19"/>
              </w:rPr>
              <w:t>Problème</w:t>
            </w:r>
          </w:p>
        </w:tc>
        <w:tc>
          <w:tcPr>
            <w:tcW w:type="dxa" w:w="2948"/>
            <w:vAlign w:val="center"/>
            <w:shd w:val="clear" w:color="auto" w:fill="16283F"/>
          </w:tcPr>
          <w:p>
            <w:pPr>
              <w:jc w:val="center"/>
            </w:pPr>
            <w:r/>
            <w:r>
              <w:rPr>
                <w:rFonts w:ascii="Calibri" w:hAnsi="Calibri"/>
                <w:b/>
                <w:color w:val="FFFFFF"/>
                <w:sz w:val="19"/>
              </w:rPr>
              <w:t>Exigence</w:t>
            </w:r>
          </w:p>
        </w:tc>
        <w:tc>
          <w:tcPr>
            <w:tcW w:type="dxa" w:w="2041"/>
            <w:vAlign w:val="center"/>
            <w:shd w:val="clear" w:color="auto" w:fill="16283F"/>
          </w:tcPr>
          <w:p>
            <w:pPr>
              <w:jc w:val="center"/>
            </w:pPr>
            <w:r/>
            <w:r>
              <w:rPr>
                <w:rFonts w:ascii="Calibri" w:hAnsi="Calibri"/>
                <w:b/>
                <w:color w:val="FFFFFF"/>
                <w:sz w:val="19"/>
              </w:rPr>
              <w:t>Source</w:t>
            </w:r>
          </w:p>
        </w:tc>
      </w:tr>
      <w:tr>
        <w:tc>
          <w:tcPr>
            <w:tcW w:type="dxa" w:w="1361"/>
            <w:vAlign w:val="center"/>
          </w:tcPr>
          <w:p>
            <w:r/>
            <w:r>
              <w:rPr>
                <w:rFonts w:ascii="Calibri" w:hAnsi="Calibri"/>
                <w:b w:val="0"/>
                <w:sz w:val="19"/>
              </w:rPr>
              <w:t>Unités</w:t>
            </w:r>
          </w:p>
        </w:tc>
        <w:tc>
          <w:tcPr>
            <w:tcW w:type="dxa" w:w="2721"/>
            <w:vAlign w:val="center"/>
          </w:tcPr>
          <w:p>
            <w:r/>
            <w:r>
              <w:rPr>
                <w:rFonts w:ascii="Calibri" w:hAnsi="Calibri"/>
                <w:b w:val="0"/>
                <w:sz w:val="19"/>
              </w:rPr>
              <w:t>Chaque capteur a ses unités natives</w:t>
            </w:r>
          </w:p>
        </w:tc>
        <w:tc>
          <w:tcPr>
            <w:tcW w:type="dxa" w:w="2948"/>
            <w:vAlign w:val="center"/>
          </w:tcPr>
          <w:p>
            <w:r/>
            <w:r>
              <w:rPr>
                <w:rFonts w:ascii="Calibri" w:hAnsi="Calibri"/>
                <w:b w:val="0"/>
                <w:sz w:val="19"/>
              </w:rPr>
              <w:t>Conversion en SI, table versionnée</w:t>
            </w:r>
          </w:p>
        </w:tc>
        <w:tc>
          <w:tcPr>
            <w:tcW w:type="dxa" w:w="2041"/>
            <w:vAlign w:val="center"/>
          </w:tcPr>
          <w:p>
            <w:r/>
            <w:r>
              <w:rPr>
                <w:rFonts w:ascii="Calibri" w:hAnsi="Calibri"/>
                <w:b w:val="0"/>
                <w:sz w:val="19"/>
              </w:rPr>
              <w:t>S1, S2</w:t>
            </w:r>
          </w:p>
        </w:tc>
      </w:tr>
      <w:tr>
        <w:tc>
          <w:tcPr>
            <w:tcW w:type="dxa" w:w="1361"/>
            <w:vAlign w:val="center"/>
            <w:shd w:val="clear" w:color="auto" w:fill="F1F5F9"/>
          </w:tcPr>
          <w:p>
            <w:r/>
            <w:r>
              <w:rPr>
                <w:rFonts w:ascii="Calibri" w:hAnsi="Calibri"/>
                <w:b w:val="0"/>
                <w:sz w:val="19"/>
              </w:rPr>
              <w:t>Repères</w:t>
            </w:r>
          </w:p>
        </w:tc>
        <w:tc>
          <w:tcPr>
            <w:tcW w:type="dxa" w:w="2721"/>
            <w:vAlign w:val="center"/>
            <w:shd w:val="clear" w:color="auto" w:fill="F1F5F9"/>
          </w:tcPr>
          <w:p>
            <w:r/>
            <w:r>
              <w:rPr>
                <w:rFonts w:ascii="Calibri" w:hAnsi="Calibri"/>
                <w:b w:val="0"/>
                <w:sz w:val="19"/>
              </w:rPr>
              <w:t>Chaque capteur a son repère mécanique</w:t>
            </w:r>
          </w:p>
        </w:tc>
        <w:tc>
          <w:tcPr>
            <w:tcW w:type="dxa" w:w="2948"/>
            <w:vAlign w:val="center"/>
            <w:shd w:val="clear" w:color="auto" w:fill="F1F5F9"/>
          </w:tcPr>
          <w:p>
            <w:r/>
            <w:r>
              <w:rPr>
                <w:rFonts w:ascii="Calibri" w:hAnsi="Calibri"/>
                <w:b w:val="0"/>
                <w:sz w:val="19"/>
              </w:rPr>
              <w:t>Extrinsèques déclarés et vérifiés</w:t>
            </w:r>
          </w:p>
        </w:tc>
        <w:tc>
          <w:tcPr>
            <w:tcW w:type="dxa" w:w="2041"/>
            <w:vAlign w:val="center"/>
            <w:shd w:val="clear" w:color="auto" w:fill="F1F5F9"/>
          </w:tcPr>
          <w:p>
            <w:r/>
            <w:r>
              <w:rPr>
                <w:rFonts w:ascii="Calibri" w:hAnsi="Calibri"/>
                <w:b w:val="0"/>
                <w:sz w:val="19"/>
              </w:rPr>
              <w:t>S12</w:t>
            </w:r>
          </w:p>
        </w:tc>
      </w:tr>
      <w:tr>
        <w:tc>
          <w:tcPr>
            <w:tcW w:type="dxa" w:w="1361"/>
            <w:vAlign w:val="center"/>
          </w:tcPr>
          <w:p>
            <w:r/>
            <w:r>
              <w:rPr>
                <w:rFonts w:ascii="Calibri" w:hAnsi="Calibri"/>
                <w:b w:val="0"/>
                <w:sz w:val="19"/>
              </w:rPr>
              <w:t>Temps</w:t>
            </w:r>
          </w:p>
        </w:tc>
        <w:tc>
          <w:tcPr>
            <w:tcW w:type="dxa" w:w="2721"/>
            <w:vAlign w:val="center"/>
          </w:tcPr>
          <w:p>
            <w:r/>
            <w:r>
              <w:rPr>
                <w:rFonts w:ascii="Calibri" w:hAnsi="Calibri"/>
                <w:b w:val="0"/>
                <w:sz w:val="19"/>
              </w:rPr>
              <w:t>Chaque capteur a sa latence et son horloge</w:t>
            </w:r>
          </w:p>
        </w:tc>
        <w:tc>
          <w:tcPr>
            <w:tcW w:type="dxa" w:w="2948"/>
            <w:vAlign w:val="center"/>
          </w:tcPr>
          <w:p>
            <w:r/>
            <w:r>
              <w:rPr>
                <w:rFonts w:ascii="Calibri" w:hAnsi="Calibri"/>
                <w:b w:val="0"/>
                <w:sz w:val="19"/>
              </w:rPr>
              <w:t>Horodatage commun, décalage estimé</w:t>
            </w:r>
          </w:p>
        </w:tc>
        <w:tc>
          <w:tcPr>
            <w:tcW w:type="dxa" w:w="2041"/>
            <w:vAlign w:val="center"/>
          </w:tcPr>
          <w:p>
            <w:r/>
            <w:r>
              <w:rPr>
                <w:rFonts w:ascii="Calibri" w:hAnsi="Calibri"/>
                <w:b w:val="0"/>
                <w:sz w:val="19"/>
              </w:rPr>
              <w:t>S8, S9, S10</w:t>
            </w:r>
          </w:p>
        </w:tc>
      </w:tr>
    </w:tbl>
    <w:p>
      <w:pPr>
        <w:spacing w:after="40"/>
      </w:pPr>
    </w:p>
    <w:p>
      <w:pPr/>
      <w:r>
        <w:rPr>
          <w:b w:val="0"/>
          <w:i w:val="0"/>
        </w:rPr>
        <w:t>La littérature est explicite sur le troisième point : la qualité de la synchronisation temporelle borne la précision de la fusion, indépendamment du bruit intrinsèque des capteurs (S8). Le décalage temporel peut être estimé en ligne (S9) et son impact quantifié (S10). Ces travaux justifient que l'horodatage soit une exigence contractuelle de la HAL, et non un détail d'implémentation.</w:t>
      </w:r>
    </w:p>
    <w:p>
      <w:pPr>
        <w:pStyle w:val="Heading3"/>
      </w:pPr>
      <w:r>
        <w:t>4.5.3 Cas limites et défaillances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474"/>
            <w:vAlign w:val="center"/>
            <w:shd w:val="clear" w:color="auto" w:fill="16283F"/>
          </w:tcPr>
          <w:p>
            <w:pPr>
              <w:jc w:val="center"/>
            </w:pPr>
            <w:r/>
            <w:r>
              <w:rPr>
                <w:rFonts w:ascii="Calibri" w:hAnsi="Calibri"/>
                <w:b/>
                <w:color w:val="FFFFFF"/>
                <w:sz w:val="19"/>
              </w:rPr>
              <w:t>Mode</w:t>
            </w:r>
          </w:p>
        </w:tc>
        <w:tc>
          <w:tcPr>
            <w:tcW w:type="dxa" w:w="2041"/>
            <w:vAlign w:val="center"/>
            <w:shd w:val="clear" w:color="auto" w:fill="16283F"/>
          </w:tcPr>
          <w:p>
            <w:pPr>
              <w:jc w:val="center"/>
            </w:pPr>
            <w:r/>
            <w:r>
              <w:rPr>
                <w:rFonts w:ascii="Calibri" w:hAnsi="Calibri"/>
                <w:b/>
                <w:color w:val="FFFFFF"/>
                <w:sz w:val="19"/>
              </w:rPr>
              <w:t>Cause</w:t>
            </w:r>
          </w:p>
        </w:tc>
        <w:tc>
          <w:tcPr>
            <w:tcW w:type="dxa" w:w="2381"/>
            <w:vAlign w:val="center"/>
            <w:shd w:val="clear" w:color="auto" w:fill="16283F"/>
          </w:tcPr>
          <w:p>
            <w:pPr>
              <w:jc w:val="center"/>
            </w:pPr>
            <w:r/>
            <w:r>
              <w:rPr>
                <w:rFonts w:ascii="Calibri" w:hAnsi="Calibri"/>
                <w:b/>
                <w:color w:val="FFFFFF"/>
                <w:sz w:val="19"/>
              </w:rPr>
              <w:t>Effet</w:t>
            </w:r>
          </w:p>
        </w:tc>
        <w:tc>
          <w:tcPr>
            <w:tcW w:type="dxa" w:w="3175"/>
            <w:vAlign w:val="center"/>
            <w:shd w:val="clear" w:color="auto" w:fill="16283F"/>
          </w:tcPr>
          <w:p>
            <w:pPr>
              <w:jc w:val="center"/>
            </w:pPr>
            <w:r/>
            <w:r>
              <w:rPr>
                <w:rFonts w:ascii="Calibri" w:hAnsi="Calibri"/>
                <w:b/>
                <w:color w:val="FFFFFF"/>
                <w:sz w:val="19"/>
              </w:rPr>
              <w:t>Mitigation</w:t>
            </w:r>
          </w:p>
        </w:tc>
      </w:tr>
      <w:tr>
        <w:tc>
          <w:tcPr>
            <w:tcW w:type="dxa" w:w="1474"/>
            <w:vAlign w:val="center"/>
          </w:tcPr>
          <w:p>
            <w:r/>
            <w:r>
              <w:rPr>
                <w:rFonts w:ascii="Calibri" w:hAnsi="Calibri"/>
                <w:b w:val="0"/>
                <w:sz w:val="19"/>
              </w:rPr>
              <w:t>Source absente</w:t>
            </w:r>
          </w:p>
        </w:tc>
        <w:tc>
          <w:tcPr>
            <w:tcW w:type="dxa" w:w="2041"/>
            <w:vAlign w:val="center"/>
          </w:tcPr>
          <w:p>
            <w:r/>
            <w:r>
              <w:rPr>
                <w:rFonts w:ascii="Calibri" w:hAnsi="Calibri"/>
                <w:b w:val="0"/>
                <w:sz w:val="19"/>
              </w:rPr>
              <w:t>Capteur non monté ou en panne</w:t>
            </w:r>
          </w:p>
        </w:tc>
        <w:tc>
          <w:tcPr>
            <w:tcW w:type="dxa" w:w="2381"/>
            <w:vAlign w:val="center"/>
          </w:tcPr>
          <w:p>
            <w:r/>
            <w:r>
              <w:rPr>
                <w:rFonts w:ascii="Calibri" w:hAnsi="Calibri"/>
                <w:b w:val="0"/>
                <w:sz w:val="19"/>
              </w:rPr>
              <w:t>Flux incomplet</w:t>
            </w:r>
          </w:p>
        </w:tc>
        <w:tc>
          <w:tcPr>
            <w:tcW w:type="dxa" w:w="3175"/>
            <w:vAlign w:val="center"/>
          </w:tcPr>
          <w:p>
            <w:r/>
            <w:r>
              <w:rPr>
                <w:rFonts w:ascii="Calibri" w:hAnsi="Calibri"/>
                <w:b w:val="0"/>
                <w:sz w:val="19"/>
              </w:rPr>
              <w:t>État DÉGRADÉ ; signalement santé ; repli documenté</w:t>
            </w:r>
          </w:p>
        </w:tc>
      </w:tr>
      <w:tr>
        <w:tc>
          <w:tcPr>
            <w:tcW w:type="dxa" w:w="1474"/>
            <w:vAlign w:val="center"/>
            <w:shd w:val="clear" w:color="auto" w:fill="F1F5F9"/>
          </w:tcPr>
          <w:p>
            <w:r/>
            <w:r>
              <w:rPr>
                <w:rFonts w:ascii="Calibri" w:hAnsi="Calibri"/>
                <w:b w:val="0"/>
                <w:sz w:val="19"/>
              </w:rPr>
              <w:t>Mesure aberrante</w:t>
            </w:r>
          </w:p>
        </w:tc>
        <w:tc>
          <w:tcPr>
            <w:tcW w:type="dxa" w:w="2041"/>
            <w:vAlign w:val="center"/>
            <w:shd w:val="clear" w:color="auto" w:fill="F1F5F9"/>
          </w:tcPr>
          <w:p>
            <w:r/>
            <w:r>
              <w:rPr>
                <w:rFonts w:ascii="Calibri" w:hAnsi="Calibri"/>
                <w:b w:val="0"/>
                <w:sz w:val="19"/>
              </w:rPr>
              <w:t>Bruit, saturation, interférence</w:t>
            </w:r>
          </w:p>
        </w:tc>
        <w:tc>
          <w:tcPr>
            <w:tcW w:type="dxa" w:w="2381"/>
            <w:vAlign w:val="center"/>
            <w:shd w:val="clear" w:color="auto" w:fill="F1F5F9"/>
          </w:tcPr>
          <w:p>
            <w:r/>
            <w:r>
              <w:rPr>
                <w:rFonts w:ascii="Calibri" w:hAnsi="Calibri"/>
                <w:b w:val="0"/>
                <w:sz w:val="19"/>
              </w:rPr>
              <w:t>Valeur hors bornes</w:t>
            </w:r>
          </w:p>
        </w:tc>
        <w:tc>
          <w:tcPr>
            <w:tcW w:type="dxa" w:w="3175"/>
            <w:vAlign w:val="center"/>
            <w:shd w:val="clear" w:color="auto" w:fill="F1F5F9"/>
          </w:tcPr>
          <w:p>
            <w:r/>
            <w:r>
              <w:rPr>
                <w:rFonts w:ascii="Calibri" w:hAnsi="Calibri"/>
                <w:b w:val="0"/>
                <w:sz w:val="19"/>
              </w:rPr>
              <w:t>Validation par bornes physiques ; rejet et journalisation</w:t>
            </w:r>
          </w:p>
        </w:tc>
      </w:tr>
      <w:tr>
        <w:tc>
          <w:tcPr>
            <w:tcW w:type="dxa" w:w="1474"/>
            <w:vAlign w:val="center"/>
          </w:tcPr>
          <w:p>
            <w:r/>
            <w:r>
              <w:rPr>
                <w:rFonts w:ascii="Calibri" w:hAnsi="Calibri"/>
                <w:b w:val="0"/>
                <w:sz w:val="19"/>
              </w:rPr>
              <w:t>Dérive temporelle</w:t>
            </w:r>
          </w:p>
        </w:tc>
        <w:tc>
          <w:tcPr>
            <w:tcW w:type="dxa" w:w="2041"/>
            <w:vAlign w:val="center"/>
          </w:tcPr>
          <w:p>
            <w:r/>
            <w:r>
              <w:rPr>
                <w:rFonts w:ascii="Calibri" w:hAnsi="Calibri"/>
                <w:b w:val="0"/>
                <w:sz w:val="19"/>
              </w:rPr>
              <w:t>Horloges non synchronisées</w:t>
            </w:r>
          </w:p>
        </w:tc>
        <w:tc>
          <w:tcPr>
            <w:tcW w:type="dxa" w:w="2381"/>
            <w:vAlign w:val="center"/>
          </w:tcPr>
          <w:p>
            <w:r/>
            <w:r>
              <w:rPr>
                <w:rFonts w:ascii="Calibri" w:hAnsi="Calibri"/>
                <w:b w:val="0"/>
                <w:sz w:val="19"/>
              </w:rPr>
              <w:t>Fusion dégradée silencieusement</w:t>
            </w:r>
          </w:p>
        </w:tc>
        <w:tc>
          <w:tcPr>
            <w:tcW w:type="dxa" w:w="3175"/>
            <w:vAlign w:val="center"/>
          </w:tcPr>
          <w:p>
            <w:r/>
            <w:r>
              <w:rPr>
                <w:rFonts w:ascii="Calibri" w:hAnsi="Calibri"/>
                <w:b w:val="0"/>
                <w:sz w:val="19"/>
              </w:rPr>
              <w:t>Horodatage commun ; estimation du décalage (S9)</w:t>
            </w:r>
          </w:p>
        </w:tc>
      </w:tr>
      <w:tr>
        <w:tc>
          <w:tcPr>
            <w:tcW w:type="dxa" w:w="1474"/>
            <w:vAlign w:val="center"/>
            <w:shd w:val="clear" w:color="auto" w:fill="F1F5F9"/>
          </w:tcPr>
          <w:p>
            <w:r/>
            <w:r>
              <w:rPr>
                <w:rFonts w:ascii="Calibri" w:hAnsi="Calibri"/>
                <w:b w:val="0"/>
                <w:sz w:val="19"/>
              </w:rPr>
              <w:t>Erreur de repère</w:t>
            </w:r>
          </w:p>
        </w:tc>
        <w:tc>
          <w:tcPr>
            <w:tcW w:type="dxa" w:w="2041"/>
            <w:vAlign w:val="center"/>
            <w:shd w:val="clear" w:color="auto" w:fill="F1F5F9"/>
          </w:tcPr>
          <w:p>
            <w:r/>
            <w:r>
              <w:rPr>
                <w:rFonts w:ascii="Calibri" w:hAnsi="Calibri"/>
                <w:b w:val="0"/>
                <w:sz w:val="19"/>
              </w:rPr>
              <w:t>Extrinsèque fausse ou périmée</w:t>
            </w:r>
          </w:p>
        </w:tc>
        <w:tc>
          <w:tcPr>
            <w:tcW w:type="dxa" w:w="2381"/>
            <w:vAlign w:val="center"/>
            <w:shd w:val="clear" w:color="auto" w:fill="F1F5F9"/>
          </w:tcPr>
          <w:p>
            <w:r/>
            <w:r>
              <w:rPr>
                <w:rFonts w:ascii="Calibri" w:hAnsi="Calibri"/>
                <w:b w:val="0"/>
                <w:sz w:val="19"/>
              </w:rPr>
              <w:t>Erreur systématique de position</w:t>
            </w:r>
          </w:p>
        </w:tc>
        <w:tc>
          <w:tcPr>
            <w:tcW w:type="dxa" w:w="3175"/>
            <w:vAlign w:val="center"/>
            <w:shd w:val="clear" w:color="auto" w:fill="F1F5F9"/>
          </w:tcPr>
          <w:p>
            <w:r/>
            <w:r>
              <w:rPr>
                <w:rFonts w:ascii="Calibri" w:hAnsi="Calibri"/>
                <w:b w:val="0"/>
                <w:sz w:val="19"/>
              </w:rPr>
              <w:t>Calibration vérifiée (S12) ; contrôle de cohérence</w:t>
            </w:r>
          </w:p>
        </w:tc>
      </w:tr>
      <w:tr>
        <w:tc>
          <w:tcPr>
            <w:tcW w:type="dxa" w:w="1474"/>
            <w:vAlign w:val="center"/>
          </w:tcPr>
          <w:p>
            <w:r/>
            <w:r>
              <w:rPr>
                <w:rFonts w:ascii="Calibri" w:hAnsi="Calibri"/>
                <w:b w:val="0"/>
                <w:sz w:val="19"/>
              </w:rPr>
              <w:t>Erreur d'unité</w:t>
            </w:r>
          </w:p>
        </w:tc>
        <w:tc>
          <w:tcPr>
            <w:tcW w:type="dxa" w:w="2041"/>
            <w:vAlign w:val="center"/>
          </w:tcPr>
          <w:p>
            <w:r/>
            <w:r>
              <w:rPr>
                <w:rFonts w:ascii="Calibri" w:hAnsi="Calibri"/>
                <w:b w:val="0"/>
                <w:sz w:val="19"/>
              </w:rPr>
              <w:t>Table de conversion erronée</w:t>
            </w:r>
          </w:p>
        </w:tc>
        <w:tc>
          <w:tcPr>
            <w:tcW w:type="dxa" w:w="2381"/>
            <w:vAlign w:val="center"/>
          </w:tcPr>
          <w:p>
            <w:r/>
            <w:r>
              <w:rPr>
                <w:rFonts w:ascii="Calibri" w:hAnsi="Calibri"/>
                <w:b w:val="0"/>
                <w:sz w:val="19"/>
              </w:rPr>
              <w:t>Erreur de facteur d'échelle</w:t>
            </w:r>
          </w:p>
        </w:tc>
        <w:tc>
          <w:tcPr>
            <w:tcW w:type="dxa" w:w="3175"/>
            <w:vAlign w:val="center"/>
          </w:tcPr>
          <w:p>
            <w:r/>
            <w:r>
              <w:rPr>
                <w:rFonts w:ascii="Calibri" w:hAnsi="Calibri"/>
                <w:b w:val="0"/>
                <w:sz w:val="19"/>
              </w:rPr>
              <w:t>Table versionnée ; tests de non-régression</w:t>
            </w:r>
          </w:p>
        </w:tc>
      </w:tr>
      <w:tr>
        <w:tc>
          <w:tcPr>
            <w:tcW w:type="dxa" w:w="1474"/>
            <w:vAlign w:val="center"/>
            <w:shd w:val="clear" w:color="auto" w:fill="F1F5F9"/>
          </w:tcPr>
          <w:p>
            <w:r/>
            <w:r>
              <w:rPr>
                <w:rFonts w:ascii="Calibri" w:hAnsi="Calibri"/>
                <w:b w:val="0"/>
                <w:sz w:val="19"/>
              </w:rPr>
              <w:t>Saturation de bus</w:t>
            </w:r>
          </w:p>
        </w:tc>
        <w:tc>
          <w:tcPr>
            <w:tcW w:type="dxa" w:w="2041"/>
            <w:vAlign w:val="center"/>
            <w:shd w:val="clear" w:color="auto" w:fill="F1F5F9"/>
          </w:tcPr>
          <w:p>
            <w:r/>
            <w:r>
              <w:rPr>
                <w:rFonts w:ascii="Calibri" w:hAnsi="Calibri"/>
                <w:b w:val="0"/>
                <w:sz w:val="19"/>
              </w:rPr>
              <w:t>Charge trop élevée</w:t>
            </w:r>
          </w:p>
        </w:tc>
        <w:tc>
          <w:tcPr>
            <w:tcW w:type="dxa" w:w="2381"/>
            <w:vAlign w:val="center"/>
            <w:shd w:val="clear" w:color="auto" w:fill="F1F5F9"/>
          </w:tcPr>
          <w:p>
            <w:r/>
            <w:r>
              <w:rPr>
                <w:rFonts w:ascii="Calibri" w:hAnsi="Calibri"/>
                <w:b w:val="0"/>
                <w:sz w:val="19"/>
              </w:rPr>
              <w:t>Perte de mesures</w:t>
            </w:r>
          </w:p>
        </w:tc>
        <w:tc>
          <w:tcPr>
            <w:tcW w:type="dxa" w:w="3175"/>
            <w:vAlign w:val="center"/>
            <w:shd w:val="clear" w:color="auto" w:fill="F1F5F9"/>
          </w:tcPr>
          <w:p>
            <w:r/>
            <w:r>
              <w:rPr>
                <w:rFonts w:ascii="Calibri" w:hAnsi="Calibri"/>
                <w:b w:val="0"/>
                <w:sz w:val="19"/>
              </w:rPr>
              <w:t>Bornage de cadence ; priorisation des sources critiques</w:t>
            </w:r>
          </w:p>
        </w:tc>
      </w:tr>
    </w:tbl>
    <w:p>
      <w:pPr>
        <w:spacing w:after="40"/>
      </w:pPr>
    </w:p>
    <w:p>
      <w:pPr>
        <w:pStyle w:val="Heading2"/>
      </w:pPr>
      <w:r>
        <w:t>Bloc 6 · Métriques &amp; performance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928"/>
            <w:vAlign w:val="center"/>
            <w:shd w:val="clear" w:color="auto" w:fill="16283F"/>
          </w:tcPr>
          <w:p>
            <w:pPr>
              <w:jc w:val="center"/>
            </w:pPr>
            <w:r/>
            <w:r>
              <w:rPr>
                <w:rFonts w:ascii="Calibri" w:hAnsi="Calibri"/>
                <w:b/>
                <w:color w:val="FFFFFF"/>
                <w:sz w:val="19"/>
              </w:rPr>
              <w:t>Métrique</w:t>
            </w:r>
          </w:p>
        </w:tc>
        <w:tc>
          <w:tcPr>
            <w:tcW w:type="dxa" w:w="2835"/>
            <w:vAlign w:val="center"/>
            <w:shd w:val="clear" w:color="auto" w:fill="16283F"/>
          </w:tcPr>
          <w:p>
            <w:pPr>
              <w:jc w:val="center"/>
            </w:pPr>
            <w:r/>
            <w:r>
              <w:rPr>
                <w:rFonts w:ascii="Calibri" w:hAnsi="Calibri"/>
                <w:b/>
                <w:color w:val="FFFFFF"/>
                <w:sz w:val="19"/>
              </w:rPr>
              <w:t>Définition</w:t>
            </w:r>
          </w:p>
        </w:tc>
        <w:tc>
          <w:tcPr>
            <w:tcW w:type="dxa" w:w="2041"/>
            <w:vAlign w:val="center"/>
            <w:shd w:val="clear" w:color="auto" w:fill="16283F"/>
          </w:tcPr>
          <w:p>
            <w:pPr>
              <w:jc w:val="center"/>
            </w:pPr>
            <w:r/>
            <w:r>
              <w:rPr>
                <w:rFonts w:ascii="Calibri" w:hAnsi="Calibri"/>
                <w:b/>
                <w:color w:val="FFFFFF"/>
                <w:sz w:val="19"/>
              </w:rPr>
              <w:t>Cible</w:t>
            </w:r>
          </w:p>
        </w:tc>
        <w:tc>
          <w:tcPr>
            <w:tcW w:type="dxa" w:w="2268"/>
            <w:vAlign w:val="center"/>
            <w:shd w:val="clear" w:color="auto" w:fill="16283F"/>
          </w:tcPr>
          <w:p>
            <w:pPr>
              <w:jc w:val="center"/>
            </w:pPr>
            <w:r/>
            <w:r>
              <w:rPr>
                <w:rFonts w:ascii="Calibri" w:hAnsi="Calibri"/>
                <w:b/>
                <w:color w:val="FFFFFF"/>
                <w:sz w:val="19"/>
              </w:rPr>
              <w:t>Étiquette</w:t>
            </w:r>
          </w:p>
        </w:tc>
      </w:tr>
      <w:tr>
        <w:tc>
          <w:tcPr>
            <w:tcW w:type="dxa" w:w="1928"/>
            <w:vAlign w:val="center"/>
          </w:tcPr>
          <w:p>
            <w:r/>
            <w:r>
              <w:rPr>
                <w:rFonts w:ascii="Calibri" w:hAnsi="Calibri"/>
                <w:b w:val="0"/>
                <w:sz w:val="19"/>
              </w:rPr>
              <w:t>Latence d'acquisition</w:t>
            </w:r>
          </w:p>
        </w:tc>
        <w:tc>
          <w:tcPr>
            <w:tcW w:type="dxa" w:w="2835"/>
            <w:vAlign w:val="center"/>
          </w:tcPr>
          <w:p>
            <w:r/>
            <w:r>
              <w:rPr>
                <w:rFonts w:ascii="Calibri" w:hAnsi="Calibri"/>
                <w:b w:val="0"/>
                <w:sz w:val="19"/>
              </w:rPr>
              <w:t>Délai lecture → publication</w:t>
            </w:r>
          </w:p>
        </w:tc>
        <w:tc>
          <w:tcPr>
            <w:tcW w:type="dxa" w:w="2041"/>
            <w:vAlign w:val="center"/>
          </w:tcPr>
          <w:p>
            <w:r/>
            <w:r>
              <w:rPr>
                <w:rFonts w:ascii="Calibri" w:hAnsi="Calibri"/>
                <w:b w:val="0"/>
                <w:sz w:val="19"/>
              </w:rPr>
              <w:t>À définir</w:t>
            </w:r>
          </w:p>
        </w:tc>
        <w:tc>
          <w:tcPr>
            <w:tcW w:type="dxa" w:w="2268"/>
            <w:vAlign w:val="center"/>
          </w:tcPr>
          <w:p>
            <w:r/>
            <w:r>
              <w:rPr>
                <w:rFonts w:ascii="Calibri" w:hAnsi="Calibri"/>
                <w:b w:val="0"/>
                <w:sz w:val="19"/>
              </w:rPr>
              <w:t>[À DÉFINIR]</w:t>
            </w:r>
          </w:p>
        </w:tc>
      </w:tr>
      <w:tr>
        <w:tc>
          <w:tcPr>
            <w:tcW w:type="dxa" w:w="1928"/>
            <w:vAlign w:val="center"/>
            <w:shd w:val="clear" w:color="auto" w:fill="F1F5F9"/>
          </w:tcPr>
          <w:p>
            <w:r/>
            <w:r>
              <w:rPr>
                <w:rFonts w:ascii="Calibri" w:hAnsi="Calibri"/>
                <w:b w:val="0"/>
                <w:sz w:val="19"/>
              </w:rPr>
              <w:t>Gigue (jitter)</w:t>
            </w:r>
          </w:p>
        </w:tc>
        <w:tc>
          <w:tcPr>
            <w:tcW w:type="dxa" w:w="2835"/>
            <w:vAlign w:val="center"/>
            <w:shd w:val="clear" w:color="auto" w:fill="F1F5F9"/>
          </w:tcPr>
          <w:p>
            <w:r/>
            <w:r>
              <w:rPr>
                <w:rFonts w:ascii="Calibri" w:hAnsi="Calibri"/>
                <w:b w:val="0"/>
                <w:sz w:val="19"/>
              </w:rPr>
              <w:t>Variation de la latence</w:t>
            </w:r>
          </w:p>
        </w:tc>
        <w:tc>
          <w:tcPr>
            <w:tcW w:type="dxa" w:w="2041"/>
            <w:vAlign w:val="center"/>
            <w:shd w:val="clear" w:color="auto" w:fill="F1F5F9"/>
          </w:tcPr>
          <w:p>
            <w:r/>
            <w:r>
              <w:rPr>
                <w:rFonts w:ascii="Calibri" w:hAnsi="Calibri"/>
                <w:b w:val="0"/>
                <w:sz w:val="19"/>
              </w:rPr>
              <w:t>À définir</w:t>
            </w:r>
          </w:p>
        </w:tc>
        <w:tc>
          <w:tcPr>
            <w:tcW w:type="dxa" w:w="2268"/>
            <w:vAlign w:val="center"/>
            <w:shd w:val="clear" w:color="auto" w:fill="F1F5F9"/>
          </w:tcPr>
          <w:p>
            <w:r/>
            <w:r>
              <w:rPr>
                <w:rFonts w:ascii="Calibri" w:hAnsi="Calibri"/>
                <w:b w:val="0"/>
                <w:sz w:val="19"/>
              </w:rPr>
              <w:t>[À DÉFINIR]</w:t>
            </w:r>
          </w:p>
        </w:tc>
      </w:tr>
      <w:tr>
        <w:tc>
          <w:tcPr>
            <w:tcW w:type="dxa" w:w="1928"/>
            <w:vAlign w:val="center"/>
          </w:tcPr>
          <w:p>
            <w:r/>
            <w:r>
              <w:rPr>
                <w:rFonts w:ascii="Calibri" w:hAnsi="Calibri"/>
                <w:b w:val="0"/>
                <w:sz w:val="19"/>
              </w:rPr>
              <w:t>Exactitude temporelle</w:t>
            </w:r>
          </w:p>
        </w:tc>
        <w:tc>
          <w:tcPr>
            <w:tcW w:type="dxa" w:w="2835"/>
            <w:vAlign w:val="center"/>
          </w:tcPr>
          <w:p>
            <w:r/>
            <w:r>
              <w:rPr>
                <w:rFonts w:ascii="Calibri" w:hAnsi="Calibri"/>
                <w:b w:val="0"/>
                <w:sz w:val="19"/>
              </w:rPr>
              <w:t>Erreur d'horodatage</w:t>
            </w:r>
          </w:p>
        </w:tc>
        <w:tc>
          <w:tcPr>
            <w:tcW w:type="dxa" w:w="2041"/>
            <w:vAlign w:val="center"/>
          </w:tcPr>
          <w:p>
            <w:r/>
            <w:r>
              <w:rPr>
                <w:rFonts w:ascii="Calibri" w:hAnsi="Calibri"/>
                <w:b w:val="0"/>
                <w:sz w:val="19"/>
              </w:rPr>
              <w:t>Bornée par la fusion</w:t>
            </w:r>
          </w:p>
        </w:tc>
        <w:tc>
          <w:tcPr>
            <w:tcW w:type="dxa" w:w="2268"/>
            <w:vAlign w:val="center"/>
          </w:tcPr>
          <w:p>
            <w:r/>
            <w:r>
              <w:rPr>
                <w:rFonts w:ascii="Calibri" w:hAnsi="Calibri"/>
                <w:b w:val="0"/>
                <w:sz w:val="19"/>
              </w:rPr>
              <w:t>LITTERATURE (S8)</w:t>
            </w:r>
          </w:p>
        </w:tc>
      </w:tr>
      <w:tr>
        <w:tc>
          <w:tcPr>
            <w:tcW w:type="dxa" w:w="1928"/>
            <w:vAlign w:val="center"/>
            <w:shd w:val="clear" w:color="auto" w:fill="F1F5F9"/>
          </w:tcPr>
          <w:p>
            <w:r/>
            <w:r>
              <w:rPr>
                <w:rFonts w:ascii="Calibri" w:hAnsi="Calibri"/>
                <w:b w:val="0"/>
                <w:sz w:val="19"/>
              </w:rPr>
              <w:t>Taux de perte</w:t>
            </w:r>
          </w:p>
        </w:tc>
        <w:tc>
          <w:tcPr>
            <w:tcW w:type="dxa" w:w="2835"/>
            <w:vAlign w:val="center"/>
            <w:shd w:val="clear" w:color="auto" w:fill="F1F5F9"/>
          </w:tcPr>
          <w:p>
            <w:r/>
            <w:r>
              <w:rPr>
                <w:rFonts w:ascii="Calibri" w:hAnsi="Calibri"/>
                <w:b w:val="0"/>
                <w:sz w:val="19"/>
              </w:rPr>
              <w:t>Mesures rejetées / lues</w:t>
            </w:r>
          </w:p>
        </w:tc>
        <w:tc>
          <w:tcPr>
            <w:tcW w:type="dxa" w:w="2041"/>
            <w:vAlign w:val="center"/>
            <w:shd w:val="clear" w:color="auto" w:fill="F1F5F9"/>
          </w:tcPr>
          <w:p>
            <w:r/>
            <w:r>
              <w:rPr>
                <w:rFonts w:ascii="Calibri" w:hAnsi="Calibri"/>
                <w:b w:val="0"/>
                <w:sz w:val="19"/>
              </w:rPr>
              <w:t>À définir</w:t>
            </w:r>
          </w:p>
        </w:tc>
        <w:tc>
          <w:tcPr>
            <w:tcW w:type="dxa" w:w="2268"/>
            <w:vAlign w:val="center"/>
            <w:shd w:val="clear" w:color="auto" w:fill="F1F5F9"/>
          </w:tcPr>
          <w:p>
            <w:r/>
            <w:r>
              <w:rPr>
                <w:rFonts w:ascii="Calibri" w:hAnsi="Calibri"/>
                <w:b w:val="0"/>
                <w:sz w:val="19"/>
              </w:rPr>
              <w:t>[À DÉFINIR]</w:t>
            </w:r>
          </w:p>
        </w:tc>
      </w:tr>
      <w:tr>
        <w:tc>
          <w:tcPr>
            <w:tcW w:type="dxa" w:w="1928"/>
            <w:vAlign w:val="center"/>
          </w:tcPr>
          <w:p>
            <w:r/>
            <w:r>
              <w:rPr>
                <w:rFonts w:ascii="Calibri" w:hAnsi="Calibri"/>
                <w:b w:val="0"/>
                <w:sz w:val="19"/>
              </w:rPr>
              <w:t>Disponibilité</w:t>
            </w:r>
          </w:p>
        </w:tc>
        <w:tc>
          <w:tcPr>
            <w:tcW w:type="dxa" w:w="2835"/>
            <w:vAlign w:val="center"/>
          </w:tcPr>
          <w:p>
            <w:r/>
            <w:r>
              <w:rPr>
                <w:rFonts w:ascii="Calibri" w:hAnsi="Calibri"/>
                <w:b w:val="0"/>
                <w:sz w:val="19"/>
              </w:rPr>
              <w:t>Fraction de temps en NOMINAL</w:t>
            </w:r>
          </w:p>
        </w:tc>
        <w:tc>
          <w:tcPr>
            <w:tcW w:type="dxa" w:w="2041"/>
            <w:vAlign w:val="center"/>
          </w:tcPr>
          <w:p>
            <w:r/>
            <w:r>
              <w:rPr>
                <w:rFonts w:ascii="Calibri" w:hAnsi="Calibri"/>
                <w:b w:val="0"/>
                <w:sz w:val="19"/>
              </w:rPr>
              <w:t>À définir</w:t>
            </w:r>
          </w:p>
        </w:tc>
        <w:tc>
          <w:tcPr>
            <w:tcW w:type="dxa" w:w="2268"/>
            <w:vAlign w:val="center"/>
          </w:tcPr>
          <w:p>
            <w:r/>
            <w:r>
              <w:rPr>
                <w:rFonts w:ascii="Calibri" w:hAnsi="Calibri"/>
                <w:b w:val="0"/>
                <w:sz w:val="19"/>
              </w:rPr>
              <w:t>[À DÉFINIR]</w:t>
            </w:r>
          </w:p>
        </w:tc>
      </w:tr>
      <w:tr>
        <w:tc>
          <w:tcPr>
            <w:tcW w:type="dxa" w:w="1928"/>
            <w:vAlign w:val="center"/>
            <w:shd w:val="clear" w:color="auto" w:fill="F1F5F9"/>
          </w:tcPr>
          <w:p>
            <w:r/>
            <w:r>
              <w:rPr>
                <w:rFonts w:ascii="Calibri" w:hAnsi="Calibri"/>
                <w:b w:val="0"/>
                <w:sz w:val="19"/>
              </w:rPr>
              <w:t>Couverture de normalisation</w:t>
            </w:r>
          </w:p>
        </w:tc>
        <w:tc>
          <w:tcPr>
            <w:tcW w:type="dxa" w:w="2835"/>
            <w:vAlign w:val="center"/>
            <w:shd w:val="clear" w:color="auto" w:fill="F1F5F9"/>
          </w:tcPr>
          <w:p>
            <w:r/>
            <w:r>
              <w:rPr>
                <w:rFonts w:ascii="Calibri" w:hAnsi="Calibri"/>
                <w:b w:val="0"/>
                <w:sz w:val="19"/>
              </w:rPr>
              <w:t>Sources normalisées / sources totales</w:t>
            </w:r>
          </w:p>
        </w:tc>
        <w:tc>
          <w:tcPr>
            <w:tcW w:type="dxa" w:w="2041"/>
            <w:vAlign w:val="center"/>
            <w:shd w:val="clear" w:color="auto" w:fill="F1F5F9"/>
          </w:tcPr>
          <w:p>
            <w:r/>
            <w:r>
              <w:rPr>
                <w:rFonts w:ascii="Calibri" w:hAnsi="Calibri"/>
                <w:b w:val="0"/>
                <w:sz w:val="19"/>
              </w:rPr>
              <w:t>100 %</w:t>
            </w:r>
          </w:p>
        </w:tc>
        <w:tc>
          <w:tcPr>
            <w:tcW w:type="dxa" w:w="2268"/>
            <w:vAlign w:val="center"/>
            <w:shd w:val="clear" w:color="auto" w:fill="F1F5F9"/>
          </w:tcPr>
          <w:p>
            <w:r/>
            <w:r>
              <w:rPr>
                <w:rFonts w:ascii="Calibri" w:hAnsi="Calibri"/>
                <w:b w:val="0"/>
                <w:sz w:val="19"/>
              </w:rPr>
              <w:t>HYPOTHESE</w:t>
            </w:r>
          </w:p>
        </w:tc>
      </w:tr>
    </w:tbl>
    <w:p>
      <w:pPr>
        <w:spacing w:after="40"/>
      </w:pPr>
    </w:p>
    <w:p>
      <w:pPr/>
      <w:r>
        <w:rPr>
          <w:b w:val="0"/>
          <w:i/>
          <w:color w:val="5A6B7A"/>
          <w:sz w:val="20"/>
        </w:rPr>
        <w:t>Aucune valeur numérique de performance n'est déclarée dans le modèle pour la HAL. Les cibles sont donc marquées [À DÉFINIR] plutôt qu'inventées. La seule borne documentée est la cadence du flux sortant vers la perception (10-60 Hz), qui contraint implicitement la latence d'acquisition.</w:t>
      </w:r>
    </w:p>
    <w:p>
      <w:pPr>
        <w:pStyle w:val="Heading2"/>
      </w:pPr>
      <w:r>
        <w:t>Bloc 7 · Vérification &amp; tests</w:t>
      </w:r>
    </w:p>
    <w:p>
      <w:pPr>
        <w:pStyle w:val="Heading3"/>
      </w:pPr>
      <w:r>
        <w:t>4.7.1 Plan de test proposé</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vAlign w:val="center"/>
            <w:shd w:val="clear" w:color="auto" w:fill="16283F"/>
          </w:tcPr>
          <w:p>
            <w:pPr>
              <w:jc w:val="center"/>
            </w:pPr>
            <w:r/>
            <w:r>
              <w:rPr>
                <w:rFonts w:ascii="Calibri" w:hAnsi="Calibri"/>
                <w:b/>
                <w:color w:val="FFFFFF"/>
                <w:sz w:val="19"/>
              </w:rPr>
              <w:t>Test</w:t>
            </w:r>
          </w:p>
        </w:tc>
        <w:tc>
          <w:tcPr>
            <w:tcW w:type="dxa" w:w="3061"/>
            <w:vAlign w:val="center"/>
            <w:shd w:val="clear" w:color="auto" w:fill="16283F"/>
          </w:tcPr>
          <w:p>
            <w:pPr>
              <w:jc w:val="center"/>
            </w:pPr>
            <w:r/>
            <w:r>
              <w:rPr>
                <w:rFonts w:ascii="Calibri" w:hAnsi="Calibri"/>
                <w:b/>
                <w:color w:val="FFFFFF"/>
                <w:sz w:val="19"/>
              </w:rPr>
              <w:t>Objet</w:t>
            </w:r>
          </w:p>
        </w:tc>
        <w:tc>
          <w:tcPr>
            <w:tcW w:type="dxa" w:w="4309"/>
            <w:vAlign w:val="center"/>
            <w:shd w:val="clear" w:color="auto" w:fill="16283F"/>
          </w:tcPr>
          <w:p>
            <w:pPr>
              <w:jc w:val="center"/>
            </w:pPr>
            <w:r/>
            <w:r>
              <w:rPr>
                <w:rFonts w:ascii="Calibri" w:hAnsi="Calibri"/>
                <w:b/>
                <w:color w:val="FFFFFF"/>
                <w:sz w:val="19"/>
              </w:rPr>
              <w:t>Critère de succès</w:t>
            </w:r>
          </w:p>
        </w:tc>
      </w:tr>
      <w:tr>
        <w:tc>
          <w:tcPr>
            <w:tcW w:type="dxa" w:w="1701"/>
            <w:vAlign w:val="center"/>
          </w:tcPr>
          <w:p>
            <w:r/>
            <w:r>
              <w:rPr>
                <w:rFonts w:ascii="Calibri" w:hAnsi="Calibri"/>
                <w:b w:val="0"/>
                <w:sz w:val="19"/>
              </w:rPr>
              <w:t>T1 — Unités</w:t>
            </w:r>
          </w:p>
        </w:tc>
        <w:tc>
          <w:tcPr>
            <w:tcW w:type="dxa" w:w="3061"/>
            <w:vAlign w:val="center"/>
          </w:tcPr>
          <w:p>
            <w:r/>
            <w:r>
              <w:rPr>
                <w:rFonts w:ascii="Calibri" w:hAnsi="Calibri"/>
                <w:b w:val="0"/>
                <w:sz w:val="19"/>
              </w:rPr>
              <w:t>Vérifier chaque conversion</w:t>
            </w:r>
          </w:p>
        </w:tc>
        <w:tc>
          <w:tcPr>
            <w:tcW w:type="dxa" w:w="4309"/>
            <w:vAlign w:val="center"/>
          </w:tcPr>
          <w:p>
            <w:r/>
            <w:r>
              <w:rPr>
                <w:rFonts w:ascii="Calibri" w:hAnsi="Calibri"/>
                <w:b w:val="0"/>
                <w:sz w:val="19"/>
              </w:rPr>
              <w:t>Valeur SI exacte pour un jeu de référence</w:t>
            </w:r>
          </w:p>
        </w:tc>
      </w:tr>
      <w:tr>
        <w:tc>
          <w:tcPr>
            <w:tcW w:type="dxa" w:w="1701"/>
            <w:vAlign w:val="center"/>
            <w:shd w:val="clear" w:color="auto" w:fill="F1F5F9"/>
          </w:tcPr>
          <w:p>
            <w:r/>
            <w:r>
              <w:rPr>
                <w:rFonts w:ascii="Calibri" w:hAnsi="Calibri"/>
                <w:b w:val="0"/>
                <w:sz w:val="19"/>
              </w:rPr>
              <w:t>T2 — Repères</w:t>
            </w:r>
          </w:p>
        </w:tc>
        <w:tc>
          <w:tcPr>
            <w:tcW w:type="dxa" w:w="3061"/>
            <w:vAlign w:val="center"/>
            <w:shd w:val="clear" w:color="auto" w:fill="F1F5F9"/>
          </w:tcPr>
          <w:p>
            <w:r/>
            <w:r>
              <w:rPr>
                <w:rFonts w:ascii="Calibri" w:hAnsi="Calibri"/>
                <w:b w:val="0"/>
                <w:sz w:val="19"/>
              </w:rPr>
              <w:t>Vérifier chaque extrinsèque</w:t>
            </w:r>
          </w:p>
        </w:tc>
        <w:tc>
          <w:tcPr>
            <w:tcW w:type="dxa" w:w="4309"/>
            <w:vAlign w:val="center"/>
            <w:shd w:val="clear" w:color="auto" w:fill="F1F5F9"/>
          </w:tcPr>
          <w:p>
            <w:r/>
            <w:r>
              <w:rPr>
                <w:rFonts w:ascii="Calibri" w:hAnsi="Calibri"/>
                <w:b w:val="0"/>
                <w:sz w:val="19"/>
              </w:rPr>
              <w:t>Erreur de position sous le seuil de fusion</w:t>
            </w:r>
          </w:p>
        </w:tc>
      </w:tr>
      <w:tr>
        <w:tc>
          <w:tcPr>
            <w:tcW w:type="dxa" w:w="1701"/>
            <w:vAlign w:val="center"/>
          </w:tcPr>
          <w:p>
            <w:r/>
            <w:r>
              <w:rPr>
                <w:rFonts w:ascii="Calibri" w:hAnsi="Calibri"/>
                <w:b w:val="0"/>
                <w:sz w:val="19"/>
              </w:rPr>
              <w:t>T3 — Horodatage</w:t>
            </w:r>
          </w:p>
        </w:tc>
        <w:tc>
          <w:tcPr>
            <w:tcW w:type="dxa" w:w="3061"/>
            <w:vAlign w:val="center"/>
          </w:tcPr>
          <w:p>
            <w:r/>
            <w:r>
              <w:rPr>
                <w:rFonts w:ascii="Calibri" w:hAnsi="Calibri"/>
                <w:b w:val="0"/>
                <w:sz w:val="19"/>
              </w:rPr>
              <w:t>Vérifier la base de temps commune</w:t>
            </w:r>
          </w:p>
        </w:tc>
        <w:tc>
          <w:tcPr>
            <w:tcW w:type="dxa" w:w="4309"/>
            <w:vAlign w:val="center"/>
          </w:tcPr>
          <w:p>
            <w:r/>
            <w:r>
              <w:rPr>
                <w:rFonts w:ascii="Calibri" w:hAnsi="Calibri"/>
                <w:b w:val="0"/>
                <w:sz w:val="19"/>
              </w:rPr>
              <w:t>Décalage résiduel borné</w:t>
            </w:r>
          </w:p>
        </w:tc>
      </w:tr>
      <w:tr>
        <w:tc>
          <w:tcPr>
            <w:tcW w:type="dxa" w:w="1701"/>
            <w:vAlign w:val="center"/>
            <w:shd w:val="clear" w:color="auto" w:fill="F1F5F9"/>
          </w:tcPr>
          <w:p>
            <w:r/>
            <w:r>
              <w:rPr>
                <w:rFonts w:ascii="Calibri" w:hAnsi="Calibri"/>
                <w:b w:val="0"/>
                <w:sz w:val="19"/>
              </w:rPr>
              <w:t>T4 — Dégradation</w:t>
            </w:r>
          </w:p>
        </w:tc>
        <w:tc>
          <w:tcPr>
            <w:tcW w:type="dxa" w:w="3061"/>
            <w:vAlign w:val="center"/>
            <w:shd w:val="clear" w:color="auto" w:fill="F1F5F9"/>
          </w:tcPr>
          <w:p>
            <w:r/>
            <w:r>
              <w:rPr>
                <w:rFonts w:ascii="Calibri" w:hAnsi="Calibri"/>
                <w:b w:val="0"/>
                <w:sz w:val="19"/>
              </w:rPr>
              <w:t>Retirer une source non critique</w:t>
            </w:r>
          </w:p>
        </w:tc>
        <w:tc>
          <w:tcPr>
            <w:tcW w:type="dxa" w:w="4309"/>
            <w:vAlign w:val="center"/>
            <w:shd w:val="clear" w:color="auto" w:fill="F1F5F9"/>
          </w:tcPr>
          <w:p>
            <w:r/>
            <w:r>
              <w:rPr>
                <w:rFonts w:ascii="Calibri" w:hAnsi="Calibri"/>
                <w:b w:val="0"/>
                <w:sz w:val="19"/>
              </w:rPr>
              <w:t>Passage en DÉGRADÉ, signalement santé</w:t>
            </w:r>
          </w:p>
        </w:tc>
      </w:tr>
      <w:tr>
        <w:tc>
          <w:tcPr>
            <w:tcW w:type="dxa" w:w="1701"/>
            <w:vAlign w:val="center"/>
          </w:tcPr>
          <w:p>
            <w:r/>
            <w:r>
              <w:rPr>
                <w:rFonts w:ascii="Calibri" w:hAnsi="Calibri"/>
                <w:b w:val="0"/>
                <w:sz w:val="19"/>
              </w:rPr>
              <w:t>T5 — Panne critique</w:t>
            </w:r>
          </w:p>
        </w:tc>
        <w:tc>
          <w:tcPr>
            <w:tcW w:type="dxa" w:w="3061"/>
            <w:vAlign w:val="center"/>
          </w:tcPr>
          <w:p>
            <w:r/>
            <w:r>
              <w:rPr>
                <w:rFonts w:ascii="Calibri" w:hAnsi="Calibri"/>
                <w:b w:val="0"/>
                <w:sz w:val="19"/>
              </w:rPr>
              <w:t>Retirer l'IMU</w:t>
            </w:r>
          </w:p>
        </w:tc>
        <w:tc>
          <w:tcPr>
            <w:tcW w:type="dxa" w:w="4309"/>
            <w:vAlign w:val="center"/>
          </w:tcPr>
          <w:p>
            <w:r/>
            <w:r>
              <w:rPr>
                <w:rFonts w:ascii="Calibri" w:hAnsi="Calibri"/>
                <w:b w:val="0"/>
                <w:sz w:val="19"/>
              </w:rPr>
              <w:t>Passage en FAULT, arrêt sûr</w:t>
            </w:r>
          </w:p>
        </w:tc>
      </w:tr>
      <w:tr>
        <w:tc>
          <w:tcPr>
            <w:tcW w:type="dxa" w:w="1701"/>
            <w:vAlign w:val="center"/>
            <w:shd w:val="clear" w:color="auto" w:fill="F1F5F9"/>
          </w:tcPr>
          <w:p>
            <w:r/>
            <w:r>
              <w:rPr>
                <w:rFonts w:ascii="Calibri" w:hAnsi="Calibri"/>
                <w:b w:val="0"/>
                <w:sz w:val="19"/>
              </w:rPr>
              <w:t>T6 — Charge</w:t>
            </w:r>
          </w:p>
        </w:tc>
        <w:tc>
          <w:tcPr>
            <w:tcW w:type="dxa" w:w="3061"/>
            <w:vAlign w:val="center"/>
            <w:shd w:val="clear" w:color="auto" w:fill="F1F5F9"/>
          </w:tcPr>
          <w:p>
            <w:r/>
            <w:r>
              <w:rPr>
                <w:rFonts w:ascii="Calibri" w:hAnsi="Calibri"/>
                <w:b w:val="0"/>
                <w:sz w:val="19"/>
              </w:rPr>
              <w:t>Saturer la cadence</w:t>
            </w:r>
          </w:p>
        </w:tc>
        <w:tc>
          <w:tcPr>
            <w:tcW w:type="dxa" w:w="4309"/>
            <w:vAlign w:val="center"/>
            <w:shd w:val="clear" w:color="auto" w:fill="F1F5F9"/>
          </w:tcPr>
          <w:p>
            <w:r/>
            <w:r>
              <w:rPr>
                <w:rFonts w:ascii="Calibri" w:hAnsi="Calibri"/>
                <w:b w:val="0"/>
                <w:sz w:val="19"/>
              </w:rPr>
              <w:t>Aucune perte silencieuse</w:t>
            </w:r>
          </w:p>
        </w:tc>
      </w:tr>
      <w:tr>
        <w:tc>
          <w:tcPr>
            <w:tcW w:type="dxa" w:w="1701"/>
            <w:vAlign w:val="center"/>
          </w:tcPr>
          <w:p>
            <w:r/>
            <w:r>
              <w:rPr>
                <w:rFonts w:ascii="Calibri" w:hAnsi="Calibri"/>
                <w:b w:val="0"/>
                <w:sz w:val="19"/>
              </w:rPr>
              <w:t>T7 — Portabilité</w:t>
            </w:r>
          </w:p>
        </w:tc>
        <w:tc>
          <w:tcPr>
            <w:tcW w:type="dxa" w:w="3061"/>
            <w:vAlign w:val="center"/>
          </w:tcPr>
          <w:p>
            <w:r/>
            <w:r>
              <w:rPr>
                <w:rFonts w:ascii="Calibri" w:hAnsi="Calibri"/>
                <w:b w:val="0"/>
                <w:sz w:val="19"/>
              </w:rPr>
              <w:t>Changer d'implémentation (XRCE ↔ MAVLink)</w:t>
            </w:r>
          </w:p>
        </w:tc>
        <w:tc>
          <w:tcPr>
            <w:tcW w:type="dxa" w:w="4309"/>
            <w:vAlign w:val="center"/>
          </w:tcPr>
          <w:p>
            <w:r/>
            <w:r>
              <w:rPr>
                <w:rFonts w:ascii="Calibri" w:hAnsi="Calibri"/>
                <w:b w:val="0"/>
                <w:sz w:val="19"/>
              </w:rPr>
              <w:t>Contrat identique, aucun changement consommateur</w:t>
            </w:r>
          </w:p>
        </w:tc>
      </w:tr>
      <w:tr>
        <w:tc>
          <w:tcPr>
            <w:tcW w:type="dxa" w:w="1701"/>
            <w:vAlign w:val="center"/>
            <w:shd w:val="clear" w:color="auto" w:fill="F1F5F9"/>
          </w:tcPr>
          <w:p>
            <w:r/>
            <w:r>
              <w:rPr>
                <w:rFonts w:ascii="Calibri" w:hAnsi="Calibri"/>
                <w:b w:val="0"/>
                <w:sz w:val="19"/>
              </w:rPr>
              <w:t>T8 — Non-régression</w:t>
            </w:r>
          </w:p>
        </w:tc>
        <w:tc>
          <w:tcPr>
            <w:tcW w:type="dxa" w:w="3061"/>
            <w:vAlign w:val="center"/>
            <w:shd w:val="clear" w:color="auto" w:fill="F1F5F9"/>
          </w:tcPr>
          <w:p>
            <w:r/>
            <w:r>
              <w:rPr>
                <w:rFonts w:ascii="Calibri" w:hAnsi="Calibri"/>
                <w:b w:val="0"/>
                <w:sz w:val="19"/>
              </w:rPr>
              <w:t>Rejouer un enregistrement</w:t>
            </w:r>
          </w:p>
        </w:tc>
        <w:tc>
          <w:tcPr>
            <w:tcW w:type="dxa" w:w="4309"/>
            <w:vAlign w:val="center"/>
            <w:shd w:val="clear" w:color="auto" w:fill="F1F5F9"/>
          </w:tcPr>
          <w:p>
            <w:r/>
            <w:r>
              <w:rPr>
                <w:rFonts w:ascii="Calibri" w:hAnsi="Calibri"/>
                <w:b w:val="0"/>
                <w:sz w:val="19"/>
              </w:rPr>
              <w:t>Résultats bit-à-bit identiques</w:t>
            </w:r>
          </w:p>
        </w:tc>
      </w:tr>
    </w:tbl>
    <w:p>
      <w:pPr>
        <w:spacing w:after="40"/>
      </w:pPr>
    </w:p>
    <w:p>
      <w:r>
        <w:br w:type="page"/>
      </w:r>
    </w:p>
    <w:p>
      <w:pPr>
        <w:pStyle w:val="Heading1"/>
      </w:pPr>
      <w:r>
        <w:t>5. Annexes</w:t>
      </w:r>
    </w:p>
    <w:p>
      <w:pPr>
        <w:pStyle w:val="Heading2"/>
      </w:pPr>
      <w:r>
        <w:t>5.1 Glossaire</w:t>
      </w:r>
    </w:p>
    <w:tbl>
      <w:tblPr>
        <w:tblStyle w:val="TableGrid"/>
        <w:tblW w:type="auto" w:w="0"/>
        <w:jc w:val="center"/>
        <w:tblLayout w:type="fixed"/>
        <w:tblLook w:firstColumn="1" w:firstRow="1" w:lastColumn="0" w:lastRow="0" w:noHBand="0" w:noVBand="1" w:val="04A0"/>
      </w:tblPr>
      <w:tblGrid>
        <w:gridCol w:w="4706"/>
        <w:gridCol w:w="4706"/>
      </w:tblGrid>
      <w:tr>
        <w:tc>
          <w:tcPr>
            <w:tcW w:type="dxa" w:w="1984"/>
            <w:vAlign w:val="center"/>
            <w:shd w:val="clear" w:color="auto" w:fill="16283F"/>
          </w:tcPr>
          <w:p>
            <w:pPr>
              <w:jc w:val="center"/>
            </w:pPr>
            <w:r/>
            <w:r>
              <w:rPr>
                <w:rFonts w:ascii="Calibri" w:hAnsi="Calibri"/>
                <w:b/>
                <w:color w:val="FFFFFF"/>
                <w:sz w:val="19"/>
              </w:rPr>
              <w:t>Terme</w:t>
            </w:r>
          </w:p>
        </w:tc>
        <w:tc>
          <w:tcPr>
            <w:tcW w:type="dxa" w:w="7087"/>
            <w:vAlign w:val="center"/>
            <w:shd w:val="clear" w:color="auto" w:fill="16283F"/>
          </w:tcPr>
          <w:p>
            <w:pPr>
              <w:jc w:val="center"/>
            </w:pPr>
            <w:r/>
            <w:r>
              <w:rPr>
                <w:rFonts w:ascii="Calibri" w:hAnsi="Calibri"/>
                <w:b/>
                <w:color w:val="FFFFFF"/>
                <w:sz w:val="19"/>
              </w:rPr>
              <w:t>Définition</w:t>
            </w:r>
          </w:p>
        </w:tc>
      </w:tr>
      <w:tr>
        <w:tc>
          <w:tcPr>
            <w:tcW w:type="dxa" w:w="1984"/>
            <w:vAlign w:val="center"/>
          </w:tcPr>
          <w:p>
            <w:r/>
            <w:r>
              <w:rPr>
                <w:rFonts w:ascii="Calibri" w:hAnsi="Calibri"/>
                <w:b w:val="0"/>
                <w:sz w:val="19"/>
              </w:rPr>
              <w:t>HAL</w:t>
            </w:r>
          </w:p>
        </w:tc>
        <w:tc>
          <w:tcPr>
            <w:tcW w:type="dxa" w:w="7087"/>
            <w:vAlign w:val="center"/>
          </w:tcPr>
          <w:p>
            <w:r/>
            <w:r>
              <w:rPr>
                <w:rFonts w:ascii="Calibri" w:hAnsi="Calibri"/>
                <w:b w:val="0"/>
                <w:sz w:val="19"/>
              </w:rPr>
              <w:t>Hardware Abstraction Layer — couche d'abstraction matérielle</w:t>
            </w:r>
          </w:p>
        </w:tc>
      </w:tr>
      <w:tr>
        <w:tc>
          <w:tcPr>
            <w:tcW w:type="dxa" w:w="1984"/>
            <w:vAlign w:val="center"/>
            <w:shd w:val="clear" w:color="auto" w:fill="F1F5F9"/>
          </w:tcPr>
          <w:p>
            <w:r/>
            <w:r>
              <w:rPr>
                <w:rFonts w:ascii="Calibri" w:hAnsi="Calibri"/>
                <w:b w:val="0"/>
                <w:sz w:val="19"/>
              </w:rPr>
              <w:t>IMU</w:t>
            </w:r>
          </w:p>
        </w:tc>
        <w:tc>
          <w:tcPr>
            <w:tcW w:type="dxa" w:w="7087"/>
            <w:vAlign w:val="center"/>
            <w:shd w:val="clear" w:color="auto" w:fill="F1F5F9"/>
          </w:tcPr>
          <w:p>
            <w:r/>
            <w:r>
              <w:rPr>
                <w:rFonts w:ascii="Calibri" w:hAnsi="Calibri"/>
                <w:b w:val="0"/>
                <w:sz w:val="19"/>
              </w:rPr>
              <w:t>Inertial Measurement Unit — centrale inertielle</w:t>
            </w:r>
          </w:p>
        </w:tc>
      </w:tr>
      <w:tr>
        <w:tc>
          <w:tcPr>
            <w:tcW w:type="dxa" w:w="1984"/>
            <w:vAlign w:val="center"/>
          </w:tcPr>
          <w:p>
            <w:r/>
            <w:r>
              <w:rPr>
                <w:rFonts w:ascii="Calibri" w:hAnsi="Calibri"/>
                <w:b w:val="0"/>
                <w:sz w:val="19"/>
              </w:rPr>
              <w:t>GNSS</w:t>
            </w:r>
          </w:p>
        </w:tc>
        <w:tc>
          <w:tcPr>
            <w:tcW w:type="dxa" w:w="7087"/>
            <w:vAlign w:val="center"/>
          </w:tcPr>
          <w:p>
            <w:r/>
            <w:r>
              <w:rPr>
                <w:rFonts w:ascii="Calibri" w:hAnsi="Calibri"/>
                <w:b w:val="0"/>
                <w:sz w:val="19"/>
              </w:rPr>
              <w:t>Global Navigation Satellite System — positionnement satellitaire</w:t>
            </w:r>
          </w:p>
        </w:tc>
      </w:tr>
      <w:tr>
        <w:tc>
          <w:tcPr>
            <w:tcW w:type="dxa" w:w="1984"/>
            <w:vAlign w:val="center"/>
            <w:shd w:val="clear" w:color="auto" w:fill="F1F5F9"/>
          </w:tcPr>
          <w:p>
            <w:r/>
            <w:r>
              <w:rPr>
                <w:rFonts w:ascii="Calibri" w:hAnsi="Calibri"/>
                <w:b w:val="0"/>
                <w:sz w:val="19"/>
              </w:rPr>
              <w:t>DDS</w:t>
            </w:r>
          </w:p>
        </w:tc>
        <w:tc>
          <w:tcPr>
            <w:tcW w:type="dxa" w:w="7087"/>
            <w:vAlign w:val="center"/>
            <w:shd w:val="clear" w:color="auto" w:fill="F1F5F9"/>
          </w:tcPr>
          <w:p>
            <w:r/>
            <w:r>
              <w:rPr>
                <w:rFonts w:ascii="Calibri" w:hAnsi="Calibri"/>
                <w:b w:val="0"/>
                <w:sz w:val="19"/>
              </w:rPr>
              <w:t>Data Distribution Service — middleware de publication/abonnement</w:t>
            </w:r>
          </w:p>
        </w:tc>
      </w:tr>
      <w:tr>
        <w:tc>
          <w:tcPr>
            <w:tcW w:type="dxa" w:w="1984"/>
            <w:vAlign w:val="center"/>
          </w:tcPr>
          <w:p>
            <w:r/>
            <w:r>
              <w:rPr>
                <w:rFonts w:ascii="Calibri" w:hAnsi="Calibri"/>
                <w:b w:val="0"/>
                <w:sz w:val="19"/>
              </w:rPr>
              <w:t>XRCE</w:t>
            </w:r>
          </w:p>
        </w:tc>
        <w:tc>
          <w:tcPr>
            <w:tcW w:type="dxa" w:w="7087"/>
            <w:vAlign w:val="center"/>
          </w:tcPr>
          <w:p>
            <w:r/>
            <w:r>
              <w:rPr>
                <w:rFonts w:ascii="Calibri" w:hAnsi="Calibri"/>
                <w:b w:val="0"/>
                <w:sz w:val="19"/>
              </w:rPr>
              <w:t>eXtremely Resource Constrained Environments — profil DDS pour MCU</w:t>
            </w:r>
          </w:p>
        </w:tc>
      </w:tr>
      <w:tr>
        <w:tc>
          <w:tcPr>
            <w:tcW w:type="dxa" w:w="1984"/>
            <w:vAlign w:val="center"/>
            <w:shd w:val="clear" w:color="auto" w:fill="F1F5F9"/>
          </w:tcPr>
          <w:p>
            <w:r/>
            <w:r>
              <w:rPr>
                <w:rFonts w:ascii="Calibri" w:hAnsi="Calibri"/>
                <w:b w:val="0"/>
                <w:sz w:val="19"/>
              </w:rPr>
              <w:t>MCU</w:t>
            </w:r>
          </w:p>
        </w:tc>
        <w:tc>
          <w:tcPr>
            <w:tcW w:type="dxa" w:w="7087"/>
            <w:vAlign w:val="center"/>
            <w:shd w:val="clear" w:color="auto" w:fill="F1F5F9"/>
          </w:tcPr>
          <w:p>
            <w:r/>
            <w:r>
              <w:rPr>
                <w:rFonts w:ascii="Calibri" w:hAnsi="Calibri"/>
                <w:b w:val="0"/>
                <w:sz w:val="19"/>
              </w:rPr>
              <w:t>Microcontroller Unit — microcontrôleur</w:t>
            </w:r>
          </w:p>
        </w:tc>
      </w:tr>
      <w:tr>
        <w:tc>
          <w:tcPr>
            <w:tcW w:type="dxa" w:w="1984"/>
            <w:vAlign w:val="center"/>
          </w:tcPr>
          <w:p>
            <w:r/>
            <w:r>
              <w:rPr>
                <w:rFonts w:ascii="Calibri" w:hAnsi="Calibri"/>
                <w:b w:val="0"/>
                <w:sz w:val="19"/>
              </w:rPr>
              <w:t>Extrinsèque</w:t>
            </w:r>
          </w:p>
        </w:tc>
        <w:tc>
          <w:tcPr>
            <w:tcW w:type="dxa" w:w="7087"/>
            <w:vAlign w:val="center"/>
          </w:tcPr>
          <w:p>
            <w:r/>
            <w:r>
              <w:rPr>
                <w:rFonts w:ascii="Calibri" w:hAnsi="Calibri"/>
                <w:b w:val="0"/>
                <w:sz w:val="19"/>
              </w:rPr>
              <w:t>Transformation rigide entre deux repères de capteurs</w:t>
            </w:r>
          </w:p>
        </w:tc>
      </w:tr>
      <w:tr>
        <w:tc>
          <w:tcPr>
            <w:tcW w:type="dxa" w:w="1984"/>
            <w:vAlign w:val="center"/>
            <w:shd w:val="clear" w:color="auto" w:fill="F1F5F9"/>
          </w:tcPr>
          <w:p>
            <w:r/>
            <w:r>
              <w:rPr>
                <w:rFonts w:ascii="Calibri" w:hAnsi="Calibri"/>
                <w:b w:val="0"/>
                <w:sz w:val="19"/>
              </w:rPr>
              <w:t>Horodatage</w:t>
            </w:r>
          </w:p>
        </w:tc>
        <w:tc>
          <w:tcPr>
            <w:tcW w:type="dxa" w:w="7087"/>
            <w:vAlign w:val="center"/>
            <w:shd w:val="clear" w:color="auto" w:fill="F1F5F9"/>
          </w:tcPr>
          <w:p>
            <w:r/>
            <w:r>
              <w:rPr>
                <w:rFonts w:ascii="Calibri" w:hAnsi="Calibri"/>
                <w:b w:val="0"/>
                <w:sz w:val="19"/>
              </w:rPr>
              <w:t>Association d'une mesure à un instant de la base de temps commune</w:t>
            </w:r>
          </w:p>
        </w:tc>
      </w:tr>
      <w:tr>
        <w:tc>
          <w:tcPr>
            <w:tcW w:type="dxa" w:w="1984"/>
            <w:vAlign w:val="center"/>
          </w:tcPr>
          <w:p>
            <w:r/>
            <w:r>
              <w:rPr>
                <w:rFonts w:ascii="Calibri" w:hAnsi="Calibri"/>
                <w:b w:val="0"/>
                <w:sz w:val="19"/>
              </w:rPr>
              <w:t>Jitter</w:t>
            </w:r>
          </w:p>
        </w:tc>
        <w:tc>
          <w:tcPr>
            <w:tcW w:type="dxa" w:w="7087"/>
            <w:vAlign w:val="center"/>
          </w:tcPr>
          <w:p>
            <w:r/>
            <w:r>
              <w:rPr>
                <w:rFonts w:ascii="Calibri" w:hAnsi="Calibri"/>
                <w:b w:val="0"/>
                <w:sz w:val="19"/>
              </w:rPr>
              <w:t>Variation de la latence d'un flux</w:t>
            </w:r>
          </w:p>
        </w:tc>
      </w:tr>
      <w:tr>
        <w:tc>
          <w:tcPr>
            <w:tcW w:type="dxa" w:w="1984"/>
            <w:vAlign w:val="center"/>
            <w:shd w:val="clear" w:color="auto" w:fill="F1F5F9"/>
          </w:tcPr>
          <w:p>
            <w:r/>
            <w:r>
              <w:rPr>
                <w:rFonts w:ascii="Calibri" w:hAnsi="Calibri"/>
                <w:b w:val="0"/>
                <w:sz w:val="19"/>
              </w:rPr>
              <w:t>SI</w:t>
            </w:r>
          </w:p>
        </w:tc>
        <w:tc>
          <w:tcPr>
            <w:tcW w:type="dxa" w:w="7087"/>
            <w:vAlign w:val="center"/>
            <w:shd w:val="clear" w:color="auto" w:fill="F1F5F9"/>
          </w:tcPr>
          <w:p>
            <w:r/>
            <w:r>
              <w:rPr>
                <w:rFonts w:ascii="Calibri" w:hAnsi="Calibri"/>
                <w:b w:val="0"/>
                <w:sz w:val="19"/>
              </w:rPr>
              <w:t>Système international d'unités</w:t>
            </w:r>
          </w:p>
        </w:tc>
      </w:tr>
      <w:tr>
        <w:tc>
          <w:tcPr>
            <w:tcW w:type="dxa" w:w="1984"/>
            <w:vAlign w:val="center"/>
          </w:tcPr>
          <w:p>
            <w:r/>
            <w:r>
              <w:rPr>
                <w:rFonts w:ascii="Calibri" w:hAnsi="Calibri"/>
                <w:b w:val="0"/>
                <w:sz w:val="19"/>
              </w:rPr>
              <w:t>SAE</w:t>
            </w:r>
          </w:p>
        </w:tc>
        <w:tc>
          <w:tcPr>
            <w:tcW w:type="dxa" w:w="7087"/>
            <w:vAlign w:val="center"/>
          </w:tcPr>
          <w:p>
            <w:r/>
            <w:r>
              <w:rPr>
                <w:rFonts w:ascii="Calibri" w:hAnsi="Calibri"/>
                <w:b w:val="0"/>
                <w:sz w:val="19"/>
              </w:rPr>
              <w:t>Sense and Avoid Equipment — équipement de détection et d'évitement</w:t>
            </w:r>
          </w:p>
        </w:tc>
      </w:tr>
      <w:tr>
        <w:tc>
          <w:tcPr>
            <w:tcW w:type="dxa" w:w="1984"/>
            <w:vAlign w:val="center"/>
            <w:shd w:val="clear" w:color="auto" w:fill="F1F5F9"/>
          </w:tcPr>
          <w:p>
            <w:r/>
            <w:r>
              <w:rPr>
                <w:rFonts w:ascii="Calibri" w:hAnsi="Calibri"/>
                <w:b w:val="0"/>
                <w:sz w:val="19"/>
              </w:rPr>
              <w:t>UAV-R</w:t>
            </w:r>
          </w:p>
        </w:tc>
        <w:tc>
          <w:tcPr>
            <w:tcW w:type="dxa" w:w="7087"/>
            <w:vAlign w:val="center"/>
            <w:shd w:val="clear" w:color="auto" w:fill="F1F5F9"/>
          </w:tcPr>
          <w:p>
            <w:r/>
            <w:r>
              <w:rPr>
                <w:rFonts w:ascii="Calibri" w:hAnsi="Calibri"/>
                <w:b w:val="0"/>
                <w:sz w:val="19"/>
              </w:rPr>
              <w:t>Unmanned Aerial Vehicle - Rotorcraft (multirotor)</w:t>
            </w:r>
          </w:p>
        </w:tc>
      </w:tr>
      <w:tr>
        <w:tc>
          <w:tcPr>
            <w:tcW w:type="dxa" w:w="1984"/>
            <w:vAlign w:val="center"/>
          </w:tcPr>
          <w:p>
            <w:r/>
            <w:r>
              <w:rPr>
                <w:rFonts w:ascii="Calibri" w:hAnsi="Calibri"/>
                <w:b w:val="0"/>
                <w:sz w:val="19"/>
              </w:rPr>
              <w:t>UAV-F</w:t>
            </w:r>
          </w:p>
        </w:tc>
        <w:tc>
          <w:tcPr>
            <w:tcW w:type="dxa" w:w="7087"/>
            <w:vAlign w:val="center"/>
          </w:tcPr>
          <w:p>
            <w:r/>
            <w:r>
              <w:rPr>
                <w:rFonts w:ascii="Calibri" w:hAnsi="Calibri"/>
                <w:b w:val="0"/>
                <w:sz w:val="19"/>
              </w:rPr>
              <w:t>Unmanned Aerial Vehicle - Fixed-wing (voilure fixe)</w:t>
            </w:r>
          </w:p>
        </w:tc>
      </w:tr>
      <w:tr>
        <w:tc>
          <w:tcPr>
            <w:tcW w:type="dxa" w:w="1984"/>
            <w:vAlign w:val="center"/>
            <w:shd w:val="clear" w:color="auto" w:fill="F1F5F9"/>
          </w:tcPr>
          <w:p>
            <w:r/>
            <w:r>
              <w:rPr>
                <w:rFonts w:ascii="Calibri" w:hAnsi="Calibri"/>
                <w:b w:val="0"/>
                <w:sz w:val="19"/>
              </w:rPr>
              <w:t>USV</w:t>
            </w:r>
          </w:p>
        </w:tc>
        <w:tc>
          <w:tcPr>
            <w:tcW w:type="dxa" w:w="7087"/>
            <w:vAlign w:val="center"/>
            <w:shd w:val="clear" w:color="auto" w:fill="F1F5F9"/>
          </w:tcPr>
          <w:p>
            <w:r/>
            <w:r>
              <w:rPr>
                <w:rFonts w:ascii="Calibri" w:hAnsi="Calibri"/>
                <w:b w:val="0"/>
                <w:sz w:val="19"/>
              </w:rPr>
              <w:t>Unmanned Surface Vehicle — véhicule de surface sans pilote</w:t>
            </w:r>
          </w:p>
        </w:tc>
      </w:tr>
      <w:tr>
        <w:tc>
          <w:tcPr>
            <w:tcW w:type="dxa" w:w="1984"/>
            <w:vAlign w:val="center"/>
          </w:tcPr>
          <w:p>
            <w:r/>
            <w:r>
              <w:rPr>
                <w:rFonts w:ascii="Calibri" w:hAnsi="Calibri"/>
                <w:b w:val="0"/>
                <w:sz w:val="19"/>
              </w:rPr>
              <w:t>CAP_PERCEIVE</w:t>
            </w:r>
          </w:p>
        </w:tc>
        <w:tc>
          <w:tcPr>
            <w:tcW w:type="dxa" w:w="7087"/>
            <w:vAlign w:val="center"/>
          </w:tcPr>
          <w:p>
            <w:r/>
            <w:r>
              <w:rPr>
                <w:rFonts w:ascii="Calibri" w:hAnsi="Calibri"/>
                <w:b w:val="0"/>
                <w:sz w:val="19"/>
              </w:rPr>
              <w:t>Capacité de perception du modèle de capacités</w:t>
            </w:r>
          </w:p>
        </w:tc>
      </w:tr>
      <w:tr>
        <w:tc>
          <w:tcPr>
            <w:tcW w:type="dxa" w:w="1984"/>
            <w:vAlign w:val="center"/>
            <w:shd w:val="clear" w:color="auto" w:fill="F1F5F9"/>
          </w:tcPr>
          <w:p>
            <w:r/>
            <w:r>
              <w:rPr>
                <w:rFonts w:ascii="Calibri" w:hAnsi="Calibri"/>
                <w:b w:val="0"/>
                <w:sz w:val="19"/>
              </w:rPr>
              <w:t>FN_SENSOR_ACQUISITION</w:t>
            </w:r>
          </w:p>
        </w:tc>
        <w:tc>
          <w:tcPr>
            <w:tcW w:type="dxa" w:w="7087"/>
            <w:vAlign w:val="center"/>
            <w:shd w:val="clear" w:color="auto" w:fill="F1F5F9"/>
          </w:tcPr>
          <w:p>
            <w:r/>
            <w:r>
              <w:rPr>
                <w:rFonts w:ascii="Calibri" w:hAnsi="Calibri"/>
                <w:b w:val="0"/>
                <w:sz w:val="19"/>
              </w:rPr>
              <w:t>Fonction d'acquisition des mesures capteurs</w:t>
            </w:r>
          </w:p>
        </w:tc>
      </w:tr>
    </w:tbl>
    <w:p>
      <w:pPr>
        <w:spacing w:after="40"/>
      </w:pPr>
    </w:p>
    <w:p>
      <w:pPr>
        <w:pStyle w:val="Heading2"/>
      </w:pPr>
      <w:r>
        <w:t>5.2 Références scientifiques complètes</w:t>
      </w:r>
    </w:p>
    <w:tbl>
      <w:tblPr>
        <w:tblStyle w:val="TableGrid"/>
        <w:tblW w:type="auto" w:w="0"/>
        <w:jc w:val="center"/>
        <w:tblLayout w:type="fixed"/>
        <w:tblLook w:firstColumn="1" w:firstRow="1" w:lastColumn="0" w:lastRow="0" w:noHBand="0" w:noVBand="1" w:val="04A0"/>
      </w:tblPr>
      <w:tblGrid>
        <w:gridCol w:w="4706"/>
        <w:gridCol w:w="4706"/>
      </w:tblGrid>
      <w:tr>
        <w:tc>
          <w:tcPr>
            <w:tcW w:type="dxa" w:w="680"/>
            <w:vAlign w:val="center"/>
            <w:shd w:val="clear" w:color="auto" w:fill="16283F"/>
          </w:tcPr>
          <w:p>
            <w:pPr>
              <w:jc w:val="center"/>
            </w:pPr>
            <w:r/>
            <w:r>
              <w:rPr>
                <w:rFonts w:ascii="Calibri" w:hAnsi="Calibri"/>
                <w:b/>
                <w:color w:val="FFFFFF"/>
                <w:sz w:val="19"/>
              </w:rPr>
              <w:t>Réf.</w:t>
            </w:r>
          </w:p>
        </w:tc>
        <w:tc>
          <w:tcPr>
            <w:tcW w:type="dxa" w:w="8391"/>
            <w:vAlign w:val="center"/>
            <w:shd w:val="clear" w:color="auto" w:fill="16283F"/>
          </w:tcPr>
          <w:p>
            <w:pPr>
              <w:jc w:val="center"/>
            </w:pPr>
            <w:r/>
            <w:r>
              <w:rPr>
                <w:rFonts w:ascii="Calibri" w:hAnsi="Calibri"/>
                <w:b/>
                <w:color w:val="FFFFFF"/>
                <w:sz w:val="19"/>
              </w:rPr>
              <w:t>Citation complète</w:t>
            </w:r>
          </w:p>
        </w:tc>
      </w:tr>
      <w:tr>
        <w:tc>
          <w:tcPr>
            <w:tcW w:type="dxa" w:w="680"/>
            <w:vAlign w:val="center"/>
          </w:tcPr>
          <w:p>
            <w:r/>
            <w:r>
              <w:rPr>
                <w:rFonts w:ascii="Calibri" w:hAnsi="Calibri"/>
                <w:b w:val="0"/>
                <w:sz w:val="19"/>
              </w:rPr>
              <w:t>S1</w:t>
            </w:r>
          </w:p>
        </w:tc>
        <w:tc>
          <w:tcPr>
            <w:tcW w:type="dxa" w:w="8391"/>
            <w:vAlign w:val="center"/>
          </w:tcPr>
          <w:p>
            <w:r/>
            <w:r>
              <w:rPr>
                <w:rFonts w:ascii="Calibri" w:hAnsi="Calibri"/>
                <w:b w:val="0"/>
                <w:sz w:val="19"/>
              </w:rPr>
              <w:t>Toumieh, C., Mistry, N., Jarvis, B., Jeger, S. et al. (2026). SwarmNxt: Open-source Software-Hardware Platform for Fast and Agile Aerial Swarms. arXiv:2609.11382</w:t>
            </w:r>
          </w:p>
        </w:tc>
      </w:tr>
      <w:tr>
        <w:tc>
          <w:tcPr>
            <w:tcW w:type="dxa" w:w="680"/>
            <w:vAlign w:val="center"/>
            <w:shd w:val="clear" w:color="auto" w:fill="F1F5F9"/>
          </w:tcPr>
          <w:p>
            <w:r/>
            <w:r>
              <w:rPr>
                <w:rFonts w:ascii="Calibri" w:hAnsi="Calibri"/>
                <w:b w:val="0"/>
                <w:sz w:val="19"/>
              </w:rPr>
              <w:t>S2</w:t>
            </w:r>
          </w:p>
        </w:tc>
        <w:tc>
          <w:tcPr>
            <w:tcW w:type="dxa" w:w="8391"/>
            <w:vAlign w:val="center"/>
            <w:shd w:val="clear" w:color="auto" w:fill="F1F5F9"/>
          </w:tcPr>
          <w:p>
            <w:r/>
            <w:r>
              <w:rPr>
                <w:rFonts w:ascii="Calibri" w:hAnsi="Calibri"/>
                <w:b w:val="0"/>
                <w:sz w:val="19"/>
              </w:rPr>
              <w:t>de Oliveira, L. K., Tommaselli, F. A. G., Marsicano, J. A., Tayar, M. S. et al. (2026). MIRA: A Modular Open-Source Micro-UAV for Indoor Research. arXiv:2607.11785</w:t>
            </w:r>
          </w:p>
        </w:tc>
      </w:tr>
      <w:tr>
        <w:tc>
          <w:tcPr>
            <w:tcW w:type="dxa" w:w="680"/>
            <w:vAlign w:val="center"/>
          </w:tcPr>
          <w:p>
            <w:r/>
            <w:r>
              <w:rPr>
                <w:rFonts w:ascii="Calibri" w:hAnsi="Calibri"/>
                <w:b w:val="0"/>
                <w:sz w:val="19"/>
              </w:rPr>
              <w:t>S3</w:t>
            </w:r>
          </w:p>
        </w:tc>
        <w:tc>
          <w:tcPr>
            <w:tcW w:type="dxa" w:w="8391"/>
            <w:vAlign w:val="center"/>
          </w:tcPr>
          <w:p>
            <w:r/>
            <w:r>
              <w:rPr>
                <w:rFonts w:ascii="Calibri" w:hAnsi="Calibri"/>
                <w:b w:val="0"/>
                <w:sz w:val="19"/>
              </w:rPr>
              <w:t>Kaur, M., Loi, K., Okafor, I., Ng, D. (2026). Perception-Aware Communication Middleware for Distributed Visual Perception in UAV Swarms. arXiv:2609.24964</w:t>
            </w:r>
          </w:p>
        </w:tc>
      </w:tr>
      <w:tr>
        <w:tc>
          <w:tcPr>
            <w:tcW w:type="dxa" w:w="680"/>
            <w:vAlign w:val="center"/>
            <w:shd w:val="clear" w:color="auto" w:fill="F1F5F9"/>
          </w:tcPr>
          <w:p>
            <w:r/>
            <w:r>
              <w:rPr>
                <w:rFonts w:ascii="Calibri" w:hAnsi="Calibri"/>
                <w:b w:val="0"/>
                <w:sz w:val="19"/>
              </w:rPr>
              <w:t>S4</w:t>
            </w:r>
          </w:p>
        </w:tc>
        <w:tc>
          <w:tcPr>
            <w:tcW w:type="dxa" w:w="8391"/>
            <w:vAlign w:val="center"/>
            <w:shd w:val="clear" w:color="auto" w:fill="F1F5F9"/>
          </w:tcPr>
          <w:p>
            <w:r/>
            <w:r>
              <w:rPr>
                <w:rFonts w:ascii="Calibri" w:hAnsi="Calibri"/>
                <w:b w:val="0"/>
                <w:sz w:val="19"/>
              </w:rPr>
              <w:t>Liu, L., Wu, X. (2026). Fleets Need a Context Plane: Rethinking Cooperative Perception for Autonomous Drones. arXiv:2609.00659</w:t>
            </w:r>
          </w:p>
        </w:tc>
      </w:tr>
      <w:tr>
        <w:tc>
          <w:tcPr>
            <w:tcW w:type="dxa" w:w="680"/>
            <w:vAlign w:val="center"/>
          </w:tcPr>
          <w:p>
            <w:r/>
            <w:r>
              <w:rPr>
                <w:rFonts w:ascii="Calibri" w:hAnsi="Calibri"/>
                <w:b w:val="0"/>
                <w:sz w:val="19"/>
              </w:rPr>
              <w:t>S5</w:t>
            </w:r>
          </w:p>
        </w:tc>
        <w:tc>
          <w:tcPr>
            <w:tcW w:type="dxa" w:w="8391"/>
            <w:vAlign w:val="center"/>
          </w:tcPr>
          <w:p>
            <w:r/>
            <w:r>
              <w:rPr>
                <w:rFonts w:ascii="Calibri" w:hAnsi="Calibri"/>
                <w:b w:val="0"/>
                <w:sz w:val="19"/>
              </w:rPr>
              <w:t>Casini, D., Chen, J.-J., Li, J., Reghenzani, F. (2025). A Survey of Real-Time Support, Analysis, and Advancements in ROS 2. arXiv:2601.10722</w:t>
            </w:r>
          </w:p>
        </w:tc>
      </w:tr>
      <w:tr>
        <w:tc>
          <w:tcPr>
            <w:tcW w:type="dxa" w:w="680"/>
            <w:vAlign w:val="center"/>
            <w:shd w:val="clear" w:color="auto" w:fill="F1F5F9"/>
          </w:tcPr>
          <w:p>
            <w:r/>
            <w:r>
              <w:rPr>
                <w:rFonts w:ascii="Calibri" w:hAnsi="Calibri"/>
                <w:b w:val="0"/>
                <w:sz w:val="19"/>
              </w:rPr>
              <w:t>S6</w:t>
            </w:r>
          </w:p>
        </w:tc>
        <w:tc>
          <w:tcPr>
            <w:tcW w:type="dxa" w:w="8391"/>
            <w:vAlign w:val="center"/>
            <w:shd w:val="clear" w:color="auto" w:fill="F1F5F9"/>
          </w:tcPr>
          <w:p>
            <w:r/>
            <w:r>
              <w:rPr>
                <w:rFonts w:ascii="Calibri" w:hAnsi="Calibri"/>
                <w:b w:val="0"/>
                <w:sz w:val="19"/>
              </w:rPr>
              <w:t>Staschulat, J., Lange, R., Dasari, D. N. (2021). Budget-based real-time Executor for Micro-ROS. arXiv:2105.05590</w:t>
            </w:r>
          </w:p>
        </w:tc>
      </w:tr>
      <w:tr>
        <w:tc>
          <w:tcPr>
            <w:tcW w:type="dxa" w:w="680"/>
            <w:vAlign w:val="center"/>
          </w:tcPr>
          <w:p>
            <w:r/>
            <w:r>
              <w:rPr>
                <w:rFonts w:ascii="Calibri" w:hAnsi="Calibri"/>
                <w:b w:val="0"/>
                <w:sz w:val="19"/>
              </w:rPr>
              <w:t>S7</w:t>
            </w:r>
          </w:p>
        </w:tc>
        <w:tc>
          <w:tcPr>
            <w:tcW w:type="dxa" w:w="8391"/>
            <w:vAlign w:val="center"/>
          </w:tcPr>
          <w:p>
            <w:r/>
            <w:r>
              <w:rPr>
                <w:rFonts w:ascii="Calibri" w:hAnsi="Calibri"/>
                <w:b w:val="0"/>
                <w:sz w:val="19"/>
              </w:rPr>
              <w:t>Weerakkodi Mudalige, N. D., Zhura, I., Babataev, I., Nazarova, E. et al. (2022). HyperDog: An Open-Source Quadruped Robot Platform Based on ROS2 and micro-ROS. arXiv:2209.09171</w:t>
            </w:r>
          </w:p>
        </w:tc>
      </w:tr>
      <w:tr>
        <w:tc>
          <w:tcPr>
            <w:tcW w:type="dxa" w:w="680"/>
            <w:vAlign w:val="center"/>
            <w:shd w:val="clear" w:color="auto" w:fill="F1F5F9"/>
          </w:tcPr>
          <w:p>
            <w:r/>
            <w:r>
              <w:rPr>
                <w:rFonts w:ascii="Calibri" w:hAnsi="Calibri"/>
                <w:b w:val="0"/>
                <w:sz w:val="19"/>
              </w:rPr>
              <w:t>S8</w:t>
            </w:r>
          </w:p>
        </w:tc>
        <w:tc>
          <w:tcPr>
            <w:tcW w:type="dxa" w:w="8391"/>
            <w:vAlign w:val="center"/>
            <w:shd w:val="clear" w:color="auto" w:fill="F1F5F9"/>
          </w:tcPr>
          <w:p>
            <w:r/>
            <w:r>
              <w:rPr>
                <w:rFonts w:ascii="Calibri" w:hAnsi="Calibri"/>
                <w:b w:val="0"/>
                <w:sz w:val="19"/>
              </w:rPr>
              <w:t>Jellum, E. R., Bryne, T. H., Johansen, T. A., Orlandíc, M. (2022). The Syncline Model — Analyzing the Impact of Time Synchronization in Sensor Fusion. arXiv:2209.01136</w:t>
            </w:r>
          </w:p>
        </w:tc>
      </w:tr>
      <w:tr>
        <w:tc>
          <w:tcPr>
            <w:tcW w:type="dxa" w:w="680"/>
            <w:vAlign w:val="center"/>
          </w:tcPr>
          <w:p>
            <w:r/>
            <w:r>
              <w:rPr>
                <w:rFonts w:ascii="Calibri" w:hAnsi="Calibri"/>
                <w:b w:val="0"/>
                <w:sz w:val="19"/>
              </w:rPr>
              <w:t>S9</w:t>
            </w:r>
          </w:p>
        </w:tc>
        <w:tc>
          <w:tcPr>
            <w:tcW w:type="dxa" w:w="8391"/>
            <w:vAlign w:val="center"/>
          </w:tcPr>
          <w:p>
            <w:r/>
            <w:r>
              <w:rPr>
                <w:rFonts w:ascii="Calibri" w:hAnsi="Calibri"/>
                <w:b w:val="0"/>
                <w:sz w:val="19"/>
              </w:rPr>
              <w:t>Kim, C., Bae, G., Shin, W., Wang, S. et al. (2025). EKF-Based Radar-Inertial Odometry with Online Temporal Calibration. arXiv:2502.00661</w:t>
            </w:r>
          </w:p>
        </w:tc>
      </w:tr>
      <w:tr>
        <w:tc>
          <w:tcPr>
            <w:tcW w:type="dxa" w:w="680"/>
            <w:vAlign w:val="center"/>
            <w:shd w:val="clear" w:color="auto" w:fill="F1F5F9"/>
          </w:tcPr>
          <w:p>
            <w:r/>
            <w:r>
              <w:rPr>
                <w:rFonts w:ascii="Calibri" w:hAnsi="Calibri"/>
                <w:b w:val="0"/>
                <w:sz w:val="19"/>
              </w:rPr>
              <w:t>S10</w:t>
            </w:r>
          </w:p>
        </w:tc>
        <w:tc>
          <w:tcPr>
            <w:tcW w:type="dxa" w:w="8391"/>
            <w:vAlign w:val="center"/>
            <w:shd w:val="clear" w:color="auto" w:fill="F1F5F9"/>
          </w:tcPr>
          <w:p>
            <w:r/>
            <w:r>
              <w:rPr>
                <w:rFonts w:ascii="Calibri" w:hAnsi="Calibri"/>
                <w:b w:val="0"/>
                <w:sz w:val="19"/>
              </w:rPr>
              <w:t>Štironja, V.-J., Petrović, L., Peršić, J., Marković, I. et al. (2025). Impact of Temporal Delay on Radar-Inertial Odometry. arXiv:2503.02509</w:t>
            </w:r>
          </w:p>
        </w:tc>
      </w:tr>
      <w:tr>
        <w:tc>
          <w:tcPr>
            <w:tcW w:type="dxa" w:w="680"/>
            <w:vAlign w:val="center"/>
          </w:tcPr>
          <w:p>
            <w:r/>
            <w:r>
              <w:rPr>
                <w:rFonts w:ascii="Calibri" w:hAnsi="Calibri"/>
                <w:b w:val="0"/>
                <w:sz w:val="19"/>
              </w:rPr>
              <w:t>S11</w:t>
            </w:r>
          </w:p>
        </w:tc>
        <w:tc>
          <w:tcPr>
            <w:tcW w:type="dxa" w:w="8391"/>
            <w:vAlign w:val="center"/>
          </w:tcPr>
          <w:p>
            <w:r/>
            <w:r>
              <w:rPr>
                <w:rFonts w:ascii="Calibri" w:hAnsi="Calibri"/>
                <w:b w:val="0"/>
                <w:sz w:val="19"/>
              </w:rPr>
              <w:t>Tang, H., Zhang, T., Wang, L., Ding, X. et al. (2025). i2Nav-Robot: A Large-Scale Indoor-Outdoor Robot Dataset for Multi-Sensor Fusion Navigation. arXiv:2508.11485</w:t>
            </w:r>
          </w:p>
        </w:tc>
      </w:tr>
      <w:tr>
        <w:tc>
          <w:tcPr>
            <w:tcW w:type="dxa" w:w="680"/>
            <w:vAlign w:val="center"/>
            <w:shd w:val="clear" w:color="auto" w:fill="F1F5F9"/>
          </w:tcPr>
          <w:p>
            <w:r/>
            <w:r>
              <w:rPr>
                <w:rFonts w:ascii="Calibri" w:hAnsi="Calibri"/>
                <w:b w:val="0"/>
                <w:sz w:val="19"/>
              </w:rPr>
              <w:t>S12</w:t>
            </w:r>
          </w:p>
        </w:tc>
        <w:tc>
          <w:tcPr>
            <w:tcW w:type="dxa" w:w="8391"/>
            <w:vAlign w:val="center"/>
            <w:shd w:val="clear" w:color="auto" w:fill="F1F5F9"/>
          </w:tcPr>
          <w:p>
            <w:r/>
            <w:r>
              <w:rPr>
                <w:rFonts w:ascii="Calibri" w:hAnsi="Calibri"/>
                <w:b w:val="0"/>
                <w:sz w:val="19"/>
              </w:rPr>
              <w:t>Asl Sabbaghian Hokmabadi, I., Bisheban, M. (2026). Ground Plane-Aided Extrinsic Calibration of Inertial and RGB-D Sensors for Uncrewed Aerial Vehicles. arXiv:2606.31019</w:t>
            </w:r>
          </w:p>
        </w:tc>
      </w:tr>
      <w:tr>
        <w:tc>
          <w:tcPr>
            <w:tcW w:type="dxa" w:w="680"/>
            <w:vAlign w:val="center"/>
          </w:tcPr>
          <w:p>
            <w:r/>
            <w:r>
              <w:rPr>
                <w:rFonts w:ascii="Calibri" w:hAnsi="Calibri"/>
                <w:b w:val="0"/>
                <w:sz w:val="19"/>
              </w:rPr>
              <w:t>S13</w:t>
            </w:r>
          </w:p>
        </w:tc>
        <w:tc>
          <w:tcPr>
            <w:tcW w:type="dxa" w:w="8391"/>
            <w:vAlign w:val="center"/>
          </w:tcPr>
          <w:p>
            <w:r/>
            <w:r>
              <w:rPr>
                <w:rFonts w:ascii="Calibri" w:hAnsi="Calibri"/>
                <w:b w:val="0"/>
                <w:sz w:val="19"/>
              </w:rPr>
              <w:t>Huang, R., Cai, Z., Tang, S., Wei, P. et al. (2026). MARS-Dragonfly: Agile and Robust Flight Control of Modular Aerial Robot Systems. arXiv:2604.05499</w:t>
            </w:r>
          </w:p>
        </w:tc>
      </w:tr>
      <w:tr>
        <w:tc>
          <w:tcPr>
            <w:tcW w:type="dxa" w:w="680"/>
            <w:vAlign w:val="center"/>
            <w:shd w:val="clear" w:color="auto" w:fill="F1F5F9"/>
          </w:tcPr>
          <w:p>
            <w:r/>
            <w:r>
              <w:rPr>
                <w:rFonts w:ascii="Calibri" w:hAnsi="Calibri"/>
                <w:b w:val="0"/>
                <w:sz w:val="19"/>
              </w:rPr>
              <w:t>S14</w:t>
            </w:r>
          </w:p>
        </w:tc>
        <w:tc>
          <w:tcPr>
            <w:tcW w:type="dxa" w:w="8391"/>
            <w:vAlign w:val="center"/>
            <w:shd w:val="clear" w:color="auto" w:fill="F1F5F9"/>
          </w:tcPr>
          <w:p>
            <w:r/>
            <w:r>
              <w:rPr>
                <w:rFonts w:ascii="Calibri" w:hAnsi="Calibri"/>
                <w:b w:val="0"/>
                <w:sz w:val="19"/>
              </w:rPr>
              <w:t>Lu, D., Zhang, B., Li, X., Liao, Y. et al. (2026). RT-SHCUA: Real-Time Self-Hosted Computer-Use Agent for UAV Control. arXiv:2607.17951</w:t>
            </w:r>
          </w:p>
        </w:tc>
      </w:tr>
    </w:tbl>
    <w:p>
      <w:pPr>
        <w:spacing w:after="40"/>
      </w:pPr>
    </w:p>
    <w:p>
      <w:pPr>
        <w:pStyle w:val="Heading2"/>
      </w:pPr>
      <w:r>
        <w:t>5.3 Traçabilité vers le modèle LikeC4</w:t>
      </w:r>
    </w:p>
    <w:p>
      <w:pPr/>
      <w:r>
        <w:rPr>
          <w:b w:val="0"/>
          <w:i w:val="0"/>
        </w:rPr>
        <w:t>Cette spécification est reliée au modèle d'architecture LikeC4 par l'identifiant COMP_SENSORS_HAL, l'élément `onboard.sensorsHAL` (composant, conteneur `onboard`), la fonction `fnSensorAcquisition` (FN_SENSOR_ACQUISITION, capacité CAP_PERCEIVE), l'angle mort `blindspotAM11` (ontologie commune non spécifiée) et les implémentations `MicroXRCEDDS` / `MAVLinkMAVSDK`.</w:t>
      </w:r>
    </w:p>
    <w:p>
      <w:pPr>
        <w:spacing w:after="80"/>
      </w:pPr>
      <w:r>
        <w:rPr>
          <w:b w:val="0"/>
          <w:i w:val="0"/>
        </w:rPr>
        <w:t>Éléments et relations de rattachement :</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494"/>
            <w:vAlign w:val="center"/>
            <w:shd w:val="clear" w:color="auto" w:fill="16283F"/>
          </w:tcPr>
          <w:p>
            <w:pPr>
              <w:jc w:val="center"/>
            </w:pPr>
            <w:r/>
            <w:r>
              <w:rPr>
                <w:rFonts w:ascii="Calibri" w:hAnsi="Calibri"/>
                <w:b/>
                <w:color w:val="FFFFFF"/>
                <w:sz w:val="19"/>
              </w:rPr>
              <w:t>Élément LikeC4</w:t>
            </w:r>
          </w:p>
        </w:tc>
        <w:tc>
          <w:tcPr>
            <w:tcW w:type="dxa" w:w="1474"/>
            <w:vAlign w:val="center"/>
            <w:shd w:val="clear" w:color="auto" w:fill="16283F"/>
          </w:tcPr>
          <w:p>
            <w:pPr>
              <w:jc w:val="center"/>
            </w:pPr>
            <w:r/>
            <w:r>
              <w:rPr>
                <w:rFonts w:ascii="Calibri" w:hAnsi="Calibri"/>
                <w:b/>
                <w:color w:val="FFFFFF"/>
                <w:sz w:val="19"/>
              </w:rPr>
              <w:t>Type</w:t>
            </w:r>
          </w:p>
        </w:tc>
        <w:tc>
          <w:tcPr>
            <w:tcW w:type="dxa" w:w="5102"/>
            <w:vAlign w:val="center"/>
            <w:shd w:val="clear" w:color="auto" w:fill="16283F"/>
          </w:tcPr>
          <w:p>
            <w:pPr>
              <w:jc w:val="center"/>
            </w:pPr>
            <w:r/>
            <w:r>
              <w:rPr>
                <w:rFonts w:ascii="Calibri" w:hAnsi="Calibri"/>
                <w:b/>
                <w:color w:val="FFFFFF"/>
                <w:sz w:val="19"/>
              </w:rPr>
              <w:t>Rôle dans la spécification</w:t>
            </w:r>
          </w:p>
        </w:tc>
      </w:tr>
      <w:tr>
        <w:tc>
          <w:tcPr>
            <w:tcW w:type="dxa" w:w="2494"/>
            <w:vAlign w:val="center"/>
          </w:tcPr>
          <w:p>
            <w:r/>
            <w:r>
              <w:rPr>
                <w:rFonts w:ascii="Calibri" w:hAnsi="Calibri"/>
                <w:b w:val="0"/>
                <w:sz w:val="19"/>
              </w:rPr>
              <w:t>onboard.sensorsHAL</w:t>
            </w:r>
          </w:p>
        </w:tc>
        <w:tc>
          <w:tcPr>
            <w:tcW w:type="dxa" w:w="1474"/>
            <w:vAlign w:val="center"/>
          </w:tcPr>
          <w:p>
            <w:r/>
            <w:r>
              <w:rPr>
                <w:rFonts w:ascii="Calibri" w:hAnsi="Calibri"/>
                <w:b w:val="0"/>
                <w:sz w:val="19"/>
              </w:rPr>
              <w:t>component</w:t>
            </w:r>
          </w:p>
        </w:tc>
        <w:tc>
          <w:tcPr>
            <w:tcW w:type="dxa" w:w="5102"/>
            <w:vAlign w:val="center"/>
          </w:tcPr>
          <w:p>
            <w:r/>
            <w:r>
              <w:rPr>
                <w:rFonts w:ascii="Calibri" w:hAnsi="Calibri"/>
                <w:b w:val="0"/>
                <w:sz w:val="19"/>
              </w:rPr>
              <w:t>Sujet de la spécification</w:t>
            </w:r>
          </w:p>
        </w:tc>
      </w:tr>
      <w:tr>
        <w:tc>
          <w:tcPr>
            <w:tcW w:type="dxa" w:w="2494"/>
            <w:vAlign w:val="center"/>
            <w:shd w:val="clear" w:color="auto" w:fill="F1F5F9"/>
          </w:tcPr>
          <w:p>
            <w:r/>
            <w:r>
              <w:rPr>
                <w:rFonts w:ascii="Calibri" w:hAnsi="Calibri"/>
                <w:b w:val="0"/>
                <w:sz w:val="19"/>
              </w:rPr>
              <w:t>onboard</w:t>
            </w:r>
          </w:p>
        </w:tc>
        <w:tc>
          <w:tcPr>
            <w:tcW w:type="dxa" w:w="1474"/>
            <w:vAlign w:val="center"/>
            <w:shd w:val="clear" w:color="auto" w:fill="F1F5F9"/>
          </w:tcPr>
          <w:p>
            <w:r/>
            <w:r>
              <w:rPr>
                <w:rFonts w:ascii="Calibri" w:hAnsi="Calibri"/>
                <w:b w:val="0"/>
                <w:sz w:val="19"/>
              </w:rPr>
              <w:t>container</w:t>
            </w:r>
          </w:p>
        </w:tc>
        <w:tc>
          <w:tcPr>
            <w:tcW w:type="dxa" w:w="5102"/>
            <w:vAlign w:val="center"/>
            <w:shd w:val="clear" w:color="auto" w:fill="F1F5F9"/>
          </w:tcPr>
          <w:p>
            <w:r/>
            <w:r>
              <w:rPr>
                <w:rFonts w:ascii="Calibri" w:hAnsi="Calibri"/>
                <w:b w:val="0"/>
                <w:sz w:val="19"/>
              </w:rPr>
              <w:t>Conteneur parent (30 instances)</w:t>
            </w:r>
          </w:p>
        </w:tc>
      </w:tr>
      <w:tr>
        <w:tc>
          <w:tcPr>
            <w:tcW w:type="dxa" w:w="2494"/>
            <w:vAlign w:val="center"/>
          </w:tcPr>
          <w:p>
            <w:r/>
            <w:r>
              <w:rPr>
                <w:rFonts w:ascii="Calibri" w:hAnsi="Calibri"/>
                <w:b w:val="0"/>
                <w:sz w:val="19"/>
              </w:rPr>
              <w:t>companion</w:t>
            </w:r>
          </w:p>
        </w:tc>
        <w:tc>
          <w:tcPr>
            <w:tcW w:type="dxa" w:w="1474"/>
            <w:vAlign w:val="center"/>
          </w:tcPr>
          <w:p>
            <w:r/>
            <w:r>
              <w:rPr>
                <w:rFonts w:ascii="Calibri" w:hAnsi="Calibri"/>
                <w:b w:val="0"/>
                <w:sz w:val="19"/>
              </w:rPr>
              <w:t>component</w:t>
            </w:r>
          </w:p>
        </w:tc>
        <w:tc>
          <w:tcPr>
            <w:tcW w:type="dxa" w:w="5102"/>
            <w:vAlign w:val="center"/>
          </w:tcPr>
          <w:p>
            <w:r/>
            <w:r>
              <w:rPr>
                <w:rFonts w:ascii="Calibri" w:hAnsi="Calibri"/>
                <w:b w:val="0"/>
                <w:sz w:val="19"/>
              </w:rPr>
              <w:t>Cible de runsOn — support d'exécution</w:t>
            </w:r>
          </w:p>
        </w:tc>
      </w:tr>
      <w:tr>
        <w:tc>
          <w:tcPr>
            <w:tcW w:type="dxa" w:w="2494"/>
            <w:vAlign w:val="center"/>
            <w:shd w:val="clear" w:color="auto" w:fill="F1F5F9"/>
          </w:tcPr>
          <w:p>
            <w:r/>
            <w:r>
              <w:rPr>
                <w:rFonts w:ascii="Calibri" w:hAnsi="Calibri"/>
                <w:b w:val="0"/>
                <w:sz w:val="19"/>
              </w:rPr>
              <w:t>fnSensorAcquisition</w:t>
            </w:r>
          </w:p>
        </w:tc>
        <w:tc>
          <w:tcPr>
            <w:tcW w:type="dxa" w:w="1474"/>
            <w:vAlign w:val="center"/>
            <w:shd w:val="clear" w:color="auto" w:fill="F1F5F9"/>
          </w:tcPr>
          <w:p>
            <w:r/>
            <w:r>
              <w:rPr>
                <w:rFonts w:ascii="Calibri" w:hAnsi="Calibri"/>
                <w:b w:val="0"/>
                <w:sz w:val="19"/>
              </w:rPr>
              <w:t>function</w:t>
            </w:r>
          </w:p>
        </w:tc>
        <w:tc>
          <w:tcPr>
            <w:tcW w:type="dxa" w:w="5102"/>
            <w:vAlign w:val="center"/>
            <w:shd w:val="clear" w:color="auto" w:fill="F1F5F9"/>
          </w:tcPr>
          <w:p>
            <w:r/>
            <w:r>
              <w:rPr>
                <w:rFonts w:ascii="Calibri" w:hAnsi="Calibri"/>
                <w:b w:val="0"/>
                <w:sz w:val="19"/>
              </w:rPr>
              <w:t>Fonction réalisée (realizes)</w:t>
            </w:r>
          </w:p>
        </w:tc>
      </w:tr>
      <w:tr>
        <w:tc>
          <w:tcPr>
            <w:tcW w:type="dxa" w:w="2494"/>
            <w:vAlign w:val="center"/>
          </w:tcPr>
          <w:p>
            <w:r/>
            <w:r>
              <w:rPr>
                <w:rFonts w:ascii="Calibri" w:hAnsi="Calibri"/>
                <w:b w:val="0"/>
                <w:sz w:val="19"/>
              </w:rPr>
              <w:t>CAP_PERCEIVE</w:t>
            </w:r>
          </w:p>
        </w:tc>
        <w:tc>
          <w:tcPr>
            <w:tcW w:type="dxa" w:w="1474"/>
            <w:vAlign w:val="center"/>
          </w:tcPr>
          <w:p>
            <w:r/>
            <w:r>
              <w:rPr>
                <w:rFonts w:ascii="Calibri" w:hAnsi="Calibri"/>
                <w:b w:val="0"/>
                <w:sz w:val="19"/>
              </w:rPr>
              <w:t>capacité</w:t>
            </w:r>
          </w:p>
        </w:tc>
        <w:tc>
          <w:tcPr>
            <w:tcW w:type="dxa" w:w="5102"/>
            <w:vAlign w:val="center"/>
          </w:tcPr>
          <w:p>
            <w:r/>
            <w:r>
              <w:rPr>
                <w:rFonts w:ascii="Calibri" w:hAnsi="Calibri"/>
                <w:b w:val="0"/>
                <w:sz w:val="19"/>
              </w:rPr>
              <w:t>Capacité rattachée</w:t>
            </w:r>
          </w:p>
        </w:tc>
      </w:tr>
      <w:tr>
        <w:tc>
          <w:tcPr>
            <w:tcW w:type="dxa" w:w="2494"/>
            <w:vAlign w:val="center"/>
            <w:shd w:val="clear" w:color="auto" w:fill="F1F5F9"/>
          </w:tcPr>
          <w:p>
            <w:r/>
            <w:r>
              <w:rPr>
                <w:rFonts w:ascii="Calibri" w:hAnsi="Calibri"/>
                <w:b w:val="0"/>
                <w:sz w:val="19"/>
              </w:rPr>
              <w:t>blindspotAM11</w:t>
            </w:r>
          </w:p>
        </w:tc>
        <w:tc>
          <w:tcPr>
            <w:tcW w:type="dxa" w:w="1474"/>
            <w:vAlign w:val="center"/>
            <w:shd w:val="clear" w:color="auto" w:fill="F1F5F9"/>
          </w:tcPr>
          <w:p>
            <w:r/>
            <w:r>
              <w:rPr>
                <w:rFonts w:ascii="Calibri" w:hAnsi="Calibri"/>
                <w:b w:val="0"/>
                <w:sz w:val="19"/>
              </w:rPr>
              <w:t>blindspot</w:t>
            </w:r>
          </w:p>
        </w:tc>
        <w:tc>
          <w:tcPr>
            <w:tcW w:type="dxa" w:w="5102"/>
            <w:vAlign w:val="center"/>
            <w:shd w:val="clear" w:color="auto" w:fill="F1F5F9"/>
          </w:tcPr>
          <w:p>
            <w:r/>
            <w:r>
              <w:rPr>
                <w:rFonts w:ascii="Calibri" w:hAnsi="Calibri"/>
                <w:b w:val="0"/>
                <w:sz w:val="19"/>
              </w:rPr>
              <w:t>Angle mort exposé (exposed-to)</w:t>
            </w:r>
          </w:p>
        </w:tc>
      </w:tr>
      <w:tr>
        <w:tc>
          <w:tcPr>
            <w:tcW w:type="dxa" w:w="2494"/>
            <w:vAlign w:val="center"/>
          </w:tcPr>
          <w:p>
            <w:r/>
            <w:r>
              <w:rPr>
                <w:rFonts w:ascii="Calibri" w:hAnsi="Calibri"/>
                <w:b w:val="0"/>
                <w:sz w:val="19"/>
              </w:rPr>
              <w:t>MicroXRCEDDS</w:t>
            </w:r>
          </w:p>
        </w:tc>
        <w:tc>
          <w:tcPr>
            <w:tcW w:type="dxa" w:w="1474"/>
            <w:vAlign w:val="center"/>
          </w:tcPr>
          <w:p>
            <w:r/>
            <w:r>
              <w:rPr>
                <w:rFonts w:ascii="Calibri" w:hAnsi="Calibri"/>
                <w:b w:val="0"/>
                <w:sz w:val="19"/>
              </w:rPr>
              <w:t>component</w:t>
            </w:r>
          </w:p>
        </w:tc>
        <w:tc>
          <w:tcPr>
            <w:tcW w:type="dxa" w:w="5102"/>
            <w:vAlign w:val="center"/>
          </w:tcPr>
          <w:p>
            <w:r/>
            <w:r>
              <w:rPr>
                <w:rFonts w:ascii="Calibri" w:hAnsi="Calibri"/>
                <w:b w:val="0"/>
                <w:sz w:val="19"/>
              </w:rPr>
              <w:t>Implémentation primaire (implemented-by)</w:t>
            </w:r>
          </w:p>
        </w:tc>
      </w:tr>
      <w:tr>
        <w:tc>
          <w:tcPr>
            <w:tcW w:type="dxa" w:w="2494"/>
            <w:vAlign w:val="center"/>
            <w:shd w:val="clear" w:color="auto" w:fill="F1F5F9"/>
          </w:tcPr>
          <w:p>
            <w:r/>
            <w:r>
              <w:rPr>
                <w:rFonts w:ascii="Calibri" w:hAnsi="Calibri"/>
                <w:b w:val="0"/>
                <w:sz w:val="19"/>
              </w:rPr>
              <w:t>MAVLinkMAVSDK</w:t>
            </w:r>
          </w:p>
        </w:tc>
        <w:tc>
          <w:tcPr>
            <w:tcW w:type="dxa" w:w="1474"/>
            <w:vAlign w:val="center"/>
            <w:shd w:val="clear" w:color="auto" w:fill="F1F5F9"/>
          </w:tcPr>
          <w:p>
            <w:r/>
            <w:r>
              <w:rPr>
                <w:rFonts w:ascii="Calibri" w:hAnsi="Calibri"/>
                <w:b w:val="0"/>
                <w:sz w:val="19"/>
              </w:rPr>
              <w:t>component</w:t>
            </w:r>
          </w:p>
        </w:tc>
        <w:tc>
          <w:tcPr>
            <w:tcW w:type="dxa" w:w="5102"/>
            <w:vAlign w:val="center"/>
            <w:shd w:val="clear" w:color="auto" w:fill="F1F5F9"/>
          </w:tcPr>
          <w:p>
            <w:r/>
            <w:r>
              <w:rPr>
                <w:rFonts w:ascii="Calibri" w:hAnsi="Calibri"/>
                <w:b w:val="0"/>
                <w:sz w:val="19"/>
              </w:rPr>
              <w:t>Implémentation secondaire (implemented-by)</w:t>
            </w:r>
          </w:p>
        </w:tc>
      </w:tr>
      <w:tr>
        <w:tc>
          <w:tcPr>
            <w:tcW w:type="dxa" w:w="2494"/>
            <w:vAlign w:val="center"/>
          </w:tcPr>
          <w:p>
            <w:r/>
            <w:r>
              <w:rPr>
                <w:rFonts w:ascii="Calibri" w:hAnsi="Calibri"/>
                <w:b w:val="0"/>
                <w:sz w:val="19"/>
              </w:rPr>
              <w:t>onboard.perception</w:t>
            </w:r>
          </w:p>
        </w:tc>
        <w:tc>
          <w:tcPr>
            <w:tcW w:type="dxa" w:w="1474"/>
            <w:vAlign w:val="center"/>
          </w:tcPr>
          <w:p>
            <w:r/>
            <w:r>
              <w:rPr>
                <w:rFonts w:ascii="Calibri" w:hAnsi="Calibri"/>
                <w:b w:val="0"/>
                <w:sz w:val="19"/>
              </w:rPr>
              <w:t>component</w:t>
            </w:r>
          </w:p>
        </w:tc>
        <w:tc>
          <w:tcPr>
            <w:tcW w:type="dxa" w:w="5102"/>
            <w:vAlign w:val="center"/>
          </w:tcPr>
          <w:p>
            <w:r/>
            <w:r>
              <w:rPr>
                <w:rFonts w:ascii="Calibri" w:hAnsi="Calibri"/>
                <w:b w:val="0"/>
                <w:sz w:val="19"/>
              </w:rPr>
              <w:t>Consommateur (flow, 10-60 Hz)</w:t>
            </w:r>
          </w:p>
        </w:tc>
      </w:tr>
      <w:tr>
        <w:tc>
          <w:tcPr>
            <w:tcW w:type="dxa" w:w="2494"/>
            <w:vAlign w:val="center"/>
            <w:shd w:val="clear" w:color="auto" w:fill="F1F5F9"/>
          </w:tcPr>
          <w:p>
            <w:r/>
            <w:r>
              <w:rPr>
                <w:rFonts w:ascii="Calibri" w:hAnsi="Calibri"/>
                <w:b w:val="0"/>
                <w:sz w:val="19"/>
              </w:rPr>
              <w:t>onboard.health</w:t>
            </w:r>
          </w:p>
        </w:tc>
        <w:tc>
          <w:tcPr>
            <w:tcW w:type="dxa" w:w="1474"/>
            <w:vAlign w:val="center"/>
            <w:shd w:val="clear" w:color="auto" w:fill="F1F5F9"/>
          </w:tcPr>
          <w:p>
            <w:r/>
            <w:r>
              <w:rPr>
                <w:rFonts w:ascii="Calibri" w:hAnsi="Calibri"/>
                <w:b w:val="0"/>
                <w:sz w:val="19"/>
              </w:rPr>
              <w:t>component</w:t>
            </w:r>
          </w:p>
        </w:tc>
        <w:tc>
          <w:tcPr>
            <w:tcW w:type="dxa" w:w="5102"/>
            <w:vAlign w:val="center"/>
            <w:shd w:val="clear" w:color="auto" w:fill="F1F5F9"/>
          </w:tcPr>
          <w:p>
            <w:r/>
            <w:r>
              <w:rPr>
                <w:rFonts w:ascii="Calibri" w:hAnsi="Calibri"/>
                <w:b w:val="0"/>
                <w:sz w:val="19"/>
              </w:rPr>
              <w:t>Consommateur (flow)</w:t>
            </w:r>
          </w:p>
        </w:tc>
      </w:tr>
      <w:tr>
        <w:tc>
          <w:tcPr>
            <w:tcW w:type="dxa" w:w="2494"/>
            <w:vAlign w:val="center"/>
          </w:tcPr>
          <w:p>
            <w:r/>
            <w:r>
              <w:rPr>
                <w:rFonts w:ascii="Calibri" w:hAnsi="Calibri"/>
                <w:b w:val="0"/>
                <w:sz w:val="19"/>
              </w:rPr>
              <w:t>onboard.autopilot</w:t>
            </w:r>
          </w:p>
        </w:tc>
        <w:tc>
          <w:tcPr>
            <w:tcW w:type="dxa" w:w="1474"/>
            <w:vAlign w:val="center"/>
          </w:tcPr>
          <w:p>
            <w:r/>
            <w:r>
              <w:rPr>
                <w:rFonts w:ascii="Calibri" w:hAnsi="Calibri"/>
                <w:b w:val="0"/>
                <w:sz w:val="19"/>
              </w:rPr>
              <w:t>component</w:t>
            </w:r>
          </w:p>
        </w:tc>
        <w:tc>
          <w:tcPr>
            <w:tcW w:type="dxa" w:w="5102"/>
            <w:vAlign w:val="center"/>
          </w:tcPr>
          <w:p>
            <w:r/>
            <w:r>
              <w:rPr>
                <w:rFonts w:ascii="Calibri" w:hAnsi="Calibri"/>
                <w:b w:val="0"/>
                <w:sz w:val="19"/>
              </w:rPr>
              <w:t>Consommateur (flow)</w:t>
            </w:r>
          </w:p>
        </w:tc>
      </w:tr>
    </w:tbl>
    <w:p>
      <w:pPr>
        <w:spacing w:after="40"/>
      </w:pPr>
    </w:p>
    <w:p>
      <w:pPr/>
      <w:r>
        <w:rPr>
          <w:b w:val="0"/>
          <w:i w:val="0"/>
        </w:rPr>
        <w:t>Toute modification de cette spécification doit être répercutée dans le modèle et vice-versa. Le lien direct vers le PDF final est ajouté dans l'élément LikeC4 correspondant (voir §5.5).</w:t>
      </w:r>
    </w:p>
    <w:p>
      <w:pPr>
        <w:pStyle w:val="Heading2"/>
      </w:pPr>
      <w:r>
        <w:t>5.4 Limites et incertitudes</w:t>
      </w:r>
    </w:p>
    <w:p>
      <w:pPr/>
      <w:r>
        <w:rPr>
          <w:b w:val="0"/>
          <w:i w:val="0"/>
        </w:rPr>
        <w:t>Les garanties décrites sont établies sous les hypothèses du §2. Les limites suivantes sont identifiées :</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794"/>
            <w:vAlign w:val="center"/>
            <w:shd w:val="clear" w:color="auto" w:fill="16283F"/>
          </w:tcPr>
          <w:p>
            <w:pPr>
              <w:jc w:val="center"/>
            </w:pPr>
            <w:r/>
            <w:r>
              <w:rPr>
                <w:rFonts w:ascii="Calibri" w:hAnsi="Calibri"/>
                <w:b/>
                <w:color w:val="FFFFFF"/>
                <w:sz w:val="19"/>
              </w:rPr>
              <w:t>GAP</w:t>
            </w:r>
          </w:p>
        </w:tc>
        <w:tc>
          <w:tcPr>
            <w:tcW w:type="dxa" w:w="3061"/>
            <w:vAlign w:val="center"/>
            <w:shd w:val="clear" w:color="auto" w:fill="16283F"/>
          </w:tcPr>
          <w:p>
            <w:pPr>
              <w:jc w:val="center"/>
            </w:pPr>
            <w:r/>
            <w:r>
              <w:rPr>
                <w:rFonts w:ascii="Calibri" w:hAnsi="Calibri"/>
                <w:b/>
                <w:color w:val="FFFFFF"/>
                <w:sz w:val="19"/>
              </w:rPr>
              <w:t>Description</w:t>
            </w:r>
          </w:p>
        </w:tc>
        <w:tc>
          <w:tcPr>
            <w:tcW w:type="dxa" w:w="2608"/>
            <w:vAlign w:val="center"/>
            <w:shd w:val="clear" w:color="auto" w:fill="16283F"/>
          </w:tcPr>
          <w:p>
            <w:pPr>
              <w:jc w:val="center"/>
            </w:pPr>
            <w:r/>
            <w:r>
              <w:rPr>
                <w:rFonts w:ascii="Calibri" w:hAnsi="Calibri"/>
                <w:b/>
                <w:color w:val="FFFFFF"/>
                <w:sz w:val="19"/>
              </w:rPr>
              <w:t>Impact</w:t>
            </w:r>
          </w:p>
        </w:tc>
        <w:tc>
          <w:tcPr>
            <w:tcW w:type="dxa" w:w="2608"/>
            <w:vAlign w:val="center"/>
            <w:shd w:val="clear" w:color="auto" w:fill="16283F"/>
          </w:tcPr>
          <w:p>
            <w:pPr>
              <w:jc w:val="center"/>
            </w:pPr>
            <w:r/>
            <w:r>
              <w:rPr>
                <w:rFonts w:ascii="Calibri" w:hAnsi="Calibri"/>
                <w:b/>
                <w:color w:val="FFFFFF"/>
                <w:sz w:val="19"/>
              </w:rPr>
              <w:t>Mitigation</w:t>
            </w:r>
          </w:p>
        </w:tc>
      </w:tr>
      <w:tr>
        <w:tc>
          <w:tcPr>
            <w:tcW w:type="dxa" w:w="794"/>
            <w:vAlign w:val="center"/>
          </w:tcPr>
          <w:p>
            <w:r/>
            <w:r>
              <w:rPr>
                <w:rFonts w:ascii="Calibri" w:hAnsi="Calibri"/>
                <w:b w:val="0"/>
                <w:sz w:val="19"/>
              </w:rPr>
              <w:t>GAP-1</w:t>
            </w:r>
          </w:p>
        </w:tc>
        <w:tc>
          <w:tcPr>
            <w:tcW w:type="dxa" w:w="3061"/>
            <w:vAlign w:val="center"/>
          </w:tcPr>
          <w:p>
            <w:r/>
            <w:r>
              <w:rPr>
                <w:rFonts w:ascii="Calibri" w:hAnsi="Calibri"/>
                <w:b w:val="0"/>
                <w:sz w:val="19"/>
              </w:rPr>
              <w:t>Aucune mesure de performance sur la HAL réelle</w:t>
            </w:r>
          </w:p>
        </w:tc>
        <w:tc>
          <w:tcPr>
            <w:tcW w:type="dxa" w:w="2608"/>
            <w:vAlign w:val="center"/>
          </w:tcPr>
          <w:p>
            <w:r/>
            <w:r>
              <w:rPr>
                <w:rFonts w:ascii="Calibri" w:hAnsi="Calibri"/>
                <w:b w:val="0"/>
                <w:sz w:val="19"/>
              </w:rPr>
              <w:t>Les cibles de latence et de gigue ne sont pas établies</w:t>
            </w:r>
          </w:p>
        </w:tc>
        <w:tc>
          <w:tcPr>
            <w:tcW w:type="dxa" w:w="2608"/>
            <w:vAlign w:val="center"/>
          </w:tcPr>
          <w:p>
            <w:r/>
            <w:r>
              <w:rPr>
                <w:rFonts w:ascii="Calibri" w:hAnsi="Calibri"/>
                <w:b w:val="0"/>
                <w:sz w:val="19"/>
              </w:rPr>
              <w:t>Campagne de mesure sur banc (T1-T8)</w:t>
            </w:r>
          </w:p>
        </w:tc>
      </w:tr>
      <w:tr>
        <w:tc>
          <w:tcPr>
            <w:tcW w:type="dxa" w:w="794"/>
            <w:vAlign w:val="center"/>
            <w:shd w:val="clear" w:color="auto" w:fill="F1F5F9"/>
          </w:tcPr>
          <w:p>
            <w:r/>
            <w:r>
              <w:rPr>
                <w:rFonts w:ascii="Calibri" w:hAnsi="Calibri"/>
                <w:b w:val="0"/>
                <w:sz w:val="19"/>
              </w:rPr>
              <w:t>GAP-2</w:t>
            </w:r>
          </w:p>
        </w:tc>
        <w:tc>
          <w:tcPr>
            <w:tcW w:type="dxa" w:w="3061"/>
            <w:vAlign w:val="center"/>
            <w:shd w:val="clear" w:color="auto" w:fill="F1F5F9"/>
          </w:tcPr>
          <w:p>
            <w:r/>
            <w:r>
              <w:rPr>
                <w:rFonts w:ascii="Calibri" w:hAnsi="Calibri"/>
                <w:b w:val="0"/>
                <w:sz w:val="19"/>
              </w:rPr>
              <w:t>Aucune redondance déclarée dans le modèle</w:t>
            </w:r>
          </w:p>
        </w:tc>
        <w:tc>
          <w:tcPr>
            <w:tcW w:type="dxa" w:w="2608"/>
            <w:vAlign w:val="center"/>
            <w:shd w:val="clear" w:color="auto" w:fill="F1F5F9"/>
          </w:tcPr>
          <w:p>
            <w:r/>
            <w:r>
              <w:rPr>
                <w:rFonts w:ascii="Calibri" w:hAnsi="Calibri"/>
                <w:b w:val="0"/>
                <w:sz w:val="19"/>
              </w:rPr>
              <w:t>Point de défaillance unique sur un composant safety-critical</w:t>
            </w:r>
          </w:p>
        </w:tc>
        <w:tc>
          <w:tcPr>
            <w:tcW w:type="dxa" w:w="2608"/>
            <w:vAlign w:val="center"/>
            <w:shd w:val="clear" w:color="auto" w:fill="F1F5F9"/>
          </w:tcPr>
          <w:p>
            <w:r/>
            <w:r>
              <w:rPr>
                <w:rFonts w:ascii="Calibri" w:hAnsi="Calibri"/>
                <w:b w:val="0"/>
                <w:sz w:val="19"/>
              </w:rPr>
              <w:t>Étudier une redondance ou un mode dégradé explicite</w:t>
            </w:r>
          </w:p>
        </w:tc>
      </w:tr>
      <w:tr>
        <w:tc>
          <w:tcPr>
            <w:tcW w:type="dxa" w:w="794"/>
            <w:vAlign w:val="center"/>
          </w:tcPr>
          <w:p>
            <w:r/>
            <w:r>
              <w:rPr>
                <w:rFonts w:ascii="Calibri" w:hAnsi="Calibri"/>
                <w:b w:val="0"/>
                <w:sz w:val="19"/>
              </w:rPr>
              <w:t>GAP-3</w:t>
            </w:r>
          </w:p>
        </w:tc>
        <w:tc>
          <w:tcPr>
            <w:tcW w:type="dxa" w:w="3061"/>
            <w:vAlign w:val="center"/>
          </w:tcPr>
          <w:p>
            <w:r/>
            <w:r>
              <w:rPr>
                <w:rFonts w:ascii="Calibri" w:hAnsi="Calibri"/>
                <w:b w:val="0"/>
                <w:sz w:val="19"/>
              </w:rPr>
              <w:t>Ontologie commune non spécifiée (AM-11)</w:t>
            </w:r>
          </w:p>
        </w:tc>
        <w:tc>
          <w:tcPr>
            <w:tcW w:type="dxa" w:w="2608"/>
            <w:vAlign w:val="center"/>
          </w:tcPr>
          <w:p>
            <w:r/>
            <w:r>
              <w:rPr>
                <w:rFonts w:ascii="Calibri" w:hAnsi="Calibri"/>
                <w:b w:val="0"/>
                <w:sz w:val="19"/>
              </w:rPr>
              <w:t>Erreurs silencieuses de facteur d'échelle ou de repère</w:t>
            </w:r>
          </w:p>
        </w:tc>
        <w:tc>
          <w:tcPr>
            <w:tcW w:type="dxa" w:w="2608"/>
            <w:vAlign w:val="center"/>
          </w:tcPr>
          <w:p>
            <w:r/>
            <w:r>
              <w:rPr>
                <w:rFonts w:ascii="Calibri" w:hAnsi="Calibri"/>
                <w:b w:val="0"/>
                <w:sz w:val="19"/>
              </w:rPr>
              <w:t>Spécifier la table d'unités et les extrinsèques</w:t>
            </w:r>
          </w:p>
        </w:tc>
      </w:tr>
      <w:tr>
        <w:tc>
          <w:tcPr>
            <w:tcW w:type="dxa" w:w="794"/>
            <w:vAlign w:val="center"/>
            <w:shd w:val="clear" w:color="auto" w:fill="F1F5F9"/>
          </w:tcPr>
          <w:p>
            <w:r/>
            <w:r>
              <w:rPr>
                <w:rFonts w:ascii="Calibri" w:hAnsi="Calibri"/>
                <w:b w:val="0"/>
                <w:sz w:val="19"/>
              </w:rPr>
              <w:t>GAP-4</w:t>
            </w:r>
          </w:p>
        </w:tc>
        <w:tc>
          <w:tcPr>
            <w:tcW w:type="dxa" w:w="3061"/>
            <w:vAlign w:val="center"/>
            <w:shd w:val="clear" w:color="auto" w:fill="F1F5F9"/>
          </w:tcPr>
          <w:p>
            <w:r/>
            <w:r>
              <w:rPr>
                <w:rFonts w:ascii="Calibri" w:hAnsi="Calibri"/>
                <w:b w:val="0"/>
                <w:sz w:val="19"/>
              </w:rPr>
              <w:t>Sources récentes majoritairement en préprint</w:t>
            </w:r>
          </w:p>
        </w:tc>
        <w:tc>
          <w:tcPr>
            <w:tcW w:type="dxa" w:w="2608"/>
            <w:vAlign w:val="center"/>
            <w:shd w:val="clear" w:color="auto" w:fill="F1F5F9"/>
          </w:tcPr>
          <w:p>
            <w:r/>
            <w:r>
              <w:rPr>
                <w:rFonts w:ascii="Calibri" w:hAnsi="Calibri"/>
                <w:b w:val="0"/>
                <w:sz w:val="19"/>
              </w:rPr>
              <w:t>Statut non revu par les pairs</w:t>
            </w:r>
          </w:p>
        </w:tc>
        <w:tc>
          <w:tcPr>
            <w:tcW w:type="dxa" w:w="2608"/>
            <w:vAlign w:val="center"/>
            <w:shd w:val="clear" w:color="auto" w:fill="F1F5F9"/>
          </w:tcPr>
          <w:p>
            <w:r/>
            <w:r>
              <w:rPr>
                <w:rFonts w:ascii="Calibri" w:hAnsi="Calibri"/>
                <w:b w:val="0"/>
                <w:sz w:val="19"/>
              </w:rPr>
              <w:t>Re-vérifier avant usage normatif</w:t>
            </w:r>
          </w:p>
        </w:tc>
      </w:tr>
      <w:tr>
        <w:tc>
          <w:tcPr>
            <w:tcW w:type="dxa" w:w="794"/>
            <w:vAlign w:val="center"/>
          </w:tcPr>
          <w:p>
            <w:r/>
            <w:r>
              <w:rPr>
                <w:rFonts w:ascii="Calibri" w:hAnsi="Calibri"/>
                <w:b w:val="0"/>
                <w:sz w:val="19"/>
              </w:rPr>
              <w:t>GAP-5</w:t>
            </w:r>
          </w:p>
        </w:tc>
        <w:tc>
          <w:tcPr>
            <w:tcW w:type="dxa" w:w="3061"/>
            <w:vAlign w:val="center"/>
          </w:tcPr>
          <w:p>
            <w:r/>
            <w:r>
              <w:rPr>
                <w:rFonts w:ascii="Calibri" w:hAnsi="Calibri"/>
                <w:b w:val="0"/>
                <w:sz w:val="19"/>
              </w:rPr>
              <w:t>Corpus local sans article sur les HAL</w:t>
            </w:r>
          </w:p>
        </w:tc>
        <w:tc>
          <w:tcPr>
            <w:tcW w:type="dxa" w:w="2608"/>
            <w:vAlign w:val="center"/>
          </w:tcPr>
          <w:p>
            <w:r/>
            <w:r>
              <w:rPr>
                <w:rFonts w:ascii="Calibri" w:hAnsi="Calibri"/>
                <w:b w:val="0"/>
                <w:sz w:val="19"/>
              </w:rPr>
              <w:t>Pas de référence interne pour l'état de l'art</w:t>
            </w:r>
          </w:p>
        </w:tc>
        <w:tc>
          <w:tcPr>
            <w:tcW w:type="dxa" w:w="2608"/>
            <w:vAlign w:val="center"/>
          </w:tcPr>
          <w:p>
            <w:r/>
            <w:r>
              <w:rPr>
                <w:rFonts w:ascii="Calibri" w:hAnsi="Calibri"/>
                <w:b w:val="0"/>
                <w:sz w:val="19"/>
              </w:rPr>
              <w:t>Compléter le corpus (recherche arXiv directe utilisée ici)</w:t>
            </w:r>
          </w:p>
        </w:tc>
      </w:tr>
      <w:tr>
        <w:tc>
          <w:tcPr>
            <w:tcW w:type="dxa" w:w="794"/>
            <w:vAlign w:val="center"/>
            <w:shd w:val="clear" w:color="auto" w:fill="F1F5F9"/>
          </w:tcPr>
          <w:p>
            <w:r/>
            <w:r>
              <w:rPr>
                <w:rFonts w:ascii="Calibri" w:hAnsi="Calibri"/>
                <w:b w:val="0"/>
                <w:sz w:val="19"/>
              </w:rPr>
              <w:t>GAP-6</w:t>
            </w:r>
          </w:p>
        </w:tc>
        <w:tc>
          <w:tcPr>
            <w:tcW w:type="dxa" w:w="3061"/>
            <w:vAlign w:val="center"/>
            <w:shd w:val="clear" w:color="auto" w:fill="F1F5F9"/>
          </w:tcPr>
          <w:p>
            <w:r/>
            <w:r>
              <w:rPr>
                <w:rFonts w:ascii="Calibri" w:hAnsi="Calibri"/>
                <w:b w:val="0"/>
                <w:sz w:val="19"/>
              </w:rPr>
              <w:t>Incohérence résiduelle de criticité dans le modèle</w:t>
            </w:r>
          </w:p>
        </w:tc>
        <w:tc>
          <w:tcPr>
            <w:tcW w:type="dxa" w:w="2608"/>
            <w:vAlign w:val="center"/>
            <w:shd w:val="clear" w:color="auto" w:fill="F1F5F9"/>
          </w:tcPr>
          <w:p>
            <w:r/>
            <w:r>
              <w:rPr>
                <w:rFonts w:ascii="Calibri" w:hAnsi="Calibri"/>
                <w:b w:val="0"/>
                <w:sz w:val="19"/>
              </w:rPr>
              <w:t>La description et les métadonnées portent encore best-effort</w:t>
            </w:r>
          </w:p>
        </w:tc>
        <w:tc>
          <w:tcPr>
            <w:tcW w:type="dxa" w:w="2608"/>
            <w:vAlign w:val="center"/>
            <w:shd w:val="clear" w:color="auto" w:fill="F1F5F9"/>
          </w:tcPr>
          <w:p>
            <w:r/>
            <w:r>
              <w:rPr>
                <w:rFonts w:ascii="Calibri" w:hAnsi="Calibri"/>
                <w:b w:val="0"/>
                <w:sz w:val="19"/>
              </w:rPr>
              <w:t>Aligner la description et les métadonnées sur #safety-critical</w:t>
            </w:r>
          </w:p>
        </w:tc>
      </w:tr>
      <w:tr>
        <w:tc>
          <w:tcPr>
            <w:tcW w:type="dxa" w:w="794"/>
            <w:vAlign w:val="center"/>
          </w:tcPr>
          <w:p>
            <w:r/>
            <w:r>
              <w:rPr>
                <w:rFonts w:ascii="Calibri" w:hAnsi="Calibri"/>
                <w:b w:val="0"/>
                <w:sz w:val="19"/>
              </w:rPr>
              <w:t>GAP-7</w:t>
            </w:r>
          </w:p>
        </w:tc>
        <w:tc>
          <w:tcPr>
            <w:tcW w:type="dxa" w:w="3061"/>
            <w:vAlign w:val="center"/>
          </w:tcPr>
          <w:p>
            <w:r/>
            <w:r>
              <w:rPr>
                <w:rFonts w:ascii="Calibri" w:hAnsi="Calibri"/>
                <w:b w:val="0"/>
                <w:sz w:val="19"/>
              </w:rPr>
              <w:t>Deux implémentations candidates non départagées</w:t>
            </w:r>
          </w:p>
        </w:tc>
        <w:tc>
          <w:tcPr>
            <w:tcW w:type="dxa" w:w="2608"/>
            <w:vAlign w:val="center"/>
          </w:tcPr>
          <w:p>
            <w:r/>
            <w:r>
              <w:rPr>
                <w:rFonts w:ascii="Calibri" w:hAnsi="Calibri"/>
                <w:b w:val="0"/>
                <w:sz w:val="19"/>
              </w:rPr>
              <w:t>Risque de divergence de contrat</w:t>
            </w:r>
          </w:p>
        </w:tc>
        <w:tc>
          <w:tcPr>
            <w:tcW w:type="dxa" w:w="2608"/>
            <w:vAlign w:val="center"/>
          </w:tcPr>
          <w:p>
            <w:r/>
            <w:r>
              <w:rPr>
                <w:rFonts w:ascii="Calibri" w:hAnsi="Calibri"/>
                <w:b w:val="0"/>
                <w:sz w:val="19"/>
              </w:rPr>
              <w:t>Test de portabilité T7 ; figer le contrat indépendamment du transport</w:t>
            </w:r>
          </w:p>
        </w:tc>
      </w:tr>
    </w:tbl>
    <w:p>
      <w:pPr>
        <w:spacing w:after="40"/>
      </w:pPr>
    </w:p>
    <w:p>
      <w:pPr/>
      <w:r>
        <w:rPr>
          <w:b w:val="0"/>
          <w:i w:val="0"/>
        </w:rPr>
        <w:t>Niveau de confiance global : MEDIUM — CONDITIONNEL. L'architecture et le besoin sont documentés et cohérents ; les performances ne sont pas mesurées, la redondance n'est pas déclarée, et l'ontologie commune reste à spécifier.</w:t>
      </w:r>
    </w:p>
    <w:p>
      <w:pPr>
        <w:pStyle w:val="Heading2"/>
      </w:pPr>
      <w:r>
        <w:t>5.5 Lien vers le document final (LikeC4)</w:t>
      </w:r>
    </w:p>
    <w:p>
      <w:pPr/>
      <w:r>
        <w:rPr>
          <w:b w:val="0"/>
          <w:i w:val="0"/>
        </w:rPr>
        <w:t>Le PDF final de cette spécification est publié et référencé dans le modèle LikeC4, élément `onboard.sensorsHAL` (voir §5.3). Le lien direct est maintenu dans le fichier architecture.c4 du modèle d'architecture.</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7A"/>
        <w:sz w:val="16"/>
      </w:rPr>
      <w:t xml:space="preserve">Page </w:t>
    </w:r>
    <w:r>
      <w:rPr>
        <w:color w:val="5A6B7A"/>
        <w:sz w:val="16"/>
      </w:rPr>
      <w:fldChar w:fldCharType="begin"/>
      <w:instrText xml:space="preserve">PAGE</w:instrText>
      <w:fldChar w:fldCharType="end"/>
    </w:r>
    <w:r>
      <w:rPr>
        <w:color w:val="5A6B7A"/>
        <w:sz w:val="16"/>
      </w:rPr>
      <w:t xml:space="preserve"> / </w:t>
    </w:r>
    <w:r>
      <w:rPr>
        <w:color w:val="5A6B7A"/>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E9FC0"/>
      </w:pBdr>
    </w:pPr>
    <w:r/>
    <w:r>
      <w:rPr>
        <w:rFonts w:ascii="Calibri" w:hAnsi="Calibri"/>
        <w:color w:val="5A6B7A"/>
        <w:sz w:val="16"/>
      </w:rPr>
      <w:t>Spécification COMP_SENSORS_HAL — HAL capteurs — Abstraction matérielle capteurs/actionneurs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cs="Calibri"/>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Light" w:hAnsi="Calibri Light" w:cs="Calibri Light"/>
      <w:b/>
      <w:bCs/>
      <w:i w:val="0"/>
      <w:color w:val="0E1A2B"/>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Light" w:hAnsi="Calibri Light" w:cs="Calibri Light"/>
      <w:b/>
      <w:bCs/>
      <w:i w:val="0"/>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Light" w:hAnsi="Calibri Light" w:cs="Calibri Light"/>
      <w:b/>
      <w:bCs/>
      <w:i w:val="0"/>
      <w:color w:val="0B6E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Calibri Light" w:hAnsi="Calibri Light" w:cs="Calibri Light"/>
      <w:b/>
      <w:i w:val="0"/>
      <w:color w:val="0E1A2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pPr>
    <w:rPr>
      <w:rFonts w:asciiTheme="majorHAnsi" w:eastAsiaTheme="majorEastAsia" w:hAnsiTheme="majorHAnsi" w:cstheme="majorBidi" w:ascii="Calibri Light" w:hAnsi="Calibri Light" w:cs="Calibri Light"/>
      <w:b w:val="0"/>
      <w:i w:val="0"/>
      <w:iCs/>
      <w:color w:val="5A6B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contextualSpacing/>
    </w:pPr>
    <w:rPr>
      <w:rFonts w:ascii="Calibri" w:hAnsi="Calibri" w:cs="Calibri"/>
      <w:b w:val="0"/>
      <w:i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80" w:after="80"/>
      <w:ind w:left="340" w:right="936"/>
    </w:pPr>
    <w:rPr>
      <w:rFonts w:ascii="Consolas" w:hAnsi="Consolas" w:cs="Consolas"/>
      <w:b w:val="0"/>
      <w:bCs/>
      <w:i w:val="0"/>
      <w:iCs/>
      <w:color w:val="0E1A2B"/>
      <w:sz w:val="19"/>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