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SPÉCIFICATION TECHNIQUE</w:t>
      </w:r>
    </w:p>
    <w:p>
      <w:pPr>
        <w:jc w:val="center"/>
      </w:pPr>
      <w:r>
        <w:rPr>
          <w:b/>
          <w:color w:val="1F3A5F"/>
          <w:sz w:val="80"/>
        </w:rPr>
        <w:t>H-Zip v2.2</w:t>
      </w:r>
    </w:p>
    <w:p>
      <w:pPr>
        <w:jc w:val="center"/>
      </w:pPr>
      <w:r>
        <w:rPr>
          <w:i/>
          <w:color w:val="0B6E99"/>
          <w:sz w:val="40"/>
        </w:rPr>
        <w:t>« Dream-Zip »</w:t>
      </w:r>
    </w:p>
    <w:p>
      <w:pPr>
        <w:jc w:val="center"/>
      </w:pPr>
      <w:r>
        <w:rPr>
          <w:color w:val="555555"/>
          <w:sz w:val="26"/>
        </w:rPr>
        <w:t>Protocole de communication event-driven</w:t>
        <w:br/>
        <w:t>pour essaim hétérogène haute densité (200 drones)</w:t>
      </w:r>
    </w:p>
    <w:p/>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AF1F8"/>
          </w:tcPr>
          <w:p>
            <w:r/>
            <w:r>
              <w:rPr>
                <w:b/>
                <w:sz w:val="20"/>
              </w:rPr>
              <w:t>Version</w:t>
            </w:r>
          </w:p>
        </w:tc>
        <w:tc>
          <w:tcPr>
            <w:tcW w:type="dxa" w:w="4320"/>
          </w:tcPr>
          <w:p>
            <w:r/>
            <w:r>
              <w:rPr>
                <w:sz w:val="20"/>
              </w:rPr>
              <w:t>2.2 (figement des paramètres)</w:t>
            </w:r>
          </w:p>
        </w:tc>
      </w:tr>
      <w:tr>
        <w:tc>
          <w:tcPr>
            <w:tcW w:type="dxa" w:w="4320"/>
            <w:shd w:val="clear" w:color="auto" w:fill="EAF1F8"/>
          </w:tcPr>
          <w:p>
            <w:r/>
            <w:r>
              <w:rPr>
                <w:b/>
                <w:sz w:val="20"/>
              </w:rPr>
              <w:t>Date</w:t>
            </w:r>
          </w:p>
        </w:tc>
        <w:tc>
          <w:tcPr>
            <w:tcW w:type="dxa" w:w="4320"/>
          </w:tcPr>
          <w:p>
            <w:r/>
            <w:r>
              <w:rPr>
                <w:sz w:val="20"/>
              </w:rPr>
              <w:t>20 septembre 2026</w:t>
            </w:r>
          </w:p>
        </w:tc>
      </w:tr>
      <w:tr>
        <w:tc>
          <w:tcPr>
            <w:tcW w:type="dxa" w:w="4320"/>
            <w:shd w:val="clear" w:color="auto" w:fill="EAF1F8"/>
          </w:tcPr>
          <w:p>
            <w:r/>
            <w:r>
              <w:rPr>
                <w:b/>
                <w:sz w:val="20"/>
              </w:rPr>
              <w:t>Statut</w:t>
            </w:r>
          </w:p>
        </w:tc>
        <w:tc>
          <w:tcPr>
            <w:tcW w:type="dxa" w:w="4320"/>
          </w:tcPr>
          <w:p>
            <w:r/>
            <w:r>
              <w:rPr>
                <w:sz w:val="20"/>
              </w:rPr>
              <w:t>Proposition de spécification — à valider</w:t>
            </w:r>
          </w:p>
        </w:tc>
      </w:tr>
      <w:tr>
        <w:tc>
          <w:tcPr>
            <w:tcW w:type="dxa" w:w="4320"/>
            <w:shd w:val="clear" w:color="auto" w:fill="EAF1F8"/>
          </w:tcPr>
          <w:p>
            <w:r/>
            <w:r>
              <w:rPr>
                <w:b/>
                <w:sz w:val="20"/>
              </w:rPr>
              <w:t>Classification</w:t>
            </w:r>
          </w:p>
        </w:tc>
        <w:tc>
          <w:tcPr>
            <w:tcW w:type="dxa" w:w="4320"/>
          </w:tcPr>
          <w:p>
            <w:r/>
            <w:r>
              <w:rPr>
                <w:sz w:val="20"/>
              </w:rPr>
              <w:t>Interne — diffusion restreinte</w:t>
            </w:r>
          </w:p>
        </w:tc>
      </w:tr>
      <w:tr>
        <w:tc>
          <w:tcPr>
            <w:tcW w:type="dxa" w:w="4320"/>
            <w:shd w:val="clear" w:color="auto" w:fill="EAF1F8"/>
          </w:tcPr>
          <w:p>
            <w:r/>
            <w:r>
              <w:rPr>
                <w:b/>
                <w:sz w:val="20"/>
              </w:rPr>
              <w:t>Architecture</w:t>
            </w:r>
          </w:p>
        </w:tc>
        <w:tc>
          <w:tcPr>
            <w:tcW w:type="dxa" w:w="4320"/>
          </w:tcPr>
          <w:p>
            <w:r/>
            <w:r>
              <w:rPr>
                <w:sz w:val="20"/>
              </w:rPr>
              <w:t>H-Zip v2.2 (Dream-Zip)</w:t>
            </w:r>
          </w:p>
        </w:tc>
      </w:tr>
      <w:tr>
        <w:tc>
          <w:tcPr>
            <w:tcW w:type="dxa" w:w="4320"/>
            <w:shd w:val="clear" w:color="auto" w:fill="EAF1F8"/>
          </w:tcPr>
          <w:p>
            <w:r/>
            <w:r>
              <w:rPr>
                <w:b/>
                <w:sz w:val="20"/>
              </w:rPr>
              <w:t>Méthodologie</w:t>
            </w:r>
          </w:p>
        </w:tc>
        <w:tc>
          <w:tcPr>
            <w:tcW w:type="dxa" w:w="4320"/>
          </w:tcPr>
          <w:p>
            <w:r/>
            <w:r>
              <w:rPr>
                <w:sz w:val="20"/>
              </w:rPr>
              <w:t>Loop Engineering (diverger → converger → attaquer → corriger → industrialiser → vérifier)</w:t>
            </w:r>
          </w:p>
        </w:tc>
      </w:tr>
      <w:tr>
        <w:tc>
          <w:tcPr>
            <w:tcW w:type="dxa" w:w="4320"/>
            <w:shd w:val="clear" w:color="auto" w:fill="EAF1F8"/>
          </w:tcPr>
          <w:p>
            <w:r/>
            <w:r>
              <w:rPr>
                <w:b/>
                <w:sz w:val="20"/>
              </w:rPr>
              <w:t>Remplace</w:t>
            </w:r>
          </w:p>
        </w:tc>
        <w:tc>
          <w:tcPr>
            <w:tcW w:type="dxa" w:w="4320"/>
          </w:tcPr>
          <w:p>
            <w:r/>
            <w:r>
              <w:rPr>
                <w:sz w:val="20"/>
              </w:rPr>
              <w:t>H-Zip v2.1 « Dream-Zip » (20/09/2026)</w:t>
            </w:r>
          </w:p>
        </w:tc>
      </w:tr>
      <w:tr>
        <w:tc>
          <w:tcPr>
            <w:tcW w:type="dxa" w:w="4320"/>
            <w:shd w:val="clear" w:color="auto" w:fill="EAF1F8"/>
          </w:tcPr>
          <w:p>
            <w:r/>
            <w:r>
              <w:rPr>
                <w:b/>
                <w:sz w:val="20"/>
              </w:rPr>
              <w:t>Portée</w:t>
            </w:r>
          </w:p>
        </w:tc>
        <w:tc>
          <w:tcPr>
            <w:tcW w:type="dxa" w:w="4320"/>
          </w:tcPr>
          <w:p>
            <w:r/>
            <w:r>
              <w:rPr>
                <w:sz w:val="20"/>
              </w:rPr>
              <w:t>Essaim hétérogène UAV / USV / UUV — 200 nœuds</w:t>
            </w:r>
          </w:p>
        </w:tc>
      </w:tr>
      <w:tr>
        <w:tc>
          <w:tcPr>
            <w:tcW w:type="dxa" w:w="4320"/>
            <w:shd w:val="clear" w:color="auto" w:fill="EAF1F8"/>
          </w:tcPr>
          <w:p>
            <w:r/>
            <w:r>
              <w:rPr>
                <w:b/>
                <w:sz w:val="20"/>
              </w:rPr>
              <w:t>Fondement</w:t>
            </w:r>
          </w:p>
        </w:tc>
        <w:tc>
          <w:tcPr>
            <w:tcW w:type="dxa" w:w="4320"/>
          </w:tcPr>
          <w:p>
            <w:r/>
            <w:r>
              <w:rPr>
                <w:sz w:val="20"/>
              </w:rPr>
              <w:t>Bibliographie académique vérifiée (Annexe D) ; valeurs figées (ADR-hzip-protocole-calibration)</w:t>
            </w:r>
          </w:p>
        </w:tc>
      </w:tr>
    </w:tbl>
    <w:p>
      <w:r>
        <w:br w:type="page"/>
      </w:r>
    </w:p>
    <w:p>
      <w:pPr>
        <w:pStyle w:val="Heading1"/>
      </w:pPr>
      <w:r>
        <w:t>Historique des révisions</w:t>
      </w:r>
    </w:p>
    <w:tbl>
      <w:tblPr>
        <w:tblStyle w:val="TableGrid"/>
        <w:tblW w:type="auto" w:w="0"/>
        <w:jc w:val="center"/>
        <w:tblLook w:firstColumn="1" w:firstRow="1" w:lastColumn="0" w:lastRow="0" w:noHBand="0" w:noVBand="1" w:val="04A0"/>
      </w:tblPr>
      <w:tblGrid>
        <w:gridCol w:w="2880"/>
        <w:gridCol w:w="2880"/>
        <w:gridCol w:w="2880"/>
      </w:tblGrid>
      <w:tr>
        <w:tc>
          <w:tcPr>
            <w:tcW w:type="dxa" w:w="1020"/>
            <w:shd w:val="clear" w:color="auto" w:fill="1F3A5F"/>
          </w:tcPr>
          <w:p>
            <w:r/>
            <w:r>
              <w:rPr>
                <w:b/>
                <w:color w:val="FFFFFF"/>
                <w:sz w:val="20"/>
              </w:rPr>
              <w:t>Version</w:t>
            </w:r>
          </w:p>
        </w:tc>
        <w:tc>
          <w:tcPr>
            <w:tcW w:type="dxa" w:w="1247"/>
            <w:shd w:val="clear" w:color="auto" w:fill="1F3A5F"/>
          </w:tcPr>
          <w:p>
            <w:r/>
            <w:r>
              <w:rPr>
                <w:b/>
                <w:color w:val="FFFFFF"/>
                <w:sz w:val="20"/>
              </w:rPr>
              <w:t>Date</w:t>
            </w:r>
          </w:p>
        </w:tc>
        <w:tc>
          <w:tcPr>
            <w:tcW w:type="dxa" w:w="6520"/>
            <w:shd w:val="clear" w:color="auto" w:fill="1F3A5F"/>
          </w:tcPr>
          <w:p>
            <w:r/>
            <w:r>
              <w:rPr>
                <w:b/>
                <w:color w:val="FFFFFF"/>
                <w:sz w:val="20"/>
              </w:rPr>
              <w:t>Nature de la modification</w:t>
            </w:r>
          </w:p>
        </w:tc>
      </w:tr>
      <w:tr>
        <w:tc>
          <w:tcPr>
            <w:tcW w:type="dxa" w:w="1020"/>
          </w:tcPr>
          <w:p>
            <w:r/>
            <w:r>
              <w:rPr>
                <w:sz w:val="19"/>
              </w:rPr>
              <w:t>1.0</w:t>
            </w:r>
          </w:p>
        </w:tc>
        <w:tc>
          <w:tcPr>
            <w:tcW w:type="dxa" w:w="1247"/>
          </w:tcPr>
          <w:p>
            <w:r/>
            <w:r>
              <w:rPr>
                <w:sz w:val="19"/>
              </w:rPr>
              <w:t>20/09/2026</w:t>
            </w:r>
          </w:p>
        </w:tc>
        <w:tc>
          <w:tcPr>
            <w:tcW w:type="dxa" w:w="6520"/>
          </w:tcPr>
          <w:p>
            <w:r/>
            <w:r>
              <w:rPr>
                <w:sz w:val="19"/>
              </w:rPr>
              <w:t>Trame 4 octets, dictionnaire ASCII A-e, LLM embarqué dans la boucle réactive.</w:t>
            </w:r>
          </w:p>
        </w:tc>
      </w:tr>
      <w:tr>
        <w:tc>
          <w:tcPr>
            <w:tcW w:type="dxa" w:w="1020"/>
          </w:tcPr>
          <w:p>
            <w:r/>
            <w:r>
              <w:rPr>
                <w:sz w:val="19"/>
              </w:rPr>
              <w:t>2.0</w:t>
            </w:r>
          </w:p>
        </w:tc>
        <w:tc>
          <w:tcPr>
            <w:tcW w:type="dxa" w:w="1247"/>
          </w:tcPr>
          <w:p>
            <w:r/>
            <w:r>
              <w:rPr>
                <w:sz w:val="19"/>
              </w:rPr>
              <w:t>20/09/2026</w:t>
            </w:r>
          </w:p>
        </w:tc>
        <w:tc>
          <w:tcPr>
            <w:tcW w:type="dxa" w:w="6520"/>
          </w:tcPr>
          <w:p>
            <w:r/>
            <w:r>
              <w:rPr>
                <w:sz w:val="19"/>
              </w:rPr>
              <w:t>Séparation en couches, ajout SYNC/CRC/séquence, 3D, pondération hétérogène, LLM hors boucle réactive.</w:t>
            </w:r>
          </w:p>
        </w:tc>
      </w:tr>
      <w:tr>
        <w:tc>
          <w:tcPr>
            <w:tcW w:type="dxa" w:w="1020"/>
          </w:tcPr>
          <w:p>
            <w:r/>
            <w:r>
              <w:rPr>
                <w:sz w:val="19"/>
              </w:rPr>
              <w:t>2.1</w:t>
            </w:r>
          </w:p>
        </w:tc>
        <w:tc>
          <w:tcPr>
            <w:tcW w:type="dxa" w:w="1247"/>
          </w:tcPr>
          <w:p>
            <w:r/>
            <w:r>
              <w:rPr>
                <w:sz w:val="19"/>
              </w:rPr>
              <w:t>20/09/2026</w:t>
            </w:r>
          </w:p>
        </w:tc>
        <w:tc>
          <w:tcPr>
            <w:tcW w:type="dxa" w:w="6520"/>
          </w:tcPr>
          <w:p>
            <w:r/>
            <w:r>
              <w:rPr>
                <w:sz w:val="19"/>
              </w:rPr>
              <w:t>Fusion Dream-Zip + Loop Engineering : event-driven, hiérarchie par hubs, trame delta, couche de prédiction déterministe, heartbeat de recadrage, epsilon borné, élection de hub, agrégation formalisée, broadcast borné.</w:t>
            </w:r>
          </w:p>
        </w:tc>
      </w:tr>
      <w:tr>
        <w:tc>
          <w:tcPr>
            <w:tcW w:type="dxa" w:w="1020"/>
          </w:tcPr>
          <w:p>
            <w:r/>
            <w:r>
              <w:rPr>
                <w:sz w:val="19"/>
              </w:rPr>
              <w:t>2.1-r</w:t>
            </w:r>
          </w:p>
        </w:tc>
        <w:tc>
          <w:tcPr>
            <w:tcW w:type="dxa" w:w="1247"/>
          </w:tcPr>
          <w:p>
            <w:r/>
            <w:r>
              <w:rPr>
                <w:sz w:val="19"/>
              </w:rPr>
              <w:t>20/09/2026</w:t>
            </w:r>
          </w:p>
        </w:tc>
        <w:tc>
          <w:tcPr>
            <w:tcW w:type="dxa" w:w="6520"/>
          </w:tcPr>
          <w:p>
            <w:r/>
            <w:r>
              <w:rPr>
                <w:sz w:val="19"/>
              </w:rPr>
              <w:t>Révision documentaire : ajout des figures, des scénarios chiffrés du compromis T_hb/e_max (§8.6), et de la bibliographie académique vérifiée (Annexe D).</w:t>
            </w:r>
          </w:p>
        </w:tc>
      </w:tr>
      <w:tr>
        <w:tc>
          <w:tcPr>
            <w:tcW w:type="dxa" w:w="1020"/>
          </w:tcPr>
          <w:p>
            <w:r/>
            <w:r>
              <w:rPr>
                <w:sz w:val="19"/>
              </w:rPr>
              <w:t>2.2</w:t>
            </w:r>
          </w:p>
        </w:tc>
        <w:tc>
          <w:tcPr>
            <w:tcW w:type="dxa" w:w="1247"/>
          </w:tcPr>
          <w:p>
            <w:r/>
            <w:r>
              <w:rPr>
                <w:sz w:val="19"/>
              </w:rPr>
              <w:t>20/09/2026</w:t>
            </w:r>
          </w:p>
        </w:tc>
        <w:tc>
          <w:tcPr>
            <w:tcW w:type="dxa" w:w="6520"/>
          </w:tcPr>
          <w:p>
            <w:r/>
            <w:r>
              <w:rPr>
                <w:sz w:val="19"/>
              </w:rPr>
              <w:t>Figement des 19 paramètres + 4 paramètres de test (ADR-hzip-protocole-calibration) : T_hb par classe, e_max, epsilon, tailles de cluster/hub, temporisations, seuils de perte, matrice w/τ. Corrections de tailles de trames (S=8, D=4, H=8 octets) et suppression de « f_hb = 0,1 Hz global » (contredit par §8.6 per-classe).</w:t>
            </w:r>
          </w:p>
        </w:tc>
      </w:tr>
    </w:tbl>
    <w:p/>
    <w:p>
      <w:pPr>
        <w:pStyle w:val="Heading1"/>
      </w:pPr>
      <w:r>
        <w:t>Sommaire</w:t>
      </w:r>
    </w:p>
    <w:p>
      <w:r>
        <w:rPr>
          <w:b w:val="0"/>
          <w:i/>
          <w:color w:val="555555"/>
          <w:sz w:val="19"/>
        </w:rPr>
        <w:t>Sommaire automatique — dans Word : Références → Table des matières → Mettre à jour.</w:t>
      </w:r>
    </w:p>
    <w:p>
      <w:r/>
      <w:fldSimple w:instr="TOC \o &quot;1-3&quot; \h \z \u"/>
    </w:p>
    <w:p>
      <w:r>
        <w:br w:type="page"/>
      </w:r>
    </w:p>
    <w:p>
      <w:pPr>
        <w:pStyle w:val="Heading1"/>
      </w:pPr>
      <w:r>
        <w:t>Résumé exécutif</w:t>
      </w:r>
    </w:p>
    <w:p>
      <w:r>
        <w:rPr>
          <w:b w:val="0"/>
          <w:i w:val="0"/>
          <w:sz w:val="21"/>
        </w:rPr>
        <w:t>H-Zip v2.2 (« Dream-Zip ») est un protocole de communication conçu pour la coordination décentralisée d'un essaim hétérogène de 200 drones (aériens, de surface, sous-marins) opérant sous contrainte extrême de bande passante, en environnement brouillé ou en communication acoustique sous-marine.</w:t>
      </w:r>
    </w:p>
    <w:p>
      <w:r>
        <w:rPr>
          <w:b w:val="0"/>
          <w:i w:val="0"/>
          <w:sz w:val="21"/>
        </w:rPr>
        <w:t>Le protocole repose sur trois principes :</w:t>
      </w:r>
    </w:p>
    <w:p>
      <w:pPr>
        <w:pStyle w:val="ListBullet"/>
        <w:spacing w:after="40"/>
        <w:ind w:left="425"/>
      </w:pPr>
      <w:r>
        <w:t>Passage d'un réseau « state-driven » à un réseau « event-driven » : l'état par défaut est le silence radio ; les transmissions n'ont lieu que pour corriger une déviation par rapport à un modèle prédictif partagé.</w:t>
      </w:r>
    </w:p>
    <w:p>
      <w:pPr>
        <w:pStyle w:val="ListBullet"/>
        <w:spacing w:after="40"/>
        <w:ind w:left="425"/>
      </w:pPr>
      <w:r>
        <w:t>Hiérarchie par hubs : les drones de surface (USV) servent de routeurs de secteur ; les terminaux (UAV, UUV) ne s'adressent qu'à leur hub, ce qui élimine le broadcast storm à 200 nœuds.</w:t>
      </w:r>
    </w:p>
    <w:p>
      <w:pPr>
        <w:pStyle w:val="ListBullet"/>
        <w:spacing w:after="40"/>
        <w:ind w:left="425"/>
      </w:pPr>
      <w:r>
        <w:t>Séparation stricte des couches : prédiction déterministe, réactive (anti-collision), stratégique (convergence), cognitive (LLM). Le LLM est interdit dans les couches temps réel.</w:t>
      </w:r>
    </w:p>
    <w:tbl>
      <w:tblPr>
        <w:tblStyle w:val="TableGrid"/>
        <w:tblW w:type="auto" w:w="0"/>
        <w:tblLook w:firstColumn="1" w:firstRow="1" w:lastColumn="0" w:lastRow="0" w:noHBand="0" w:noVBand="1" w:val="04A0"/>
      </w:tblPr>
      <w:tblGrid>
        <w:gridCol w:w="8640"/>
      </w:tblGrid>
      <w:tr>
        <w:tc>
          <w:tcPr>
            <w:tcW w:type="dxa" w:w="8640"/>
            <w:shd w:val="clear" w:color="auto" w:fill="FDF3D8"/>
          </w:tcPr>
          <w:p>
            <w:r/>
            <w:r>
              <w:rPr>
                <w:b/>
                <w:color w:val="A31D1D"/>
                <w:sz w:val="20"/>
              </w:rPr>
              <w:t xml:space="preserve">Point critique — </w:t>
            </w:r>
            <w:r>
              <w:rPr>
                <w:sz w:val="20"/>
              </w:rPr>
              <w:t>Le « silence prédictif » n'est viable que si l'inférence miroir est déterministe, recadrée périodiquement par un heartbeat, et si le seuil epsilon est borné supérieurement. Sans ces trois conditions, le modèle prédictif diverge. Ce document formalise ces trois conditions et chiffre le compromis associé (§8.6).</w:t>
            </w:r>
          </w:p>
        </w:tc>
      </w:tr>
    </w:tbl>
    <w:p/>
    <w:p>
      <w:r>
        <w:rPr>
          <w:b w:val="0"/>
          <w:i w:val="0"/>
          <w:sz w:val="21"/>
        </w:rPr>
        <w:t>Fondement académique : les mécanismes du protocole s'appuient sur des travaux établis — champs de potentiel artificiels (Khatib, 1986), optimisation par essaim particulaire (Kennedy &amp; Eberhart, 1995), consensus multi-agents (Olfati-Saber et al., 2007), contrôle déclenché par événement (Dimarogonas et al., 2012), réseaux acoustiques sous-marins (Akyildiz et al., 2005) et problème du broadcast storm (Tseng et al., 2002). Voir Annexe D.</w:t>
      </w:r>
    </w:p>
    <w:p>
      <w:pPr>
        <w:pStyle w:val="Heading1"/>
      </w:pPr>
      <w:r>
        <w:t>Partie I — Fondations</w:t>
      </w:r>
    </w:p>
    <w:p>
      <w:pPr>
        <w:pStyle w:val="Heading2"/>
      </w:pPr>
      <w:r>
        <w:t>1. Terminologie et conventions</w:t>
      </w:r>
    </w:p>
    <w:p>
      <w:r>
        <w:rPr>
          <w:b w:val="0"/>
          <w:i w:val="0"/>
          <w:sz w:val="21"/>
        </w:rPr>
        <w:t>Mots-clés normatifs (RFC 2119) : DOIT, NE DOIT PAS, DEVRAIT, PEUT.</w:t>
      </w:r>
    </w:p>
    <w:p>
      <w:r>
        <w:rPr>
          <w:b w:val="0"/>
          <w:i w:val="0"/>
          <w:sz w:val="21"/>
        </w:rPr>
        <w:t>Conventions :</w:t>
      </w:r>
    </w:p>
    <w:p>
      <w:pPr>
        <w:pStyle w:val="ListBullet"/>
        <w:spacing w:after="40"/>
        <w:ind w:left="425"/>
      </w:pPr>
      <w:r>
        <w:t>Valeurs multi-octets en gros-boutiste (network byte order).</w:t>
      </w:r>
    </w:p>
    <w:p>
      <w:pPr>
        <w:pStyle w:val="ListBullet"/>
        <w:spacing w:after="40"/>
        <w:ind w:left="425"/>
      </w:pPr>
      <w:r>
        <w:t>Champs décrits par (offset, largeur en bits).</w:t>
      </w:r>
    </w:p>
    <w:p>
      <w:pPr>
        <w:pStyle w:val="ListBullet"/>
        <w:spacing w:after="40"/>
        <w:ind w:left="425"/>
      </w:pPr>
      <w:r>
        <w:t>« Nœud » désigne tout drone (UAV, USV, UUV).</w:t>
      </w:r>
    </w:p>
    <w:p>
      <w:pPr>
        <w:pStyle w:val="ListBullet"/>
        <w:spacing w:after="40"/>
        <w:ind w:left="425"/>
      </w:pPr>
      <w:r>
        <w:t>« Trame » désigne une unité de transmission complète.</w:t>
      </w:r>
    </w:p>
    <w:p>
      <w:pPr>
        <w:pStyle w:val="ListBullet"/>
        <w:spacing w:after="40"/>
        <w:ind w:left="425"/>
      </w:pPr>
      <w:r>
        <w:t>« Cluster » désigne l'ensemble des terminaux rattachés à un hub.</w:t>
      </w:r>
    </w:p>
    <w:p>
      <w:pPr>
        <w:pStyle w:val="ListBullet"/>
        <w:spacing w:after="40"/>
        <w:ind w:left="425"/>
      </w:pPr>
      <w:r>
        <w:t>« Hub » désigne un USV routeur de secteur.</w:t>
      </w:r>
    </w:p>
    <w:p>
      <w:r>
        <w:rPr>
          <w:b w:val="0"/>
          <w:i w:val="0"/>
          <w:sz w:val="21"/>
        </w:rPr>
        <w:t>Classes de plateforme :</w:t>
      </w:r>
    </w:p>
    <w:p>
      <w:pPr>
        <w:pStyle w:val="ListBullet"/>
        <w:spacing w:after="40"/>
        <w:ind w:left="425"/>
      </w:pPr>
      <w:r>
        <w:t>UAV : aérien, rapide, 3D.</w:t>
      </w:r>
    </w:p>
    <w:p>
      <w:pPr>
        <w:pStyle w:val="ListBullet"/>
        <w:spacing w:after="40"/>
        <w:ind w:left="425"/>
      </w:pPr>
      <w:r>
        <w:t>USV : surface, lourd, 2D (surface), relais.</w:t>
      </w:r>
    </w:p>
    <w:p>
      <w:pPr>
        <w:pStyle w:val="ListBullet"/>
        <w:spacing w:after="40"/>
        <w:ind w:left="425"/>
      </w:pPr>
      <w:r>
        <w:t>UUV : sous-marin, lent, 3D.</w:t>
      </w:r>
    </w:p>
    <w:p>
      <w:r>
        <w:rPr>
          <w:b w:val="0"/>
          <w:i w:val="0"/>
          <w:sz w:val="21"/>
        </w:rPr>
        <w:t>Notation : t = temps courant ; Δt = intervalle entre deux cycles ; p_i(t) = position réelle du nœud i ; p̂_i(t) = position prédite ; e_i(t) = |p_i(t) − p̂_i(t)| = erreur de prédiction.</w:t>
      </w:r>
    </w:p>
    <w:p>
      <w:pPr>
        <w:pStyle w:val="Heading2"/>
      </w:pPr>
      <w:r>
        <w:t>2. Modèle de couches</w:t>
      </w:r>
    </w:p>
    <w:p>
      <w:r>
        <w:rPr>
          <w:b w:val="0"/>
          <w:i w:val="0"/>
          <w:sz w:val="21"/>
        </w:rPr>
        <w:t>H-Zip v2.2 est structuré en quatre couches indépendantes. La séparation est obligatoire.</w:t>
      </w:r>
    </w:p>
    <w:p>
      <w:pPr>
        <w:jc w:val="center"/>
      </w:pPr>
      <w:r>
        <w:drawing>
          <wp:inline xmlns:a="http://schemas.openxmlformats.org/drawingml/2006/main" xmlns:pic="http://schemas.openxmlformats.org/drawingml/2006/picture">
            <wp:extent cx="5580000" cy="3449069"/>
            <wp:docPr id="1" name="Picture 1"/>
            <wp:cNvGraphicFramePr>
              <a:graphicFrameLocks noChangeAspect="1"/>
            </wp:cNvGraphicFramePr>
            <a:graphic>
              <a:graphicData uri="http://schemas.openxmlformats.org/drawingml/2006/picture">
                <pic:pic>
                  <pic:nvPicPr>
                    <pic:cNvPr id="0" name="fig1_couches.png"/>
                    <pic:cNvPicPr/>
                  </pic:nvPicPr>
                  <pic:blipFill>
                    <a:blip r:embed="rId9"/>
                    <a:stretch>
                      <a:fillRect/>
                    </a:stretch>
                  </pic:blipFill>
                  <pic:spPr>
                    <a:xfrm>
                      <a:off x="0" y="0"/>
                      <a:ext cx="5580000" cy="3449069"/>
                    </a:xfrm>
                    <a:prstGeom prst="rect"/>
                  </pic:spPr>
                </pic:pic>
              </a:graphicData>
            </a:graphic>
          </wp:inline>
        </w:drawing>
      </w:r>
    </w:p>
    <w:p>
      <w:pPr>
        <w:jc w:val="center"/>
      </w:pPr>
      <w:r>
        <w:rPr>
          <w:i/>
          <w:color w:val="555555"/>
          <w:sz w:val="18"/>
        </w:rPr>
        <w:t>Figure 1 — Architecture en couches. Le LLM (couche 3) est en lecture seule sur les couches temps réel.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74"/>
            <w:shd w:val="clear" w:color="auto" w:fill="1F3A5F"/>
          </w:tcPr>
          <w:p>
            <w:r/>
            <w:r>
              <w:rPr>
                <w:b/>
                <w:color w:val="FFFFFF"/>
                <w:sz w:val="20"/>
              </w:rPr>
              <w:t>Couche</w:t>
            </w:r>
          </w:p>
        </w:tc>
        <w:tc>
          <w:tcPr>
            <w:tcW w:type="dxa" w:w="2381"/>
            <w:shd w:val="clear" w:color="auto" w:fill="1F3A5F"/>
          </w:tcPr>
          <w:p>
            <w:r/>
            <w:r>
              <w:rPr>
                <w:b/>
                <w:color w:val="FFFFFF"/>
                <w:sz w:val="20"/>
              </w:rPr>
              <w:t>Fonction</w:t>
            </w:r>
          </w:p>
        </w:tc>
        <w:tc>
          <w:tcPr>
            <w:tcW w:type="dxa" w:w="1247"/>
            <w:shd w:val="clear" w:color="auto" w:fill="1F3A5F"/>
          </w:tcPr>
          <w:p>
            <w:r/>
            <w:r>
              <w:rPr>
                <w:b/>
                <w:color w:val="FFFFFF"/>
                <w:sz w:val="20"/>
              </w:rPr>
              <w:t>Fréquence</w:t>
            </w:r>
          </w:p>
        </w:tc>
        <w:tc>
          <w:tcPr>
            <w:tcW w:type="dxa" w:w="1361"/>
            <w:shd w:val="clear" w:color="auto" w:fill="1F3A5F"/>
          </w:tcPr>
          <w:p>
            <w:r/>
            <w:r>
              <w:rPr>
                <w:b/>
                <w:color w:val="FFFFFF"/>
                <w:sz w:val="20"/>
              </w:rPr>
              <w:t>Latence max</w:t>
            </w:r>
          </w:p>
        </w:tc>
        <w:tc>
          <w:tcPr>
            <w:tcW w:type="dxa" w:w="1474"/>
            <w:shd w:val="clear" w:color="auto" w:fill="1F3A5F"/>
          </w:tcPr>
          <w:p>
            <w:r/>
            <w:r>
              <w:rPr>
                <w:b/>
                <w:color w:val="FFFFFF"/>
                <w:sz w:val="20"/>
              </w:rPr>
              <w:t>Tolérance erreur</w:t>
            </w:r>
          </w:p>
        </w:tc>
        <w:tc>
          <w:tcPr>
            <w:tcW w:type="dxa" w:w="1134"/>
            <w:shd w:val="clear" w:color="auto" w:fill="1F3A5F"/>
          </w:tcPr>
          <w:p>
            <w:r/>
            <w:r>
              <w:rPr>
                <w:b/>
                <w:color w:val="FFFFFF"/>
                <w:sz w:val="20"/>
              </w:rPr>
              <w:t>Trames</w:t>
            </w:r>
          </w:p>
        </w:tc>
      </w:tr>
      <w:tr>
        <w:tc>
          <w:tcPr>
            <w:tcW w:type="dxa" w:w="1474"/>
          </w:tcPr>
          <w:p>
            <w:r/>
            <w:r>
              <w:rPr>
                <w:sz w:val="19"/>
              </w:rPr>
              <w:t>0 — Prédiction</w:t>
            </w:r>
          </w:p>
        </w:tc>
        <w:tc>
          <w:tcPr>
            <w:tcW w:type="dxa" w:w="2381"/>
          </w:tcPr>
          <w:p>
            <w:r/>
            <w:r>
              <w:rPr>
                <w:sz w:val="19"/>
              </w:rPr>
              <w:t>Inférence miroir déterministe de l'état des voisins</w:t>
            </w:r>
          </w:p>
        </w:tc>
        <w:tc>
          <w:tcPr>
            <w:tcW w:type="dxa" w:w="1247"/>
          </w:tcPr>
          <w:p>
            <w:r/>
            <w:r>
              <w:rPr>
                <w:sz w:val="19"/>
              </w:rPr>
              <w:t>Continue</w:t>
            </w:r>
          </w:p>
        </w:tc>
        <w:tc>
          <w:tcPr>
            <w:tcW w:type="dxa" w:w="1361"/>
          </w:tcPr>
          <w:p>
            <w:r/>
            <w:r>
              <w:rPr>
                <w:sz w:val="19"/>
              </w:rPr>
              <w:t>Incluse dans la boucle réactive</w:t>
            </w:r>
          </w:p>
        </w:tc>
        <w:tc>
          <w:tcPr>
            <w:tcW w:type="dxa" w:w="1474"/>
          </w:tcPr>
          <w:p>
            <w:r/>
            <w:r>
              <w:rPr>
                <w:sz w:val="19"/>
              </w:rPr>
              <w:t>Nulle</w:t>
            </w:r>
          </w:p>
        </w:tc>
        <w:tc>
          <w:tcPr>
            <w:tcW w:type="dxa" w:w="1134"/>
          </w:tcPr>
          <w:p>
            <w:r/>
            <w:r>
              <w:rPr>
                <w:sz w:val="19"/>
              </w:rPr>
              <w:t>—</w:t>
            </w:r>
          </w:p>
        </w:tc>
      </w:tr>
      <w:tr>
        <w:tc>
          <w:tcPr>
            <w:tcW w:type="dxa" w:w="1474"/>
          </w:tcPr>
          <w:p>
            <w:r/>
            <w:r>
              <w:rPr>
                <w:sz w:val="19"/>
              </w:rPr>
              <w:t>1 — Réactive (APF)</w:t>
            </w:r>
          </w:p>
        </w:tc>
        <w:tc>
          <w:tcPr>
            <w:tcW w:type="dxa" w:w="2381"/>
          </w:tcPr>
          <w:p>
            <w:r/>
            <w:r>
              <w:rPr>
                <w:sz w:val="19"/>
              </w:rPr>
              <w:t>Anti-collision</w:t>
            </w:r>
          </w:p>
        </w:tc>
        <w:tc>
          <w:tcPr>
            <w:tcW w:type="dxa" w:w="1247"/>
          </w:tcPr>
          <w:p>
            <w:r/>
            <w:r>
              <w:rPr>
                <w:sz w:val="19"/>
              </w:rPr>
              <w:t>10–50 Hz</w:t>
            </w:r>
          </w:p>
        </w:tc>
        <w:tc>
          <w:tcPr>
            <w:tcW w:type="dxa" w:w="1361"/>
          </w:tcPr>
          <w:p>
            <w:r/>
            <w:r>
              <w:rPr>
                <w:sz w:val="19"/>
              </w:rPr>
              <w:t>20 ms</w:t>
            </w:r>
          </w:p>
        </w:tc>
        <w:tc>
          <w:tcPr>
            <w:tcW w:type="dxa" w:w="1474"/>
          </w:tcPr>
          <w:p>
            <w:r/>
            <w:r>
              <w:rPr>
                <w:sz w:val="19"/>
              </w:rPr>
              <w:t>Nulle</w:t>
            </w:r>
          </w:p>
        </w:tc>
        <w:tc>
          <w:tcPr>
            <w:tcW w:type="dxa" w:w="1134"/>
          </w:tcPr>
          <w:p>
            <w:r/>
            <w:r>
              <w:rPr>
                <w:sz w:val="19"/>
              </w:rPr>
              <w:t>Trame R</w:t>
            </w:r>
          </w:p>
        </w:tc>
      </w:tr>
      <w:tr>
        <w:tc>
          <w:tcPr>
            <w:tcW w:type="dxa" w:w="1474"/>
          </w:tcPr>
          <w:p>
            <w:r/>
            <w:r>
              <w:rPr>
                <w:sz w:val="19"/>
              </w:rPr>
              <w:t>2 — Stratégique (PSO)</w:t>
            </w:r>
          </w:p>
        </w:tc>
        <w:tc>
          <w:tcPr>
            <w:tcW w:type="dxa" w:w="2381"/>
          </w:tcPr>
          <w:p>
            <w:r/>
            <w:r>
              <w:rPr>
                <w:sz w:val="19"/>
              </w:rPr>
              <w:t>Convergence vers l'objectif (gBest)</w:t>
            </w:r>
          </w:p>
        </w:tc>
        <w:tc>
          <w:tcPr>
            <w:tcW w:type="dxa" w:w="1247"/>
          </w:tcPr>
          <w:p>
            <w:r/>
            <w:r>
              <w:rPr>
                <w:sz w:val="19"/>
              </w:rPr>
              <w:t>0,1–2 Hz</w:t>
            </w:r>
          </w:p>
        </w:tc>
        <w:tc>
          <w:tcPr>
            <w:tcW w:type="dxa" w:w="1361"/>
          </w:tcPr>
          <w:p>
            <w:r/>
            <w:r>
              <w:rPr>
                <w:sz w:val="19"/>
              </w:rPr>
              <w:t>500 ms</w:t>
            </w:r>
          </w:p>
        </w:tc>
        <w:tc>
          <w:tcPr>
            <w:tcW w:type="dxa" w:w="1474"/>
          </w:tcPr>
          <w:p>
            <w:r/>
            <w:r>
              <w:rPr>
                <w:sz w:val="19"/>
              </w:rPr>
              <w:t>Moyenne</w:t>
            </w:r>
          </w:p>
        </w:tc>
        <w:tc>
          <w:tcPr>
            <w:tcW w:type="dxa" w:w="1134"/>
          </w:tcPr>
          <w:p>
            <w:r/>
            <w:r>
              <w:rPr>
                <w:sz w:val="19"/>
              </w:rPr>
              <w:t>Trames S, D</w:t>
            </w:r>
          </w:p>
        </w:tc>
      </w:tr>
      <w:tr>
        <w:tc>
          <w:tcPr>
            <w:tcW w:type="dxa" w:w="1474"/>
          </w:tcPr>
          <w:p>
            <w:r/>
            <w:r>
              <w:rPr>
                <w:sz w:val="19"/>
              </w:rPr>
              <w:t>3 — Cognitive (LLM)</w:t>
            </w:r>
          </w:p>
        </w:tc>
        <w:tc>
          <w:tcPr>
            <w:tcW w:type="dxa" w:w="2381"/>
          </w:tcPr>
          <w:p>
            <w:r/>
            <w:r>
              <w:rPr>
                <w:sz w:val="19"/>
              </w:rPr>
              <w:t>Interprétation, assistance opérateur</w:t>
            </w:r>
          </w:p>
        </w:tc>
        <w:tc>
          <w:tcPr>
            <w:tcW w:type="dxa" w:w="1247"/>
          </w:tcPr>
          <w:p>
            <w:r/>
            <w:r>
              <w:rPr>
                <w:sz w:val="19"/>
              </w:rPr>
              <w:t>Événementielle</w:t>
            </w:r>
          </w:p>
        </w:tc>
        <w:tc>
          <w:tcPr>
            <w:tcW w:type="dxa" w:w="1361"/>
          </w:tcPr>
          <w:p>
            <w:r/>
            <w:r>
              <w:rPr>
                <w:sz w:val="19"/>
              </w:rPr>
              <w:t>2 s</w:t>
            </w:r>
          </w:p>
        </w:tc>
        <w:tc>
          <w:tcPr>
            <w:tcW w:type="dxa" w:w="1474"/>
          </w:tcPr>
          <w:p>
            <w:r/>
            <w:r>
              <w:rPr>
                <w:sz w:val="19"/>
              </w:rPr>
              <w:t>Élevée (fallback obligatoire)</w:t>
            </w:r>
          </w:p>
        </w:tc>
        <w:tc>
          <w:tcPr>
            <w:tcW w:type="dxa" w:w="1134"/>
          </w:tcPr>
          <w:p>
            <w:r/>
            <w:r>
              <w:rPr>
                <w:sz w:val="19"/>
              </w:rPr>
              <w:t>Aucune</w:t>
            </w:r>
          </w:p>
        </w:tc>
      </w:tr>
    </w:tbl>
    <w:p/>
    <w:p>
      <w:r>
        <w:rPr>
          <w:b/>
          <w:i w:val="0"/>
          <w:sz w:val="21"/>
        </w:rPr>
        <w:t>Règles de couplage :</w:t>
      </w:r>
    </w:p>
    <w:p>
      <w:pPr>
        <w:pStyle w:val="ListBullet"/>
        <w:spacing w:after="40"/>
        <w:ind w:left="425"/>
      </w:pPr>
      <w:r>
        <w:t>La couche 1 NE DOIT PAS dépendre des couches 2 ou 3.</w:t>
      </w:r>
    </w:p>
    <w:p>
      <w:pPr>
        <w:pStyle w:val="ListBullet"/>
        <w:spacing w:after="40"/>
        <w:ind w:left="425"/>
      </w:pPr>
      <w:r>
        <w:t>La couche 2 PEUT dépendre de la couche 1.</w:t>
      </w:r>
    </w:p>
    <w:p>
      <w:pPr>
        <w:pStyle w:val="ListBullet"/>
        <w:spacing w:after="40"/>
        <w:ind w:left="425"/>
      </w:pPr>
      <w:r>
        <w:t>La couche 3 PEUT dépendre des couches 0, 1, 2 (lecture seule).</w:t>
      </w:r>
    </w:p>
    <w:p>
      <w:pPr>
        <w:pStyle w:val="ListBullet"/>
        <w:spacing w:after="40"/>
        <w:ind w:left="425"/>
      </w:pPr>
      <w:r>
        <w:t>La couche 3 NE DOIT JAMAIS écrire dans les couches 0, 1, 2.</w:t>
      </w:r>
    </w:p>
    <w:p>
      <w:pPr>
        <w:pStyle w:val="Heading2"/>
      </w:pPr>
      <w:r>
        <w:t>3. Topologie hiérarchique</w:t>
      </w:r>
    </w:p>
    <w:p>
      <w:pPr>
        <w:jc w:val="center"/>
      </w:pPr>
      <w:r>
        <w:drawing>
          <wp:inline xmlns:a="http://schemas.openxmlformats.org/drawingml/2006/main" xmlns:pic="http://schemas.openxmlformats.org/drawingml/2006/picture">
            <wp:extent cx="5580000" cy="3607273"/>
            <wp:docPr id="2" name="Picture 2"/>
            <wp:cNvGraphicFramePr>
              <a:graphicFrameLocks noChangeAspect="1"/>
            </wp:cNvGraphicFramePr>
            <a:graphic>
              <a:graphicData uri="http://schemas.openxmlformats.org/drawingml/2006/picture">
                <pic:pic>
                  <pic:nvPicPr>
                    <pic:cNvPr id="0" name="fig2_topologie.png"/>
                    <pic:cNvPicPr/>
                  </pic:nvPicPr>
                  <pic:blipFill>
                    <a:blip r:embed="rId10"/>
                    <a:stretch>
                      <a:fillRect/>
                    </a:stretch>
                  </pic:blipFill>
                  <pic:spPr>
                    <a:xfrm>
                      <a:off x="0" y="0"/>
                      <a:ext cx="5580000" cy="3607273"/>
                    </a:xfrm>
                    <a:prstGeom prst="rect"/>
                  </pic:spPr>
                </pic:pic>
              </a:graphicData>
            </a:graphic>
          </wp:inline>
        </w:drawing>
      </w:r>
    </w:p>
    <w:p>
      <w:pPr>
        <w:jc w:val="center"/>
      </w:pPr>
      <w:r>
        <w:rPr>
          <w:i/>
          <w:color w:val="555555"/>
          <w:sz w:val="18"/>
        </w:rPr>
        <w:t>Figure 2 — Topologie hiérarchique : hubs USV et terminaux UAV/UUV.</w:t>
      </w:r>
    </w:p>
    <w:p>
      <w:pPr>
        <w:pStyle w:val="Heading3"/>
      </w:pPr>
      <w:r>
        <w:t>3.1 Rôles</w:t>
      </w:r>
    </w:p>
    <w:p>
      <w:pPr>
        <w:pStyle w:val="ListBullet"/>
        <w:spacing w:after="40"/>
        <w:ind w:left="425"/>
      </w:pPr>
      <w:r>
        <w:t>Hubs : USV, routeurs de secteur.</w:t>
      </w:r>
    </w:p>
    <w:p>
      <w:pPr>
        <w:pStyle w:val="ListBullet"/>
        <w:spacing w:after="40"/>
        <w:ind w:left="425"/>
      </w:pPr>
      <w:r>
        <w:t>Terminaux : UAV et UUV, ne s'adressent qu'à leur hub d'affectation.</w:t>
      </w:r>
    </w:p>
    <w:p>
      <w:pPr>
        <w:pStyle w:val="ListBullet"/>
        <w:spacing w:after="40"/>
        <w:ind w:left="425"/>
      </w:pPr>
      <w:r>
        <w:t>Hub primaire : hub de rattachement nominal d'un cluster.</w:t>
      </w:r>
    </w:p>
    <w:p>
      <w:pPr>
        <w:pStyle w:val="ListBullet"/>
        <w:spacing w:after="40"/>
        <w:ind w:left="425"/>
      </w:pPr>
      <w:r>
        <w:t>Hub secondaire : hub de secours, désigné à l'avance.</w:t>
      </w:r>
    </w:p>
    <w:p>
      <w:pPr>
        <w:pStyle w:val="Heading3"/>
      </w:pPr>
      <w:r>
        <w:t>3.2 Règles de rattachement</w:t>
      </w:r>
    </w:p>
    <w:p>
      <w:pPr>
        <w:pStyle w:val="ListBullet"/>
        <w:spacing w:after="40"/>
        <w:ind w:left="425"/>
      </w:pPr>
      <w:r>
        <w:t>Chaque terminal DOIT être rattaché à exactement un hub primaire.</w:t>
      </w:r>
    </w:p>
    <w:p>
      <w:pPr>
        <w:pStyle w:val="ListBullet"/>
        <w:spacing w:after="40"/>
        <w:ind w:left="425"/>
      </w:pPr>
      <w:r>
        <w:t>Chaque cluster DOIT comporter au moins un hub secondaire.</w:t>
      </w:r>
    </w:p>
    <w:p>
      <w:pPr>
        <w:pStyle w:val="ListBullet"/>
        <w:spacing w:after="40"/>
        <w:ind w:left="425"/>
      </w:pPr>
      <w:r>
        <w:t>Un terminal PEUT changer de cluster (mobilité), selon la procédure §14.</w:t>
      </w:r>
    </w:p>
    <w:p>
      <w:pPr>
        <w:pStyle w:val="Heading3"/>
      </w:pPr>
      <w:r>
        <w:t>3.3 Contraintes de taille</w:t>
      </w:r>
    </w:p>
    <w:p>
      <w:pPr>
        <w:pStyle w:val="ListBullet"/>
        <w:spacing w:after="40"/>
        <w:ind w:left="425"/>
      </w:pPr>
      <w:r>
        <w:t>Nombre maximal de terminaux par cluster : N_cluster_max = 20 [FIGÉ] (ADR §3, paramètre 1).</w:t>
      </w:r>
    </w:p>
    <w:p>
      <w:pPr>
        <w:pStyle w:val="ListBullet"/>
        <w:spacing w:after="40"/>
        <w:ind w:left="425"/>
      </w:pPr>
      <w:r>
        <w:t>Nombre maximal de hubs : N_hub_max = 25 [FIGÉ] (ADR §3, paramètre 2).</w:t>
      </w:r>
    </w:p>
    <w:p>
      <w:pPr>
        <w:pStyle w:val="ListBullet"/>
        <w:spacing w:after="40"/>
        <w:ind w:left="425"/>
      </w:pPr>
      <w:r>
        <w:t>Nombre total de nœuds : 200 (hypothèse Dream-Zip, à confirmer).</w:t>
      </w:r>
    </w:p>
    <w:p>
      <w:pPr>
        <w:pStyle w:val="Heading3"/>
      </w:pPr>
      <w:r>
        <w:t>3.4 Adressage</w:t>
      </w:r>
    </w:p>
    <w:p>
      <w:pPr>
        <w:pStyle w:val="ListBullet"/>
        <w:spacing w:after="40"/>
        <w:ind w:left="425"/>
      </w:pPr>
      <w:r>
        <w:t>Hub ID : 5 bits, valeurs 0–31.</w:t>
      </w:r>
    </w:p>
    <w:p>
      <w:pPr>
        <w:pStyle w:val="ListBullet"/>
        <w:spacing w:after="40"/>
        <w:ind w:left="425"/>
      </w:pPr>
      <w:r>
        <w:t>Terminal ID : 5 bits, valeurs 0–31, local au cluster.</w:t>
      </w:r>
    </w:p>
    <w:p>
      <w:pPr>
        <w:pStyle w:val="ListBullet"/>
        <w:spacing w:after="40"/>
        <w:ind w:left="425"/>
      </w:pPr>
      <w:r>
        <w:t>Adresse globale d'un terminal = (hub_id, terminal_id).</w:t>
      </w:r>
    </w:p>
    <w:p>
      <w:pPr>
        <w:pStyle w:val="ListBullet"/>
        <w:spacing w:after="40"/>
        <w:ind w:left="425"/>
      </w:pPr>
      <w:r>
        <w:t>Type : 3 bits (000 UAV, 001 USV, 010 UUV).</w:t>
      </w:r>
    </w:p>
    <w:tbl>
      <w:tblPr>
        <w:tblStyle w:val="TableGrid"/>
        <w:tblW w:type="auto" w:w="0"/>
        <w:tblLook w:firstColumn="1" w:firstRow="1" w:lastColumn="0" w:lastRow="0" w:noHBand="0" w:noVBand="1" w:val="04A0"/>
      </w:tblPr>
      <w:tblGrid>
        <w:gridCol w:w="8640"/>
      </w:tblGrid>
      <w:tr>
        <w:tc>
          <w:tcPr>
            <w:tcW w:type="dxa" w:w="8640"/>
            <w:shd w:val="clear" w:color="auto" w:fill="FDF3D8"/>
          </w:tcPr>
          <w:p>
            <w:r/>
            <w:r>
              <w:rPr>
                <w:b/>
                <w:color w:val="A31D1D"/>
                <w:sz w:val="20"/>
              </w:rPr>
              <w:t xml:space="preserve">Décision — </w:t>
            </w:r>
            <w:r>
              <w:rPr>
                <w:sz w:val="20"/>
              </w:rPr>
              <w:t>L'encodage ASCII K–Y de Dream-Zip est abandonné : la plage est non contiguë et source de bugs de parsing. L'adressage est binaire (5 bits, 32 valeurs), ce qui couvre 25 hubs.</w:t>
            </w:r>
          </w:p>
        </w:tc>
      </w:tr>
    </w:tbl>
    <w:p/>
    <w:p>
      <w:pPr>
        <w:pStyle w:val="Heading1"/>
      </w:pPr>
      <w:r>
        <w:t>Partie II — Formats de trame</w:t>
      </w:r>
    </w:p>
    <w:p>
      <w:pPr>
        <w:jc w:val="center"/>
      </w:pPr>
      <w:r>
        <w:drawing>
          <wp:inline xmlns:a="http://schemas.openxmlformats.org/drawingml/2006/main" xmlns:pic="http://schemas.openxmlformats.org/drawingml/2006/picture">
            <wp:extent cx="5580000" cy="2598028"/>
            <wp:docPr id="3" name="Picture 3"/>
            <wp:cNvGraphicFramePr>
              <a:graphicFrameLocks noChangeAspect="1"/>
            </wp:cNvGraphicFramePr>
            <a:graphic>
              <a:graphicData uri="http://schemas.openxmlformats.org/drawingml/2006/picture">
                <pic:pic>
                  <pic:nvPicPr>
                    <pic:cNvPr id="0" name="fig5_trames.png"/>
                    <pic:cNvPicPr/>
                  </pic:nvPicPr>
                  <pic:blipFill>
                    <a:blip r:embed="rId11"/>
                    <a:stretch>
                      <a:fillRect/>
                    </a:stretch>
                  </pic:blipFill>
                  <pic:spPr>
                    <a:xfrm>
                      <a:off x="0" y="0"/>
                      <a:ext cx="5580000" cy="2598028"/>
                    </a:xfrm>
                    <a:prstGeom prst="rect"/>
                  </pic:spPr>
                </pic:pic>
              </a:graphicData>
            </a:graphic>
          </wp:inline>
        </w:drawing>
      </w:r>
    </w:p>
    <w:p>
      <w:pPr>
        <w:jc w:val="center"/>
      </w:pPr>
      <w:r>
        <w:rPr>
          <w:i/>
          <w:color w:val="555555"/>
          <w:sz w:val="18"/>
        </w:rPr>
        <w:t>Figure 3 — Formats des quatre trames H-Zip v2.2.</w:t>
      </w:r>
    </w:p>
    <w:p>
      <w:pPr>
        <w:pStyle w:val="Heading2"/>
      </w:pPr>
      <w:r>
        <w:t>4. Trame R — Réactive (APF)</w:t>
      </w:r>
    </w:p>
    <w:p>
      <w:r>
        <w:rPr>
          <w:b w:val="0"/>
          <w:i w:val="0"/>
          <w:sz w:val="21"/>
        </w:rPr>
        <w:t>Taille : 4 octets.</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1F3A5F"/>
          </w:tcPr>
          <w:p>
            <w:r/>
            <w:r>
              <w:rPr>
                <w:b/>
                <w:color w:val="FFFFFF"/>
                <w:sz w:val="20"/>
              </w:rPr>
              <w:t>Octet</w:t>
            </w:r>
          </w:p>
        </w:tc>
        <w:tc>
          <w:tcPr>
            <w:tcW w:type="dxa" w:w="1417"/>
            <w:shd w:val="clear" w:color="auto" w:fill="1F3A5F"/>
          </w:tcPr>
          <w:p>
            <w:r/>
            <w:r>
              <w:rPr>
                <w:b/>
                <w:color w:val="FFFFFF"/>
                <w:sz w:val="20"/>
              </w:rPr>
              <w:t>Champ</w:t>
            </w:r>
          </w:p>
        </w:tc>
        <w:tc>
          <w:tcPr>
            <w:tcW w:type="dxa" w:w="6803"/>
            <w:shd w:val="clear" w:color="auto" w:fill="1F3A5F"/>
          </w:tcPr>
          <w:p>
            <w:r/>
            <w:r>
              <w:rPr>
                <w:b/>
                <w:color w:val="FFFFFF"/>
                <w:sz w:val="20"/>
              </w:rPr>
              <w:t>Description</w:t>
            </w:r>
          </w:p>
        </w:tc>
      </w:tr>
      <w:tr>
        <w:tc>
          <w:tcPr>
            <w:tcW w:type="dxa" w:w="850"/>
          </w:tcPr>
          <w:p>
            <w:r/>
            <w:r>
              <w:rPr>
                <w:sz w:val="19"/>
              </w:rPr>
              <w:t>0</w:t>
            </w:r>
          </w:p>
        </w:tc>
        <w:tc>
          <w:tcPr>
            <w:tcW w:type="dxa" w:w="1417"/>
          </w:tcPr>
          <w:p>
            <w:r/>
            <w:r>
              <w:rPr>
                <w:sz w:val="19"/>
              </w:rPr>
              <w:t>SYNC</w:t>
            </w:r>
          </w:p>
        </w:tc>
        <w:tc>
          <w:tcPr>
            <w:tcW w:type="dxa" w:w="6803"/>
          </w:tcPr>
          <w:p>
            <w:r/>
            <w:r>
              <w:rPr>
                <w:sz w:val="19"/>
              </w:rPr>
              <w:t>Préambule de synchronisation. Valeur fixe 0xAA.</w:t>
            </w:r>
          </w:p>
        </w:tc>
      </w:tr>
      <w:tr>
        <w:tc>
          <w:tcPr>
            <w:tcW w:type="dxa" w:w="850"/>
          </w:tcPr>
          <w:p>
            <w:r/>
            <w:r>
              <w:rPr>
                <w:sz w:val="19"/>
              </w:rPr>
              <w:t>1</w:t>
            </w:r>
          </w:p>
        </w:tc>
        <w:tc>
          <w:tcPr>
            <w:tcW w:type="dxa" w:w="1417"/>
          </w:tcPr>
          <w:p>
            <w:r/>
            <w:r>
              <w:rPr>
                <w:sz w:val="19"/>
              </w:rPr>
              <w:t>ID</w:t>
            </w:r>
          </w:p>
        </w:tc>
        <w:tc>
          <w:tcPr>
            <w:tcW w:type="dxa" w:w="6803"/>
          </w:tcPr>
          <w:p>
            <w:r/>
            <w:r>
              <w:rPr>
                <w:sz w:val="19"/>
              </w:rPr>
              <w:t>3 bits type + 5 bits identifiant.</w:t>
            </w:r>
          </w:p>
        </w:tc>
      </w:tr>
      <w:tr>
        <w:tc>
          <w:tcPr>
            <w:tcW w:type="dxa" w:w="850"/>
          </w:tcPr>
          <w:p>
            <w:r/>
            <w:r>
              <w:rPr>
                <w:sz w:val="19"/>
              </w:rPr>
              <w:t>2</w:t>
            </w:r>
          </w:p>
        </w:tc>
        <w:tc>
          <w:tcPr>
            <w:tcW w:type="dxa" w:w="1417"/>
          </w:tcPr>
          <w:p>
            <w:r/>
            <w:r>
              <w:rPr>
                <w:sz w:val="19"/>
              </w:rPr>
              <w:t>APF</w:t>
            </w:r>
          </w:p>
        </w:tc>
        <w:tc>
          <w:tcPr>
            <w:tcW w:type="dxa" w:w="6803"/>
          </w:tcPr>
          <w:p>
            <w:r/>
            <w:r>
              <w:rPr>
                <w:sz w:val="19"/>
              </w:rPr>
              <w:t>3 bits direction + 3 bits intensité + 2 bits priorité.</w:t>
            </w:r>
          </w:p>
        </w:tc>
      </w:tr>
      <w:tr>
        <w:tc>
          <w:tcPr>
            <w:tcW w:type="dxa" w:w="850"/>
          </w:tcPr>
          <w:p>
            <w:r/>
            <w:r>
              <w:rPr>
                <w:sz w:val="19"/>
              </w:rPr>
              <w:t>3</w:t>
            </w:r>
          </w:p>
        </w:tc>
        <w:tc>
          <w:tcPr>
            <w:tcW w:type="dxa" w:w="1417"/>
          </w:tcPr>
          <w:p>
            <w:r/>
            <w:r>
              <w:rPr>
                <w:sz w:val="19"/>
              </w:rPr>
              <w:t>CRC</w:t>
            </w:r>
          </w:p>
        </w:tc>
        <w:tc>
          <w:tcPr>
            <w:tcW w:type="dxa" w:w="6803"/>
          </w:tcPr>
          <w:p>
            <w:r/>
            <w:r>
              <w:rPr>
                <w:sz w:val="19"/>
              </w:rPr>
              <w:t>CRC-8/ATM.</w:t>
            </w:r>
          </w:p>
        </w:tc>
      </w:tr>
    </w:tbl>
    <w:p/>
    <w:p>
      <w:pPr>
        <w:pStyle w:val="Heading3"/>
      </w:pPr>
      <w:r>
        <w:t>4.2 Champ ID (octet 1)</w:t>
      </w:r>
    </w:p>
    <w:p>
      <w:pPr>
        <w:pStyle w:val="ListBullet"/>
        <w:spacing w:after="40"/>
        <w:ind w:left="425"/>
      </w:pPr>
      <w:r>
        <w:t>Bits 7–5 : type (000 UAV, 001 USV, 010 UUV, 011–111 réservé → rejet).</w:t>
      </w:r>
    </w:p>
    <w:p>
      <w:pPr>
        <w:pStyle w:val="ListBullet"/>
        <w:spacing w:after="40"/>
        <w:ind w:left="425"/>
      </w:pPr>
      <w:r>
        <w:t>Bits 4–0 : identifiant (0–31).</w:t>
      </w:r>
    </w:p>
    <w:p>
      <w:pPr>
        <w:pStyle w:val="Heading3"/>
      </w:pPr>
      <w:r>
        <w:t>4.3 Champ APF (octet 2)</w:t>
      </w:r>
    </w:p>
    <w:p>
      <w:pPr>
        <w:pStyle w:val="ListBullet"/>
        <w:spacing w:after="40"/>
        <w:ind w:left="425"/>
      </w:pPr>
      <w:r>
        <w:t>Bits 7–5 : direction (8 secteurs) : 000 N, 001 NE, 010 E, 011 SE, 100 S, 101 SO, 110 O, 111 NO.</w:t>
      </w:r>
    </w:p>
    <w:p>
      <w:pPr>
        <w:pStyle w:val="ListBullet"/>
        <w:spacing w:after="40"/>
        <w:ind w:left="425"/>
      </w:pPr>
      <w:r>
        <w:t>Bits 4–2 : intensité (0–7).</w:t>
      </w:r>
    </w:p>
    <w:p>
      <w:pPr>
        <w:pStyle w:val="ListBullet"/>
        <w:spacing w:after="40"/>
        <w:ind w:left="425"/>
      </w:pPr>
      <w:r>
        <w:t>Bits 1–0 : priorité : 00 aucune, 01 vigilance, 10 évitement, 11 survie.</w:t>
      </w:r>
    </w:p>
    <w:p>
      <w:r>
        <w:rPr>
          <w:b/>
          <w:i w:val="0"/>
          <w:sz w:val="21"/>
        </w:rPr>
        <w:t>Codes spéciaux (issus de Dream-Zip) : si priorité = 11 et intensité = 7 :</w:t>
      </w:r>
    </w:p>
    <w:p>
      <w:pPr>
        <w:pStyle w:val="ListBullet"/>
        <w:spacing w:after="40"/>
        <w:ind w:left="425"/>
      </w:pPr>
      <w:r>
        <w:t>direction 000 → X (avarie majeure).</w:t>
      </w:r>
    </w:p>
    <w:p>
      <w:pPr>
        <w:pStyle w:val="ListBullet"/>
        <w:spacing w:after="40"/>
        <w:ind w:left="425"/>
      </w:pPr>
      <w:r>
        <w:t>direction 001 → W (force environnementale non cartographiée).</w:t>
      </w:r>
    </w:p>
    <w:p>
      <w:pPr>
        <w:pStyle w:val="ListBullet"/>
        <w:spacing w:after="40"/>
        <w:ind w:left="425"/>
      </w:pPr>
      <w:r>
        <w:t>autres directions → réservé (rejet).</w:t>
      </w:r>
    </w:p>
    <w:p>
      <w:r>
        <w:rPr>
          <w:b/>
          <w:i w:val="0"/>
          <w:sz w:val="21"/>
        </w:rPr>
        <w:t>Règles :</w:t>
      </w:r>
    </w:p>
    <w:p>
      <w:pPr>
        <w:pStyle w:val="ListBullet"/>
        <w:spacing w:after="40"/>
        <w:ind w:left="425"/>
      </w:pPr>
      <w:r>
        <w:t>Si priorité = 11 → les récepteurs DOIVENT suspendre le PSO et n'appliquer que l'APF.</w:t>
      </w:r>
    </w:p>
    <w:p>
      <w:pPr>
        <w:pStyle w:val="ListBullet"/>
        <w:spacing w:after="40"/>
        <w:ind w:left="425"/>
      </w:pPr>
      <w:r>
        <w:t>Si priorité = 00 → direction et intensité DOIVENT être ignorées.</w:t>
      </w:r>
    </w:p>
    <w:p>
      <w:pPr>
        <w:pStyle w:val="Heading3"/>
      </w:pPr>
      <w:r>
        <w:t>4.4 Champ CRC (octet 3)</w:t>
      </w:r>
    </w:p>
    <w:p>
      <w:pPr>
        <w:pStyle w:val="ListBullet"/>
        <w:spacing w:after="40"/>
        <w:ind w:left="425"/>
      </w:pPr>
      <w:r>
        <w:t>CRC-8/ATM : polynôme 0x07, init 0x00, pas de réflexion, pas de XOR final.</w:t>
      </w:r>
    </w:p>
    <w:p>
      <w:pPr>
        <w:pStyle w:val="ListBullet"/>
        <w:spacing w:after="40"/>
        <w:ind w:left="425"/>
      </w:pPr>
      <w:r>
        <w:t>Couvre les octets 1 et 2.</w:t>
      </w:r>
    </w:p>
    <w:p>
      <w:pPr>
        <w:pStyle w:val="Heading3"/>
      </w:pPr>
      <w:r>
        <w:t>4.5 Exemple normatif</w:t>
      </w:r>
    </w:p>
    <w:p>
      <w:pPr>
        <w:spacing w:after="80"/>
        <w:ind w:left="340"/>
      </w:pPr>
      <w:r>
        <w:rPr>
          <w:rFonts w:ascii="Consolas" w:hAnsi="Consolas"/>
          <w:color w:val="222222"/>
          <w:sz w:val="19"/>
        </w:rPr>
        <w:t>AA 20 00 3C   →   USV ID 0, direction N, intensité 0, priorité 00, CRC valide.</w:t>
      </w:r>
    </w:p>
    <w:p>
      <w:pPr>
        <w:pStyle w:val="Heading2"/>
      </w:pPr>
      <w:r>
        <w:t>5. Trame S — Stratégique (PSO)</w:t>
      </w:r>
    </w:p>
    <w:p>
      <w:r>
        <w:rPr>
          <w:b w:val="0"/>
          <w:i w:val="0"/>
          <w:sz w:val="21"/>
        </w:rPr>
        <w:t>Taille : 8 octets.</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1F3A5F"/>
          </w:tcPr>
          <w:p>
            <w:r/>
            <w:r>
              <w:rPr>
                <w:b/>
                <w:color w:val="FFFFFF"/>
                <w:sz w:val="20"/>
              </w:rPr>
              <w:t>Octet</w:t>
            </w:r>
          </w:p>
        </w:tc>
        <w:tc>
          <w:tcPr>
            <w:tcW w:type="dxa" w:w="1417"/>
            <w:shd w:val="clear" w:color="auto" w:fill="1F3A5F"/>
          </w:tcPr>
          <w:p>
            <w:r/>
            <w:r>
              <w:rPr>
                <w:b/>
                <w:color w:val="FFFFFF"/>
                <w:sz w:val="20"/>
              </w:rPr>
              <w:t>Champ</w:t>
            </w:r>
          </w:p>
        </w:tc>
        <w:tc>
          <w:tcPr>
            <w:tcW w:type="dxa" w:w="6803"/>
            <w:shd w:val="clear" w:color="auto" w:fill="1F3A5F"/>
          </w:tcPr>
          <w:p>
            <w:r/>
            <w:r>
              <w:rPr>
                <w:b/>
                <w:color w:val="FFFFFF"/>
                <w:sz w:val="20"/>
              </w:rPr>
              <w:t>Description</w:t>
            </w:r>
          </w:p>
        </w:tc>
      </w:tr>
      <w:tr>
        <w:tc>
          <w:tcPr>
            <w:tcW w:type="dxa" w:w="850"/>
          </w:tcPr>
          <w:p>
            <w:r/>
            <w:r>
              <w:rPr>
                <w:sz w:val="19"/>
              </w:rPr>
              <w:t>0</w:t>
            </w:r>
          </w:p>
        </w:tc>
        <w:tc>
          <w:tcPr>
            <w:tcW w:type="dxa" w:w="1417"/>
          </w:tcPr>
          <w:p>
            <w:r/>
            <w:r>
              <w:rPr>
                <w:sz w:val="19"/>
              </w:rPr>
              <w:t>SYNC</w:t>
            </w:r>
          </w:p>
        </w:tc>
        <w:tc>
          <w:tcPr>
            <w:tcW w:type="dxa" w:w="6803"/>
          </w:tcPr>
          <w:p>
            <w:r/>
            <w:r>
              <w:rPr>
                <w:sz w:val="19"/>
              </w:rPr>
              <w:t>0xAB.</w:t>
            </w:r>
          </w:p>
        </w:tc>
      </w:tr>
      <w:tr>
        <w:tc>
          <w:tcPr>
            <w:tcW w:type="dxa" w:w="850"/>
          </w:tcPr>
          <w:p>
            <w:r/>
            <w:r>
              <w:rPr>
                <w:sz w:val="19"/>
              </w:rPr>
              <w:t>1</w:t>
            </w:r>
          </w:p>
        </w:tc>
        <w:tc>
          <w:tcPr>
            <w:tcW w:type="dxa" w:w="1417"/>
          </w:tcPr>
          <w:p>
            <w:r/>
            <w:r>
              <w:rPr>
                <w:sz w:val="19"/>
              </w:rPr>
              <w:t>ID</w:t>
            </w:r>
          </w:p>
        </w:tc>
        <w:tc>
          <w:tcPr>
            <w:tcW w:type="dxa" w:w="6803"/>
          </w:tcPr>
          <w:p>
            <w:r/>
            <w:r>
              <w:rPr>
                <w:sz w:val="19"/>
              </w:rPr>
              <w:t>Type + identifiant.</w:t>
            </w:r>
          </w:p>
        </w:tc>
      </w:tr>
      <w:tr>
        <w:tc>
          <w:tcPr>
            <w:tcW w:type="dxa" w:w="850"/>
          </w:tcPr>
          <w:p>
            <w:r/>
            <w:r>
              <w:rPr>
                <w:sz w:val="19"/>
              </w:rPr>
              <w:t>2</w:t>
            </w:r>
          </w:p>
        </w:tc>
        <w:tc>
          <w:tcPr>
            <w:tcW w:type="dxa" w:w="1417"/>
          </w:tcPr>
          <w:p>
            <w:r/>
            <w:r>
              <w:rPr>
                <w:sz w:val="19"/>
              </w:rPr>
              <w:t>AZIMUT</w:t>
            </w:r>
          </w:p>
        </w:tc>
        <w:tc>
          <w:tcPr>
            <w:tcW w:type="dxa" w:w="6803"/>
          </w:tcPr>
          <w:p>
            <w:r/>
            <w:r>
              <w:rPr>
                <w:sz w:val="19"/>
              </w:rPr>
              <w:t>8 bits, 0–255 → 0°–358,6° (résolution 1,4°).</w:t>
            </w:r>
          </w:p>
        </w:tc>
      </w:tr>
      <w:tr>
        <w:tc>
          <w:tcPr>
            <w:tcW w:type="dxa" w:w="850"/>
          </w:tcPr>
          <w:p>
            <w:r/>
            <w:r>
              <w:rPr>
                <w:sz w:val="19"/>
              </w:rPr>
              <w:t>3</w:t>
            </w:r>
          </w:p>
        </w:tc>
        <w:tc>
          <w:tcPr>
            <w:tcW w:type="dxa" w:w="1417"/>
          </w:tcPr>
          <w:p>
            <w:r/>
            <w:r>
              <w:rPr>
                <w:sz w:val="19"/>
              </w:rPr>
              <w:t>ELEVATION</w:t>
            </w:r>
          </w:p>
        </w:tc>
        <w:tc>
          <w:tcPr>
            <w:tcW w:type="dxa" w:w="6803"/>
          </w:tcPr>
          <w:p>
            <w:r/>
            <w:r>
              <w:rPr>
                <w:sz w:val="19"/>
              </w:rPr>
              <w:t>2 bits réservés + 6 bits, -90° à +90°.</w:t>
            </w:r>
          </w:p>
        </w:tc>
      </w:tr>
      <w:tr>
        <w:tc>
          <w:tcPr>
            <w:tcW w:type="dxa" w:w="850"/>
          </w:tcPr>
          <w:p>
            <w:r/>
            <w:r>
              <w:rPr>
                <w:sz w:val="19"/>
              </w:rPr>
              <w:t>4</w:t>
            </w:r>
          </w:p>
        </w:tc>
        <w:tc>
          <w:tcPr>
            <w:tcW w:type="dxa" w:w="1417"/>
          </w:tcPr>
          <w:p>
            <w:r/>
            <w:r>
              <w:rPr>
                <w:sz w:val="19"/>
              </w:rPr>
              <w:t>FITNESS</w:t>
            </w:r>
          </w:p>
        </w:tc>
        <w:tc>
          <w:tcPr>
            <w:tcW w:type="dxa" w:w="6803"/>
          </w:tcPr>
          <w:p>
            <w:r/>
            <w:r>
              <w:rPr>
                <w:sz w:val="19"/>
              </w:rPr>
              <w:t>1 bit mode + 1 bit réservé + 2 bits classe + 4 bits score.</w:t>
            </w:r>
          </w:p>
        </w:tc>
      </w:tr>
      <w:tr>
        <w:tc>
          <w:tcPr>
            <w:tcW w:type="dxa" w:w="850"/>
          </w:tcPr>
          <w:p>
            <w:r/>
            <w:r>
              <w:rPr>
                <w:sz w:val="19"/>
              </w:rPr>
              <w:t>5</w:t>
            </w:r>
          </w:p>
        </w:tc>
        <w:tc>
          <w:tcPr>
            <w:tcW w:type="dxa" w:w="1417"/>
          </w:tcPr>
          <w:p>
            <w:r/>
            <w:r>
              <w:rPr>
                <w:sz w:val="19"/>
              </w:rPr>
              <w:t>SEQ</w:t>
            </w:r>
          </w:p>
        </w:tc>
        <w:tc>
          <w:tcPr>
            <w:tcW w:type="dxa" w:w="6803"/>
          </w:tcPr>
          <w:p>
            <w:r/>
            <w:r>
              <w:rPr>
                <w:sz w:val="19"/>
              </w:rPr>
              <w:t>8 bits, modulo 256.</w:t>
            </w:r>
          </w:p>
        </w:tc>
      </w:tr>
      <w:tr>
        <w:tc>
          <w:tcPr>
            <w:tcW w:type="dxa" w:w="850"/>
          </w:tcPr>
          <w:p>
            <w:r/>
            <w:r>
              <w:rPr>
                <w:sz w:val="19"/>
              </w:rPr>
              <w:t>6–7</w:t>
            </w:r>
          </w:p>
        </w:tc>
        <w:tc>
          <w:tcPr>
            <w:tcW w:type="dxa" w:w="1417"/>
          </w:tcPr>
          <w:p>
            <w:r/>
            <w:r>
              <w:rPr>
                <w:sz w:val="19"/>
              </w:rPr>
              <w:t>CRC</w:t>
            </w:r>
          </w:p>
        </w:tc>
        <w:tc>
          <w:tcPr>
            <w:tcW w:type="dxa" w:w="6803"/>
          </w:tcPr>
          <w:p>
            <w:r/>
            <w:r>
              <w:rPr>
                <w:sz w:val="19"/>
              </w:rPr>
              <w:t>CRC-16/CCITT-FALSE.</w:t>
            </w:r>
          </w:p>
        </w:tc>
      </w:tr>
    </w:tbl>
    <w:p/>
    <w:p>
      <w:pPr>
        <w:pStyle w:val="Heading3"/>
      </w:pPr>
      <w:r>
        <w:t>5.2 Champ AZIMUT (octet 2)</w:t>
      </w:r>
    </w:p>
    <w:p>
      <w:pPr>
        <w:pStyle w:val="ListBullet"/>
        <w:spacing w:after="40"/>
        <w:ind w:left="425"/>
      </w:pPr>
      <w:r>
        <w:t>8 bits, 0–255 → 0°–358,6° (résolution 1,4°).</w:t>
      </w:r>
    </w:p>
    <w:p>
      <w:pPr>
        <w:pStyle w:val="ListBullet"/>
        <w:spacing w:after="40"/>
        <w:ind w:left="425"/>
      </w:pPr>
      <w:r>
        <w:t>0 = N, 64 = E, 128 = S, 192 = O.</w:t>
      </w:r>
    </w:p>
    <w:p>
      <w:pPr>
        <w:pStyle w:val="Heading3"/>
      </w:pPr>
      <w:r>
        <w:t>5.3 Champ ELEVATION (octet 3)</w:t>
      </w:r>
    </w:p>
    <w:p>
      <w:pPr>
        <w:pStyle w:val="ListBullet"/>
        <w:spacing w:after="40"/>
        <w:ind w:left="425"/>
      </w:pPr>
      <w:r>
        <w:t>Bits 7–6 : réservés, DOIVENT être 00.</w:t>
      </w:r>
    </w:p>
    <w:p>
      <w:pPr>
        <w:pStyle w:val="ListBullet"/>
        <w:spacing w:after="40"/>
        <w:ind w:left="425"/>
      </w:pPr>
      <w:r>
        <w:t>Bits 5–0 : 0–63 → -90° à +90° (résolution 2,86°).</w:t>
      </w:r>
    </w:p>
    <w:p>
      <w:pPr>
        <w:pStyle w:val="ListBullet"/>
        <w:spacing w:after="40"/>
        <w:ind w:left="425"/>
      </w:pPr>
      <w:r>
        <w:t>0 = nadir, 32 = horizontal, 63 = zénith.</w:t>
      </w:r>
    </w:p>
    <w:p>
      <w:pPr>
        <w:pStyle w:val="ListBullet"/>
        <w:spacing w:after="40"/>
        <w:ind w:left="425"/>
      </w:pPr>
      <w:r>
        <w:t>Un USV DOIT forcer l'élévation à 32.</w:t>
      </w:r>
    </w:p>
    <w:p>
      <w:pPr>
        <w:pStyle w:val="Heading3"/>
      </w:pPr>
      <w:r>
        <w:t>5.4 Champ FITNESS (octet 4)</w:t>
      </w:r>
    </w:p>
    <w:p>
      <w:pPr>
        <w:pStyle w:val="ListBullet"/>
        <w:spacing w:after="40"/>
        <w:ind w:left="425"/>
      </w:pPr>
      <w:r>
        <w:t>Bit 7 : mode (0 = valeur absolue, 1 = delta).</w:t>
      </w:r>
    </w:p>
    <w:p>
      <w:pPr>
        <w:pStyle w:val="ListBullet"/>
        <w:spacing w:after="40"/>
        <w:ind w:left="425"/>
      </w:pPr>
      <w:r>
        <w:t>Bit 6 : réservé, DOIT être 0.</w:t>
      </w:r>
    </w:p>
    <w:p>
      <w:pPr>
        <w:pStyle w:val="ListBullet"/>
        <w:spacing w:after="40"/>
        <w:ind w:left="425"/>
      </w:pPr>
      <w:r>
        <w:t>Bits 5–4 : classe de confiance : 00 routine, 01 hypothèse, 10 confirmée, 11 absolue.</w:t>
      </w:r>
    </w:p>
    <w:p>
      <w:pPr>
        <w:pStyle w:val="ListBullet"/>
        <w:spacing w:after="40"/>
        <w:ind w:left="425"/>
      </w:pPr>
      <w:r>
        <w:t>Bits 3–0 : score (0–15).</w:t>
      </w:r>
    </w:p>
    <w:p>
      <w:pPr>
        <w:pStyle w:val="Heading3"/>
      </w:pPr>
      <w:r>
        <w:t>5.5 Champ SEQ (octet 5)</w:t>
      </w:r>
    </w:p>
    <w:p>
      <w:pPr>
        <w:pStyle w:val="ListBullet"/>
        <w:spacing w:after="40"/>
        <w:ind w:left="425"/>
      </w:pPr>
      <w:r>
        <w:t>8 bits, modulo 256.</w:t>
      </w:r>
    </w:p>
    <w:p>
      <w:pPr>
        <w:pStyle w:val="ListBullet"/>
        <w:spacing w:after="40"/>
        <w:ind w:left="425"/>
      </w:pPr>
      <w:r>
        <w:t>Rejet si séquence antérieure au dernier reçu du même émetteur (protection anti-rejeu).</w:t>
      </w:r>
    </w:p>
    <w:p>
      <w:pPr>
        <w:pStyle w:val="Heading3"/>
      </w:pPr>
      <w:r>
        <w:t>5.6 Champ CRC (octets 6–7)</w:t>
      </w:r>
    </w:p>
    <w:p>
      <w:pPr>
        <w:pStyle w:val="ListBullet"/>
        <w:spacing w:after="40"/>
        <w:ind w:left="425"/>
      </w:pPr>
      <w:r>
        <w:t>CRC-16/CCITT-FALSE : polynôme 0x1021, init 0xFFFF, pas de réflexion, pas de XOR final.</w:t>
      </w:r>
    </w:p>
    <w:p>
      <w:pPr>
        <w:pStyle w:val="ListBullet"/>
        <w:spacing w:after="40"/>
        <w:ind w:left="425"/>
      </w:pPr>
      <w:r>
        <w:t>Couvre les octets 1 à 5.</w:t>
      </w:r>
    </w:p>
    <w:p>
      <w:pPr>
        <w:pStyle w:val="Heading3"/>
      </w:pPr>
      <w:r>
        <w:t>5.7 Exemple normatif</w:t>
      </w:r>
    </w:p>
    <w:p>
      <w:pPr>
        <w:spacing w:after="80"/>
        <w:ind w:left="340"/>
      </w:pPr>
      <w:r>
        <w:rPr>
          <w:rFonts w:ascii="Consolas" w:hAnsi="Consolas"/>
          <w:color w:val="222222"/>
          <w:sz w:val="19"/>
        </w:rPr>
        <w:t>AB 20 40 20 8A 01 XX XX   →   USV ID 0, azimut E, élévation horizontale, classe confirmée, score 10, séquence 1.</w:t>
      </w:r>
    </w:p>
    <w:p>
      <w:pPr>
        <w:pStyle w:val="Heading2"/>
      </w:pPr>
      <w:r>
        <w:t>6. Trame D — Delta (event-driven)</w:t>
      </w:r>
    </w:p>
    <w:p>
      <w:r>
        <w:rPr>
          <w:b w:val="0"/>
          <w:i w:val="0"/>
          <w:sz w:val="21"/>
        </w:rPr>
        <w:t>Taille : 4 octets.</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1F3A5F"/>
          </w:tcPr>
          <w:p>
            <w:r/>
            <w:r>
              <w:rPr>
                <w:b/>
                <w:color w:val="FFFFFF"/>
                <w:sz w:val="20"/>
              </w:rPr>
              <w:t>Octet</w:t>
            </w:r>
          </w:p>
        </w:tc>
        <w:tc>
          <w:tcPr>
            <w:tcW w:type="dxa" w:w="1417"/>
            <w:shd w:val="clear" w:color="auto" w:fill="1F3A5F"/>
          </w:tcPr>
          <w:p>
            <w:r/>
            <w:r>
              <w:rPr>
                <w:b/>
                <w:color w:val="FFFFFF"/>
                <w:sz w:val="20"/>
              </w:rPr>
              <w:t>Champ</w:t>
            </w:r>
          </w:p>
        </w:tc>
        <w:tc>
          <w:tcPr>
            <w:tcW w:type="dxa" w:w="6803"/>
            <w:shd w:val="clear" w:color="auto" w:fill="1F3A5F"/>
          </w:tcPr>
          <w:p>
            <w:r/>
            <w:r>
              <w:rPr>
                <w:b/>
                <w:color w:val="FFFFFF"/>
                <w:sz w:val="20"/>
              </w:rPr>
              <w:t>Description</w:t>
            </w:r>
          </w:p>
        </w:tc>
      </w:tr>
      <w:tr>
        <w:tc>
          <w:tcPr>
            <w:tcW w:type="dxa" w:w="850"/>
          </w:tcPr>
          <w:p>
            <w:r/>
            <w:r>
              <w:rPr>
                <w:sz w:val="19"/>
              </w:rPr>
              <w:t>0</w:t>
            </w:r>
          </w:p>
        </w:tc>
        <w:tc>
          <w:tcPr>
            <w:tcW w:type="dxa" w:w="1417"/>
          </w:tcPr>
          <w:p>
            <w:r/>
            <w:r>
              <w:rPr>
                <w:sz w:val="19"/>
              </w:rPr>
              <w:t>SYNC</w:t>
            </w:r>
          </w:p>
        </w:tc>
        <w:tc>
          <w:tcPr>
            <w:tcW w:type="dxa" w:w="6803"/>
          </w:tcPr>
          <w:p>
            <w:r/>
            <w:r>
              <w:rPr>
                <w:sz w:val="19"/>
              </w:rPr>
              <w:t>0xAC.</w:t>
            </w:r>
          </w:p>
        </w:tc>
      </w:tr>
      <w:tr>
        <w:tc>
          <w:tcPr>
            <w:tcW w:type="dxa" w:w="850"/>
          </w:tcPr>
          <w:p>
            <w:r/>
            <w:r>
              <w:rPr>
                <w:sz w:val="19"/>
              </w:rPr>
              <w:t>1</w:t>
            </w:r>
          </w:p>
        </w:tc>
        <w:tc>
          <w:tcPr>
            <w:tcW w:type="dxa" w:w="1417"/>
          </w:tcPr>
          <w:p>
            <w:r/>
            <w:r>
              <w:rPr>
                <w:sz w:val="19"/>
              </w:rPr>
              <w:t>TARGET</w:t>
            </w:r>
          </w:p>
        </w:tc>
        <w:tc>
          <w:tcPr>
            <w:tcW w:type="dxa" w:w="6803"/>
          </w:tcPr>
          <w:p>
            <w:r/>
            <w:r>
              <w:rPr>
                <w:sz w:val="19"/>
              </w:rPr>
              <w:t>1 bit broadcast + 2 bits type cible + 5 bits hub ID.</w:t>
            </w:r>
          </w:p>
        </w:tc>
      </w:tr>
      <w:tr>
        <w:tc>
          <w:tcPr>
            <w:tcW w:type="dxa" w:w="850"/>
          </w:tcPr>
          <w:p>
            <w:r/>
            <w:r>
              <w:rPr>
                <w:sz w:val="19"/>
              </w:rPr>
              <w:t>2</w:t>
            </w:r>
          </w:p>
        </w:tc>
        <w:tc>
          <w:tcPr>
            <w:tcW w:type="dxa" w:w="1417"/>
          </w:tcPr>
          <w:p>
            <w:r/>
            <w:r>
              <w:rPr>
                <w:sz w:val="19"/>
              </w:rPr>
              <w:t>DELTA</w:t>
            </w:r>
          </w:p>
        </w:tc>
        <w:tc>
          <w:tcPr>
            <w:tcW w:type="dxa" w:w="6803"/>
          </w:tcPr>
          <w:p>
            <w:r/>
            <w:r>
              <w:rPr>
                <w:sz w:val="19"/>
              </w:rPr>
              <w:t>3 bits direction + 3 bits amplitude + 2 bits signe.</w:t>
            </w:r>
          </w:p>
        </w:tc>
      </w:tr>
      <w:tr>
        <w:tc>
          <w:tcPr>
            <w:tcW w:type="dxa" w:w="850"/>
          </w:tcPr>
          <w:p>
            <w:r/>
            <w:r>
              <w:rPr>
                <w:sz w:val="19"/>
              </w:rPr>
              <w:t>3</w:t>
            </w:r>
          </w:p>
        </w:tc>
        <w:tc>
          <w:tcPr>
            <w:tcW w:type="dxa" w:w="1417"/>
          </w:tcPr>
          <w:p>
            <w:r/>
            <w:r>
              <w:rPr>
                <w:sz w:val="19"/>
              </w:rPr>
              <w:t>CRC</w:t>
            </w:r>
          </w:p>
        </w:tc>
        <w:tc>
          <w:tcPr>
            <w:tcW w:type="dxa" w:w="6803"/>
          </w:tcPr>
          <w:p>
            <w:r/>
            <w:r>
              <w:rPr>
                <w:sz w:val="19"/>
              </w:rPr>
              <w:t>CRC-8/ATM.</w:t>
            </w:r>
          </w:p>
        </w:tc>
      </w:tr>
    </w:tbl>
    <w:p/>
    <w:p>
      <w:pPr>
        <w:pStyle w:val="Heading3"/>
      </w:pPr>
      <w:r>
        <w:t>6.2 Champ TARGET (octet 1)</w:t>
      </w:r>
    </w:p>
    <w:p>
      <w:pPr>
        <w:pStyle w:val="ListBullet"/>
        <w:spacing w:after="40"/>
        <w:ind w:left="425"/>
      </w:pPr>
      <w:r>
        <w:t>Bit 7 : broadcast (0 = unicast vers hub, 1 = broadcast d'urgence).</w:t>
      </w:r>
    </w:p>
    <w:p>
      <w:pPr>
        <w:pStyle w:val="ListBullet"/>
        <w:spacing w:after="40"/>
        <w:ind w:left="425"/>
      </w:pPr>
      <w:r>
        <w:t>Bits 6–5 : type de la cible (00 UAV, 01 USV, 10 UUV, 11 réservé).</w:t>
      </w:r>
    </w:p>
    <w:p>
      <w:pPr>
        <w:pStyle w:val="ListBullet"/>
        <w:spacing w:after="40"/>
        <w:ind w:left="425"/>
      </w:pPr>
      <w:r>
        <w:t>Bits 4–0 : hub ID (0–31).</w:t>
      </w:r>
    </w:p>
    <w:p>
      <w:pPr>
        <w:pStyle w:val="ListBullet"/>
        <w:spacing w:after="40"/>
        <w:ind w:left="425"/>
      </w:pPr>
      <w:r>
        <w:t>Si broadcast = 1, les bits 6–5 DOIVENT être 11 et le hub ID DOIT être 0. Sinon rejet.</w:t>
      </w:r>
    </w:p>
    <w:p>
      <w:pPr>
        <w:pStyle w:val="Heading3"/>
      </w:pPr>
      <w:r>
        <w:t>6.3 Champ DELTA (octet 2)</w:t>
      </w:r>
    </w:p>
    <w:p>
      <w:pPr>
        <w:pStyle w:val="ListBullet"/>
        <w:spacing w:after="40"/>
        <w:ind w:left="425"/>
      </w:pPr>
      <w:r>
        <w:t>Bits 7–5 : direction (8 secteurs, même encodage que §4.3).</w:t>
      </w:r>
    </w:p>
    <w:p>
      <w:pPr>
        <w:pStyle w:val="ListBullet"/>
        <w:spacing w:after="40"/>
        <w:ind w:left="425"/>
      </w:pPr>
      <w:r>
        <w:t>Bits 4–2 : amplitude (0–7).</w:t>
      </w:r>
    </w:p>
    <w:p>
      <w:pPr>
        <w:pStyle w:val="ListBullet"/>
        <w:spacing w:after="40"/>
        <w:ind w:left="425"/>
      </w:pPr>
      <w:r>
        <w:t>Bits 1–0 : signe : 00 nul, 01 positif (accentuer), 10 négatif (réduire), 11 réservé → rejet.</w:t>
      </w:r>
    </w:p>
    <w:p>
      <w:pPr>
        <w:pStyle w:val="ListBullet"/>
        <w:spacing w:after="40"/>
        <w:ind w:left="425"/>
      </w:pPr>
      <w:r>
        <w:t>Si signe = 00, direction et amplitude DOIVENT être ignorées.</w:t>
      </w:r>
    </w:p>
    <w:p>
      <w:pPr>
        <w:pStyle w:val="Heading3"/>
      </w:pPr>
      <w:r>
        <w:t>6.4 Champ CRC (octet 3)</w:t>
      </w:r>
    </w:p>
    <w:p>
      <w:pPr>
        <w:pStyle w:val="ListBullet"/>
        <w:spacing w:after="40"/>
        <w:ind w:left="425"/>
      </w:pPr>
      <w:r>
        <w:t>CRC-8/ATM, couvre les octets 1 et 2.</w:t>
      </w:r>
    </w:p>
    <w:p>
      <w:pPr>
        <w:pStyle w:val="Heading3"/>
      </w:pPr>
      <w:r>
        <w:t>6.5 Exemple normatif</w:t>
      </w:r>
    </w:p>
    <w:p>
      <w:pPr>
        <w:spacing w:after="80"/>
        <w:ind w:left="340"/>
      </w:pPr>
      <w:r>
        <w:rPr>
          <w:rFonts w:ascii="Consolas" w:hAnsi="Consolas"/>
          <w:color w:val="222222"/>
          <w:sz w:val="19"/>
        </w:rPr>
        <w:t>AC 0A 28 5F   →   unicast vers hub 10, direction E, amplitude 2, signe positif, CRC valide.</w:t>
      </w:r>
    </w:p>
    <w:p>
      <w:pPr>
        <w:pStyle w:val="Heading2"/>
      </w:pPr>
      <w:r>
        <w:t>7. Trame H — Heartbeat (recadrage)</w:t>
      </w:r>
    </w:p>
    <w:p>
      <w:r>
        <w:rPr>
          <w:b w:val="0"/>
          <w:i w:val="0"/>
          <w:sz w:val="21"/>
        </w:rPr>
        <w:t>Taille : 8 octets (réutilise la structure de la trame S en mode absolu).</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1F3A5F"/>
          </w:tcPr>
          <w:p>
            <w:r/>
            <w:r>
              <w:rPr>
                <w:b/>
                <w:color w:val="FFFFFF"/>
                <w:sz w:val="20"/>
              </w:rPr>
              <w:t>Octet</w:t>
            </w:r>
          </w:p>
        </w:tc>
        <w:tc>
          <w:tcPr>
            <w:tcW w:type="dxa" w:w="1417"/>
            <w:shd w:val="clear" w:color="auto" w:fill="1F3A5F"/>
          </w:tcPr>
          <w:p>
            <w:r/>
            <w:r>
              <w:rPr>
                <w:b/>
                <w:color w:val="FFFFFF"/>
                <w:sz w:val="20"/>
              </w:rPr>
              <w:t>Champ</w:t>
            </w:r>
          </w:p>
        </w:tc>
        <w:tc>
          <w:tcPr>
            <w:tcW w:type="dxa" w:w="6803"/>
            <w:shd w:val="clear" w:color="auto" w:fill="1F3A5F"/>
          </w:tcPr>
          <w:p>
            <w:r/>
            <w:r>
              <w:rPr>
                <w:b/>
                <w:color w:val="FFFFFF"/>
                <w:sz w:val="20"/>
              </w:rPr>
              <w:t>Description</w:t>
            </w:r>
          </w:p>
        </w:tc>
      </w:tr>
      <w:tr>
        <w:tc>
          <w:tcPr>
            <w:tcW w:type="dxa" w:w="850"/>
          </w:tcPr>
          <w:p>
            <w:r/>
            <w:r>
              <w:rPr>
                <w:sz w:val="19"/>
              </w:rPr>
              <w:t>0</w:t>
            </w:r>
          </w:p>
        </w:tc>
        <w:tc>
          <w:tcPr>
            <w:tcW w:type="dxa" w:w="1417"/>
          </w:tcPr>
          <w:p>
            <w:r/>
            <w:r>
              <w:rPr>
                <w:sz w:val="19"/>
              </w:rPr>
              <w:t>SYNC</w:t>
            </w:r>
          </w:p>
        </w:tc>
        <w:tc>
          <w:tcPr>
            <w:tcW w:type="dxa" w:w="6803"/>
          </w:tcPr>
          <w:p>
            <w:r/>
            <w:r>
              <w:rPr>
                <w:sz w:val="19"/>
              </w:rPr>
              <w:t>0xAD.</w:t>
            </w:r>
          </w:p>
        </w:tc>
      </w:tr>
      <w:tr>
        <w:tc>
          <w:tcPr>
            <w:tcW w:type="dxa" w:w="850"/>
          </w:tcPr>
          <w:p>
            <w:r/>
            <w:r>
              <w:rPr>
                <w:sz w:val="19"/>
              </w:rPr>
              <w:t>1</w:t>
            </w:r>
          </w:p>
        </w:tc>
        <w:tc>
          <w:tcPr>
            <w:tcW w:type="dxa" w:w="1417"/>
          </w:tcPr>
          <w:p>
            <w:r/>
            <w:r>
              <w:rPr>
                <w:sz w:val="19"/>
              </w:rPr>
              <w:t>ID</w:t>
            </w:r>
          </w:p>
        </w:tc>
        <w:tc>
          <w:tcPr>
            <w:tcW w:type="dxa" w:w="6803"/>
          </w:tcPr>
          <w:p>
            <w:r/>
            <w:r>
              <w:rPr>
                <w:sz w:val="19"/>
              </w:rPr>
              <w:t>Type + identifiant.</w:t>
            </w:r>
          </w:p>
        </w:tc>
      </w:tr>
      <w:tr>
        <w:tc>
          <w:tcPr>
            <w:tcW w:type="dxa" w:w="850"/>
          </w:tcPr>
          <w:p>
            <w:r/>
            <w:r>
              <w:rPr>
                <w:sz w:val="19"/>
              </w:rPr>
              <w:t>2</w:t>
            </w:r>
          </w:p>
        </w:tc>
        <w:tc>
          <w:tcPr>
            <w:tcW w:type="dxa" w:w="1417"/>
          </w:tcPr>
          <w:p>
            <w:r/>
            <w:r>
              <w:rPr>
                <w:sz w:val="19"/>
              </w:rPr>
              <w:t>AZIMUT</w:t>
            </w:r>
          </w:p>
        </w:tc>
        <w:tc>
          <w:tcPr>
            <w:tcW w:type="dxa" w:w="6803"/>
          </w:tcPr>
          <w:p>
            <w:r/>
            <w:r>
              <w:rPr>
                <w:sz w:val="19"/>
              </w:rPr>
              <w:t>Position réelle (vérité de référence).</w:t>
            </w:r>
          </w:p>
        </w:tc>
      </w:tr>
      <w:tr>
        <w:tc>
          <w:tcPr>
            <w:tcW w:type="dxa" w:w="850"/>
          </w:tcPr>
          <w:p>
            <w:r/>
            <w:r>
              <w:rPr>
                <w:sz w:val="19"/>
              </w:rPr>
              <w:t>3</w:t>
            </w:r>
          </w:p>
        </w:tc>
        <w:tc>
          <w:tcPr>
            <w:tcW w:type="dxa" w:w="1417"/>
          </w:tcPr>
          <w:p>
            <w:r/>
            <w:r>
              <w:rPr>
                <w:sz w:val="19"/>
              </w:rPr>
              <w:t>ELEVATION</w:t>
            </w:r>
          </w:p>
        </w:tc>
        <w:tc>
          <w:tcPr>
            <w:tcW w:type="dxa" w:w="6803"/>
          </w:tcPr>
          <w:p>
            <w:r/>
            <w:r>
              <w:rPr>
                <w:sz w:val="19"/>
              </w:rPr>
              <w:t>Position réelle.</w:t>
            </w:r>
          </w:p>
        </w:tc>
      </w:tr>
      <w:tr>
        <w:tc>
          <w:tcPr>
            <w:tcW w:type="dxa" w:w="850"/>
          </w:tcPr>
          <w:p>
            <w:r/>
            <w:r>
              <w:rPr>
                <w:sz w:val="19"/>
              </w:rPr>
              <w:t>4</w:t>
            </w:r>
          </w:p>
        </w:tc>
        <w:tc>
          <w:tcPr>
            <w:tcW w:type="dxa" w:w="1417"/>
          </w:tcPr>
          <w:p>
            <w:r/>
            <w:r>
              <w:rPr>
                <w:sz w:val="19"/>
              </w:rPr>
              <w:t>FITNESS</w:t>
            </w:r>
          </w:p>
        </w:tc>
        <w:tc>
          <w:tcPr>
            <w:tcW w:type="dxa" w:w="6803"/>
          </w:tcPr>
          <w:p>
            <w:r/>
            <w:r>
              <w:rPr>
                <w:sz w:val="19"/>
              </w:rPr>
              <w:t>Mode = 0, classe = 11 (absolue).</w:t>
            </w:r>
          </w:p>
        </w:tc>
      </w:tr>
      <w:tr>
        <w:tc>
          <w:tcPr>
            <w:tcW w:type="dxa" w:w="850"/>
          </w:tcPr>
          <w:p>
            <w:r/>
            <w:r>
              <w:rPr>
                <w:sz w:val="19"/>
              </w:rPr>
              <w:t>5</w:t>
            </w:r>
          </w:p>
        </w:tc>
        <w:tc>
          <w:tcPr>
            <w:tcW w:type="dxa" w:w="1417"/>
          </w:tcPr>
          <w:p>
            <w:r/>
            <w:r>
              <w:rPr>
                <w:sz w:val="19"/>
              </w:rPr>
              <w:t>SEQ</w:t>
            </w:r>
          </w:p>
        </w:tc>
        <w:tc>
          <w:tcPr>
            <w:tcW w:type="dxa" w:w="6803"/>
          </w:tcPr>
          <w:p>
            <w:r/>
            <w:r>
              <w:rPr>
                <w:sz w:val="19"/>
              </w:rPr>
              <w:t>8 bits.</w:t>
            </w:r>
          </w:p>
        </w:tc>
      </w:tr>
      <w:tr>
        <w:tc>
          <w:tcPr>
            <w:tcW w:type="dxa" w:w="850"/>
          </w:tcPr>
          <w:p>
            <w:r/>
            <w:r>
              <w:rPr>
                <w:sz w:val="19"/>
              </w:rPr>
              <w:t>6–7</w:t>
            </w:r>
          </w:p>
        </w:tc>
        <w:tc>
          <w:tcPr>
            <w:tcW w:type="dxa" w:w="1417"/>
          </w:tcPr>
          <w:p>
            <w:r/>
            <w:r>
              <w:rPr>
                <w:sz w:val="19"/>
              </w:rPr>
              <w:t>CRC</w:t>
            </w:r>
          </w:p>
        </w:tc>
        <w:tc>
          <w:tcPr>
            <w:tcW w:type="dxa" w:w="6803"/>
          </w:tcPr>
          <w:p>
            <w:r/>
            <w:r>
              <w:rPr>
                <w:sz w:val="19"/>
              </w:rPr>
              <w:t>CRC-16.</w:t>
            </w:r>
          </w:p>
        </w:tc>
      </w:tr>
    </w:tbl>
    <w:p/>
    <w:p>
      <w:pPr>
        <w:pStyle w:val="Heading3"/>
      </w:pPr>
      <w:r>
        <w:t>7.2 Règles</w:t>
      </w:r>
    </w:p>
    <w:p>
      <w:pPr>
        <w:pStyle w:val="ListBullet"/>
        <w:spacing w:after="40"/>
        <w:ind w:left="425"/>
      </w:pPr>
      <w:r>
        <w:t>Le heartbeat DOIT être émis même en silence nominal.</w:t>
      </w:r>
    </w:p>
    <w:p>
      <w:pPr>
        <w:pStyle w:val="ListBullet"/>
        <w:spacing w:after="40"/>
        <w:ind w:left="425"/>
      </w:pPr>
      <w:r>
        <w:t>Fréquence f_hb [FIGÉ] par classe (ADR §3, paramètre 3) : UAV 1 Hz (T_hb = 1 s), USV 0,5 Hz (T_hb = 2 s), UUV 0,2 Hz (T_hb = 5 s).</w:t>
      </w:r>
    </w:p>
    <w:p>
      <w:pPr>
        <w:pStyle w:val="ListBullet"/>
        <w:spacing w:after="40"/>
        <w:ind w:left="425"/>
      </w:pPr>
      <w:r>
        <w:t>Le heartbeat est la vérité de référence pour recadrer les modèles prédictifs.</w:t>
      </w:r>
    </w:p>
    <w:p>
      <w:pPr>
        <w:pStyle w:val="ListBullet"/>
        <w:spacing w:after="40"/>
        <w:ind w:left="425"/>
      </w:pPr>
      <w:r>
        <w:t>Un nœud qui ne reçoit pas de heartbeat d'un voisin pendant T_hb_max [FIGÉ] = 3 × T_hb (3 s / 6 s / 15 s selon la classe) DOIT considérer ce voisin comme perdu et le signaler (ADR §3, paramètre 10).</w:t>
      </w:r>
    </w:p>
    <w:tbl>
      <w:tblPr>
        <w:tblStyle w:val="TableGrid"/>
        <w:tblW w:type="auto" w:w="0"/>
        <w:tblLook w:firstColumn="1" w:firstRow="1" w:lastColumn="0" w:lastRow="0" w:noHBand="0" w:noVBand="1" w:val="04A0"/>
      </w:tblPr>
      <w:tblGrid>
        <w:gridCol w:w="8640"/>
      </w:tblGrid>
      <w:tr>
        <w:tc>
          <w:tcPr>
            <w:tcW w:type="dxa" w:w="8640"/>
            <w:shd w:val="clear" w:color="auto" w:fill="FDF3D8"/>
          </w:tcPr>
          <w:p>
            <w:r/>
            <w:r>
              <w:rPr>
                <w:b/>
                <w:color w:val="A31D1D"/>
                <w:sz w:val="20"/>
              </w:rPr>
              <w:t xml:space="preserve">Règle non négociable — </w:t>
            </w:r>
            <w:r>
              <w:rPr>
                <w:sz w:val="20"/>
              </w:rPr>
              <w:t>Sans heartbeat, l'inférence miroir diverge. Le heartbeat borne l'erreur de prédiction. Il ne peut pas être supprimé pour économiser de la bande passante.</w:t>
            </w:r>
          </w:p>
        </w:tc>
      </w:tr>
    </w:tbl>
    <w:p/>
    <w:p>
      <w:pPr>
        <w:pStyle w:val="Heading1"/>
      </w:pPr>
      <w:r>
        <w:t>Partie III — Couche 0 : prédiction</w:t>
      </w:r>
    </w:p>
    <w:p>
      <w:pPr>
        <w:pStyle w:val="Heading2"/>
      </w:pPr>
      <w:r>
        <w:t>8. Inférence miroir déterministe</w:t>
      </w:r>
    </w:p>
    <w:p>
      <w:pPr>
        <w:pStyle w:val="Heading3"/>
      </w:pPr>
      <w:r>
        <w:t>8.1 Principe</w:t>
      </w:r>
    </w:p>
    <w:p>
      <w:r>
        <w:rPr>
          <w:b w:val="0"/>
          <w:i w:val="0"/>
          <w:sz w:val="21"/>
        </w:rPr>
        <w:t>Chaque nœud maintient un modèle cinématique de ses voisins. Ce modèle est partagé (mêmes équations, mêmes paramètres pour tous) et déterministe.</w:t>
      </w:r>
    </w:p>
    <w:p>
      <w:pPr>
        <w:pStyle w:val="Heading3"/>
      </w:pPr>
      <w:r>
        <w:t>8.2 Modèle cinématique</w:t>
      </w:r>
    </w:p>
    <w:p>
      <w:r>
        <w:rPr>
          <w:b w:val="0"/>
          <w:i w:val="0"/>
          <w:sz w:val="21"/>
        </w:rPr>
        <w:t>Pour chaque voisin j, le nœud i maintient : p̂_j(t) position prédite, v̂_j(t) vitesse prédite, â_j(t) accélération prédite.</w:t>
      </w:r>
    </w:p>
    <w:p>
      <w:r>
        <w:rPr>
          <w:b/>
          <w:i w:val="0"/>
          <w:sz w:val="21"/>
        </w:rPr>
        <w:t>Équations de propagation (discrètes) :</w:t>
      </w:r>
    </w:p>
    <w:p>
      <w:pPr>
        <w:spacing w:after="80"/>
        <w:ind w:left="340"/>
      </w:pPr>
      <w:r>
        <w:rPr>
          <w:rFonts w:ascii="Consolas" w:hAnsi="Consolas"/>
          <w:color w:val="222222"/>
          <w:sz w:val="19"/>
        </w:rPr>
        <w:t>p̂_j(t+Δt) = p̂_j(t) + v̂_j(t)·Δt + ½·â_j(t)·Δt²</w:t>
        <w:br/>
        <w:t>v̂_j(t+Δt) = v̂_j(t) + â_j(t)·Δt</w:t>
        <w:br/>
        <w:t>â_j(t+Δt) = â_j(t)   (accélération constante par défaut)</w:t>
      </w:r>
    </w:p>
    <w:p>
      <w:r>
        <w:rPr>
          <w:b/>
          <w:i w:val="0"/>
          <w:sz w:val="21"/>
        </w:rPr>
        <w:t>Contraintes par classe (bornes physiques) :</w:t>
      </w:r>
    </w:p>
    <w:p>
      <w:pPr>
        <w:pStyle w:val="ListBullet"/>
        <w:spacing w:after="40"/>
        <w:ind w:left="425"/>
      </w:pPr>
      <w:r>
        <w:t>UAV : |v| ≤ v_max_UAV, |a| ≤ a_max_UAV.</w:t>
      </w:r>
    </w:p>
    <w:p>
      <w:pPr>
        <w:pStyle w:val="ListBullet"/>
        <w:spacing w:after="40"/>
        <w:ind w:left="425"/>
      </w:pPr>
      <w:r>
        <w:t>USV : |v| ≤ v_max_USV, |a| ≤ a_max_USV.</w:t>
      </w:r>
    </w:p>
    <w:p>
      <w:pPr>
        <w:pStyle w:val="ListBullet"/>
        <w:spacing w:after="40"/>
        <w:ind w:left="425"/>
      </w:pPr>
      <w:r>
        <w:t>UUV : |v| ≤ v_max_UUV, |a| ≤ a_max_UUV.</w:t>
      </w:r>
    </w:p>
    <w:p>
      <w:pPr>
        <w:pStyle w:val="ListBullet"/>
        <w:spacing w:after="40"/>
        <w:ind w:left="425"/>
      </w:pPr>
      <w:r>
        <w:t>Les bornes DOIVENT être appliquées après chaque propagation (saturation).</w:t>
      </w:r>
    </w:p>
    <w:p>
      <w:pPr>
        <w:pStyle w:val="Heading3"/>
      </w:pPr>
      <w:r>
        <w:t>8.3 Mise à jour sur réception</w:t>
      </w:r>
    </w:p>
    <w:p>
      <w:pPr>
        <w:pStyle w:val="ListBullet"/>
        <w:spacing w:after="40"/>
        <w:ind w:left="425"/>
      </w:pPr>
      <w:r>
        <w:t>Heartbeat ou trame S absolue : recadrage position, estimation vitesse et accélération.</w:t>
      </w:r>
    </w:p>
    <w:p>
      <w:pPr>
        <w:pStyle w:val="ListBullet"/>
        <w:spacing w:after="40"/>
        <w:ind w:left="425"/>
      </w:pPr>
      <w:r>
        <w:t>Trame D (delta) : p̂_j ← p̂_j + correction(direction, amplitude, signe).</w:t>
      </w:r>
    </w:p>
    <w:p>
      <w:pPr>
        <w:pStyle w:val="Heading3"/>
      </w:pPr>
      <w:r>
        <w:t>8.4 Erreur de prédiction</w:t>
      </w:r>
    </w:p>
    <w:p>
      <w:pPr>
        <w:pStyle w:val="ListBullet"/>
        <w:spacing w:after="40"/>
        <w:ind w:left="425"/>
      </w:pPr>
      <w:r>
        <w:t>e_j(t) = |p_j(t) − p̂_j(t)|.</w:t>
      </w:r>
    </w:p>
    <w:p>
      <w:pPr>
        <w:pStyle w:val="ListBullet"/>
        <w:spacing w:after="40"/>
        <w:ind w:left="425"/>
      </w:pPr>
      <w:r>
        <w:t>Grâce au heartbeat, e_j(t) DOIT rester inférieure à e_max [FIGÉ] par classe (ADR §3, paramètre 4) : UAV 1,0 m · USV 2,0 m · UUV 6,25 m.</w:t>
      </w:r>
    </w:p>
    <w:p>
      <w:pPr>
        <w:pStyle w:val="ListBullet"/>
        <w:spacing w:after="40"/>
        <w:ind w:left="425"/>
      </w:pPr>
      <w:r>
        <w:t>Si e_j &gt; e_max, le nœud DOIT forcer une transmission.</w:t>
      </w:r>
    </w:p>
    <w:p>
      <w:pPr>
        <w:pStyle w:val="Heading3"/>
      </w:pPr>
      <w:r>
        <w:t>8.5 Preuve informelle de non-divergence</w:t>
      </w:r>
    </w:p>
    <w:p>
      <w:r>
        <w:rPr>
          <w:b w:val="0"/>
          <w:i w:val="0"/>
          <w:sz w:val="21"/>
        </w:rPr>
        <w:t>Hypothèses : (1) modèle partagé et déterministe ; (2) heartbeat périodique de période T_hb ; (3) bornes physiques appliquées.</w:t>
      </w:r>
    </w:p>
    <w:p>
      <w:r>
        <w:rPr>
          <w:b w:val="0"/>
          <w:i w:val="0"/>
          <w:sz w:val="21"/>
        </w:rPr>
        <w:t>Argument : entre deux heartbeats, l'erreur croît au plus comme ½·a_max·T_hb² (terme d'accélération non modélisé). À chaque heartbeat, l'erreur est remise à zéro. Donc e_j(t) ≤ ½·a_max·T_hb² pour tout t. L'erreur est bornée.</w:t>
      </w:r>
    </w:p>
    <w:p>
      <w:r>
        <w:rPr>
          <w:b w:val="0"/>
          <w:i w:val="0"/>
          <w:sz w:val="21"/>
        </w:rPr>
        <w:t>Cette borne est cohérente avec la littérature sur le contrôle déclenché par événement (Dimarogonas et al., 2012), où la fréquence de communication est directement liée à la borne d'erreur admissible.</w:t>
      </w:r>
    </w:p>
    <w:p>
      <w:pPr>
        <w:pStyle w:val="Heading3"/>
      </w:pPr>
      <w:r>
        <w:t>8.6 Scénarios chiffrés du compromis T_hb / e_max</w:t>
      </w:r>
    </w:p>
    <w:p>
      <w:r>
        <w:rPr>
          <w:b w:val="0"/>
          <w:i w:val="0"/>
          <w:sz w:val="21"/>
        </w:rPr>
        <w:t>Le tableau suivant donne la borne d'erreur e_max = ½·a_max·T_hb² pour différentes combinaisons de période heartbeat et d'accélération maximale.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1F3A5F"/>
          </w:tcPr>
          <w:p>
            <w:r/>
            <w:r>
              <w:rPr>
                <w:b/>
                <w:color w:val="FFFFFF"/>
                <w:sz w:val="20"/>
              </w:rPr>
              <w:t>a_max (m/s²)</w:t>
            </w:r>
          </w:p>
        </w:tc>
        <w:tc>
          <w:tcPr>
            <w:tcW w:type="dxa" w:w="1417"/>
            <w:shd w:val="clear" w:color="auto" w:fill="1F3A5F"/>
          </w:tcPr>
          <w:p>
            <w:r/>
            <w:r>
              <w:rPr>
                <w:b/>
                <w:color w:val="FFFFFF"/>
                <w:sz w:val="20"/>
              </w:rPr>
              <w:t>T_hb (s)</w:t>
            </w:r>
          </w:p>
        </w:tc>
        <w:tc>
          <w:tcPr>
            <w:tcW w:type="dxa" w:w="1701"/>
            <w:shd w:val="clear" w:color="auto" w:fill="1F3A5F"/>
          </w:tcPr>
          <w:p>
            <w:r/>
            <w:r>
              <w:rPr>
                <w:b/>
                <w:color w:val="FFFFFF"/>
                <w:sz w:val="20"/>
              </w:rPr>
              <w:t>e_max (m)</w:t>
            </w:r>
          </w:p>
        </w:tc>
        <w:tc>
          <w:tcPr>
            <w:tcW w:type="dxa" w:w="3118"/>
            <w:shd w:val="clear" w:color="auto" w:fill="1F3A5F"/>
          </w:tcPr>
          <w:p>
            <w:r/>
            <w:r>
              <w:rPr>
                <w:b/>
                <w:color w:val="FFFFFF"/>
                <w:sz w:val="20"/>
              </w:rPr>
              <w:t>Débit heartbeat (trames/s/nœud)</w:t>
            </w:r>
          </w:p>
        </w:tc>
      </w:tr>
      <w:tr>
        <w:tc>
          <w:tcPr>
            <w:tcW w:type="dxa" w:w="1701"/>
          </w:tcPr>
          <w:p>
            <w:r/>
            <w:r>
              <w:rPr>
                <w:sz w:val="19"/>
              </w:rPr>
              <w:t>1,0</w:t>
            </w:r>
          </w:p>
        </w:tc>
        <w:tc>
          <w:tcPr>
            <w:tcW w:type="dxa" w:w="1417"/>
          </w:tcPr>
          <w:p>
            <w:r/>
            <w:r>
              <w:rPr>
                <w:sz w:val="19"/>
              </w:rPr>
              <w:t>0,5</w:t>
            </w:r>
          </w:p>
        </w:tc>
        <w:tc>
          <w:tcPr>
            <w:tcW w:type="dxa" w:w="1701"/>
          </w:tcPr>
          <w:p>
            <w:r/>
            <w:r>
              <w:rPr>
                <w:sz w:val="19"/>
              </w:rPr>
              <w:t>0,12</w:t>
            </w:r>
          </w:p>
        </w:tc>
        <w:tc>
          <w:tcPr>
            <w:tcW w:type="dxa" w:w="3118"/>
          </w:tcPr>
          <w:p>
            <w:r/>
            <w:r>
              <w:rPr>
                <w:sz w:val="19"/>
              </w:rPr>
              <w:t>2,00</w:t>
            </w:r>
          </w:p>
        </w:tc>
      </w:tr>
      <w:tr>
        <w:tc>
          <w:tcPr>
            <w:tcW w:type="dxa" w:w="1701"/>
          </w:tcPr>
          <w:p>
            <w:r/>
            <w:r>
              <w:rPr>
                <w:sz w:val="19"/>
              </w:rPr>
              <w:t>1,0</w:t>
            </w:r>
          </w:p>
        </w:tc>
        <w:tc>
          <w:tcPr>
            <w:tcW w:type="dxa" w:w="1417"/>
          </w:tcPr>
          <w:p>
            <w:r/>
            <w:r>
              <w:rPr>
                <w:sz w:val="19"/>
              </w:rPr>
              <w:t>1</w:t>
            </w:r>
          </w:p>
        </w:tc>
        <w:tc>
          <w:tcPr>
            <w:tcW w:type="dxa" w:w="1701"/>
          </w:tcPr>
          <w:p>
            <w:r/>
            <w:r>
              <w:rPr>
                <w:sz w:val="19"/>
              </w:rPr>
              <w:t>0,50</w:t>
            </w:r>
          </w:p>
        </w:tc>
        <w:tc>
          <w:tcPr>
            <w:tcW w:type="dxa" w:w="3118"/>
          </w:tcPr>
          <w:p>
            <w:r/>
            <w:r>
              <w:rPr>
                <w:sz w:val="19"/>
              </w:rPr>
              <w:t>1,00</w:t>
            </w:r>
          </w:p>
        </w:tc>
      </w:tr>
      <w:tr>
        <w:tc>
          <w:tcPr>
            <w:tcW w:type="dxa" w:w="1701"/>
          </w:tcPr>
          <w:p>
            <w:r/>
            <w:r>
              <w:rPr>
                <w:sz w:val="19"/>
              </w:rPr>
              <w:t>1,0</w:t>
            </w:r>
          </w:p>
        </w:tc>
        <w:tc>
          <w:tcPr>
            <w:tcW w:type="dxa" w:w="1417"/>
          </w:tcPr>
          <w:p>
            <w:r/>
            <w:r>
              <w:rPr>
                <w:sz w:val="19"/>
              </w:rPr>
              <w:t>2</w:t>
            </w:r>
          </w:p>
        </w:tc>
        <w:tc>
          <w:tcPr>
            <w:tcW w:type="dxa" w:w="1701"/>
          </w:tcPr>
          <w:p>
            <w:r/>
            <w:r>
              <w:rPr>
                <w:sz w:val="19"/>
              </w:rPr>
              <w:t>2,00</w:t>
            </w:r>
          </w:p>
        </w:tc>
        <w:tc>
          <w:tcPr>
            <w:tcW w:type="dxa" w:w="3118"/>
          </w:tcPr>
          <w:p>
            <w:r/>
            <w:r>
              <w:rPr>
                <w:sz w:val="19"/>
              </w:rPr>
              <w:t>0,50</w:t>
            </w:r>
          </w:p>
        </w:tc>
      </w:tr>
      <w:tr>
        <w:tc>
          <w:tcPr>
            <w:tcW w:type="dxa" w:w="1701"/>
          </w:tcPr>
          <w:p>
            <w:r/>
            <w:r>
              <w:rPr>
                <w:sz w:val="19"/>
              </w:rPr>
              <w:t>1,0</w:t>
            </w:r>
          </w:p>
        </w:tc>
        <w:tc>
          <w:tcPr>
            <w:tcW w:type="dxa" w:w="1417"/>
          </w:tcPr>
          <w:p>
            <w:r/>
            <w:r>
              <w:rPr>
                <w:sz w:val="19"/>
              </w:rPr>
              <w:t>5</w:t>
            </w:r>
          </w:p>
        </w:tc>
        <w:tc>
          <w:tcPr>
            <w:tcW w:type="dxa" w:w="1701"/>
          </w:tcPr>
          <w:p>
            <w:r/>
            <w:r>
              <w:rPr>
                <w:sz w:val="19"/>
              </w:rPr>
              <w:t>12,50</w:t>
            </w:r>
          </w:p>
        </w:tc>
        <w:tc>
          <w:tcPr>
            <w:tcW w:type="dxa" w:w="3118"/>
          </w:tcPr>
          <w:p>
            <w:r/>
            <w:r>
              <w:rPr>
                <w:sz w:val="19"/>
              </w:rPr>
              <w:t>0,20</w:t>
            </w:r>
          </w:p>
        </w:tc>
      </w:tr>
      <w:tr>
        <w:tc>
          <w:tcPr>
            <w:tcW w:type="dxa" w:w="1701"/>
          </w:tcPr>
          <w:p>
            <w:r/>
            <w:r>
              <w:rPr>
                <w:sz w:val="19"/>
              </w:rPr>
              <w:t>1,0</w:t>
            </w:r>
          </w:p>
        </w:tc>
        <w:tc>
          <w:tcPr>
            <w:tcW w:type="dxa" w:w="1417"/>
          </w:tcPr>
          <w:p>
            <w:r/>
            <w:r>
              <w:rPr>
                <w:sz w:val="19"/>
              </w:rPr>
              <w:t>10</w:t>
            </w:r>
          </w:p>
        </w:tc>
        <w:tc>
          <w:tcPr>
            <w:tcW w:type="dxa" w:w="1701"/>
          </w:tcPr>
          <w:p>
            <w:r/>
            <w:r>
              <w:rPr>
                <w:sz w:val="19"/>
              </w:rPr>
              <w:t>50,00</w:t>
            </w:r>
          </w:p>
        </w:tc>
        <w:tc>
          <w:tcPr>
            <w:tcW w:type="dxa" w:w="3118"/>
          </w:tcPr>
          <w:p>
            <w:r/>
            <w:r>
              <w:rPr>
                <w:sz w:val="19"/>
              </w:rPr>
              <w:t>0,10</w:t>
            </w:r>
          </w:p>
        </w:tc>
      </w:tr>
      <w:tr>
        <w:tc>
          <w:tcPr>
            <w:tcW w:type="dxa" w:w="1701"/>
          </w:tcPr>
          <w:p>
            <w:r/>
            <w:r>
              <w:rPr>
                <w:sz w:val="19"/>
              </w:rPr>
              <w:t>2,0</w:t>
            </w:r>
          </w:p>
        </w:tc>
        <w:tc>
          <w:tcPr>
            <w:tcW w:type="dxa" w:w="1417"/>
          </w:tcPr>
          <w:p>
            <w:r/>
            <w:r>
              <w:rPr>
                <w:sz w:val="19"/>
              </w:rPr>
              <w:t>0,5</w:t>
            </w:r>
          </w:p>
        </w:tc>
        <w:tc>
          <w:tcPr>
            <w:tcW w:type="dxa" w:w="1701"/>
          </w:tcPr>
          <w:p>
            <w:r/>
            <w:r>
              <w:rPr>
                <w:sz w:val="19"/>
              </w:rPr>
              <w:t>0,25</w:t>
            </w:r>
          </w:p>
        </w:tc>
        <w:tc>
          <w:tcPr>
            <w:tcW w:type="dxa" w:w="3118"/>
          </w:tcPr>
          <w:p>
            <w:r/>
            <w:r>
              <w:rPr>
                <w:sz w:val="19"/>
              </w:rPr>
              <w:t>2,00</w:t>
            </w:r>
          </w:p>
        </w:tc>
      </w:tr>
      <w:tr>
        <w:tc>
          <w:tcPr>
            <w:tcW w:type="dxa" w:w="1701"/>
          </w:tcPr>
          <w:p>
            <w:r/>
            <w:r>
              <w:rPr>
                <w:sz w:val="19"/>
              </w:rPr>
              <w:t>2,0</w:t>
            </w:r>
          </w:p>
        </w:tc>
        <w:tc>
          <w:tcPr>
            <w:tcW w:type="dxa" w:w="1417"/>
          </w:tcPr>
          <w:p>
            <w:r/>
            <w:r>
              <w:rPr>
                <w:sz w:val="19"/>
              </w:rPr>
              <w:t>1</w:t>
            </w:r>
          </w:p>
        </w:tc>
        <w:tc>
          <w:tcPr>
            <w:tcW w:type="dxa" w:w="1701"/>
          </w:tcPr>
          <w:p>
            <w:r/>
            <w:r>
              <w:rPr>
                <w:sz w:val="19"/>
              </w:rPr>
              <w:t>1,00</w:t>
            </w:r>
          </w:p>
        </w:tc>
        <w:tc>
          <w:tcPr>
            <w:tcW w:type="dxa" w:w="3118"/>
          </w:tcPr>
          <w:p>
            <w:r/>
            <w:r>
              <w:rPr>
                <w:sz w:val="19"/>
              </w:rPr>
              <w:t>1,00</w:t>
            </w:r>
          </w:p>
        </w:tc>
      </w:tr>
      <w:tr>
        <w:tc>
          <w:tcPr>
            <w:tcW w:type="dxa" w:w="1701"/>
          </w:tcPr>
          <w:p>
            <w:r/>
            <w:r>
              <w:rPr>
                <w:sz w:val="19"/>
              </w:rPr>
              <w:t>2,0</w:t>
            </w:r>
          </w:p>
        </w:tc>
        <w:tc>
          <w:tcPr>
            <w:tcW w:type="dxa" w:w="1417"/>
          </w:tcPr>
          <w:p>
            <w:r/>
            <w:r>
              <w:rPr>
                <w:sz w:val="19"/>
              </w:rPr>
              <w:t>2</w:t>
            </w:r>
          </w:p>
        </w:tc>
        <w:tc>
          <w:tcPr>
            <w:tcW w:type="dxa" w:w="1701"/>
          </w:tcPr>
          <w:p>
            <w:r/>
            <w:r>
              <w:rPr>
                <w:sz w:val="19"/>
              </w:rPr>
              <w:t>4,00</w:t>
            </w:r>
          </w:p>
        </w:tc>
        <w:tc>
          <w:tcPr>
            <w:tcW w:type="dxa" w:w="3118"/>
          </w:tcPr>
          <w:p>
            <w:r/>
            <w:r>
              <w:rPr>
                <w:sz w:val="19"/>
              </w:rPr>
              <w:t>0,50</w:t>
            </w:r>
          </w:p>
        </w:tc>
      </w:tr>
      <w:tr>
        <w:tc>
          <w:tcPr>
            <w:tcW w:type="dxa" w:w="1701"/>
          </w:tcPr>
          <w:p>
            <w:r/>
            <w:r>
              <w:rPr>
                <w:sz w:val="19"/>
              </w:rPr>
              <w:t>2,0</w:t>
            </w:r>
          </w:p>
        </w:tc>
        <w:tc>
          <w:tcPr>
            <w:tcW w:type="dxa" w:w="1417"/>
          </w:tcPr>
          <w:p>
            <w:r/>
            <w:r>
              <w:rPr>
                <w:sz w:val="19"/>
              </w:rPr>
              <w:t>5</w:t>
            </w:r>
          </w:p>
        </w:tc>
        <w:tc>
          <w:tcPr>
            <w:tcW w:type="dxa" w:w="1701"/>
          </w:tcPr>
          <w:p>
            <w:r/>
            <w:r>
              <w:rPr>
                <w:sz w:val="19"/>
              </w:rPr>
              <w:t>25,00</w:t>
            </w:r>
          </w:p>
        </w:tc>
        <w:tc>
          <w:tcPr>
            <w:tcW w:type="dxa" w:w="3118"/>
          </w:tcPr>
          <w:p>
            <w:r/>
            <w:r>
              <w:rPr>
                <w:sz w:val="19"/>
              </w:rPr>
              <w:t>0,20</w:t>
            </w:r>
          </w:p>
        </w:tc>
      </w:tr>
      <w:tr>
        <w:tc>
          <w:tcPr>
            <w:tcW w:type="dxa" w:w="1701"/>
          </w:tcPr>
          <w:p>
            <w:r/>
            <w:r>
              <w:rPr>
                <w:sz w:val="19"/>
              </w:rPr>
              <w:t>2,0</w:t>
            </w:r>
          </w:p>
        </w:tc>
        <w:tc>
          <w:tcPr>
            <w:tcW w:type="dxa" w:w="1417"/>
          </w:tcPr>
          <w:p>
            <w:r/>
            <w:r>
              <w:rPr>
                <w:sz w:val="19"/>
              </w:rPr>
              <w:t>10</w:t>
            </w:r>
          </w:p>
        </w:tc>
        <w:tc>
          <w:tcPr>
            <w:tcW w:type="dxa" w:w="1701"/>
          </w:tcPr>
          <w:p>
            <w:r/>
            <w:r>
              <w:rPr>
                <w:sz w:val="19"/>
              </w:rPr>
              <w:t>100,00</w:t>
            </w:r>
          </w:p>
        </w:tc>
        <w:tc>
          <w:tcPr>
            <w:tcW w:type="dxa" w:w="3118"/>
          </w:tcPr>
          <w:p>
            <w:r/>
            <w:r>
              <w:rPr>
                <w:sz w:val="19"/>
              </w:rPr>
              <w:t>0,10</w:t>
            </w:r>
          </w:p>
        </w:tc>
      </w:tr>
      <w:tr>
        <w:tc>
          <w:tcPr>
            <w:tcW w:type="dxa" w:w="1701"/>
          </w:tcPr>
          <w:p>
            <w:r/>
            <w:r>
              <w:rPr>
                <w:sz w:val="19"/>
              </w:rPr>
              <w:t>5,0</w:t>
            </w:r>
          </w:p>
        </w:tc>
        <w:tc>
          <w:tcPr>
            <w:tcW w:type="dxa" w:w="1417"/>
          </w:tcPr>
          <w:p>
            <w:r/>
            <w:r>
              <w:rPr>
                <w:sz w:val="19"/>
              </w:rPr>
              <w:t>0,5</w:t>
            </w:r>
          </w:p>
        </w:tc>
        <w:tc>
          <w:tcPr>
            <w:tcW w:type="dxa" w:w="1701"/>
          </w:tcPr>
          <w:p>
            <w:r/>
            <w:r>
              <w:rPr>
                <w:sz w:val="19"/>
              </w:rPr>
              <w:t>0,62</w:t>
            </w:r>
          </w:p>
        </w:tc>
        <w:tc>
          <w:tcPr>
            <w:tcW w:type="dxa" w:w="3118"/>
          </w:tcPr>
          <w:p>
            <w:r/>
            <w:r>
              <w:rPr>
                <w:sz w:val="19"/>
              </w:rPr>
              <w:t>2,00</w:t>
            </w:r>
          </w:p>
        </w:tc>
      </w:tr>
      <w:tr>
        <w:tc>
          <w:tcPr>
            <w:tcW w:type="dxa" w:w="1701"/>
          </w:tcPr>
          <w:p>
            <w:r/>
            <w:r>
              <w:rPr>
                <w:sz w:val="19"/>
              </w:rPr>
              <w:t>5,0</w:t>
            </w:r>
          </w:p>
        </w:tc>
        <w:tc>
          <w:tcPr>
            <w:tcW w:type="dxa" w:w="1417"/>
          </w:tcPr>
          <w:p>
            <w:r/>
            <w:r>
              <w:rPr>
                <w:sz w:val="19"/>
              </w:rPr>
              <w:t>1</w:t>
            </w:r>
          </w:p>
        </w:tc>
        <w:tc>
          <w:tcPr>
            <w:tcW w:type="dxa" w:w="1701"/>
          </w:tcPr>
          <w:p>
            <w:r/>
            <w:r>
              <w:rPr>
                <w:sz w:val="19"/>
              </w:rPr>
              <w:t>2,50</w:t>
            </w:r>
          </w:p>
        </w:tc>
        <w:tc>
          <w:tcPr>
            <w:tcW w:type="dxa" w:w="3118"/>
          </w:tcPr>
          <w:p>
            <w:r/>
            <w:r>
              <w:rPr>
                <w:sz w:val="19"/>
              </w:rPr>
              <w:t>1,00</w:t>
            </w:r>
          </w:p>
        </w:tc>
      </w:tr>
      <w:tr>
        <w:tc>
          <w:tcPr>
            <w:tcW w:type="dxa" w:w="1701"/>
          </w:tcPr>
          <w:p>
            <w:r/>
            <w:r>
              <w:rPr>
                <w:sz w:val="19"/>
              </w:rPr>
              <w:t>5,0</w:t>
            </w:r>
          </w:p>
        </w:tc>
        <w:tc>
          <w:tcPr>
            <w:tcW w:type="dxa" w:w="1417"/>
          </w:tcPr>
          <w:p>
            <w:r/>
            <w:r>
              <w:rPr>
                <w:sz w:val="19"/>
              </w:rPr>
              <w:t>2</w:t>
            </w:r>
          </w:p>
        </w:tc>
        <w:tc>
          <w:tcPr>
            <w:tcW w:type="dxa" w:w="1701"/>
          </w:tcPr>
          <w:p>
            <w:r/>
            <w:r>
              <w:rPr>
                <w:sz w:val="19"/>
              </w:rPr>
              <w:t>10,00</w:t>
            </w:r>
          </w:p>
        </w:tc>
        <w:tc>
          <w:tcPr>
            <w:tcW w:type="dxa" w:w="3118"/>
          </w:tcPr>
          <w:p>
            <w:r/>
            <w:r>
              <w:rPr>
                <w:sz w:val="19"/>
              </w:rPr>
              <w:t>0,50</w:t>
            </w:r>
          </w:p>
        </w:tc>
      </w:tr>
      <w:tr>
        <w:tc>
          <w:tcPr>
            <w:tcW w:type="dxa" w:w="1701"/>
          </w:tcPr>
          <w:p>
            <w:r/>
            <w:r>
              <w:rPr>
                <w:sz w:val="19"/>
              </w:rPr>
              <w:t>5,0</w:t>
            </w:r>
          </w:p>
        </w:tc>
        <w:tc>
          <w:tcPr>
            <w:tcW w:type="dxa" w:w="1417"/>
          </w:tcPr>
          <w:p>
            <w:r/>
            <w:r>
              <w:rPr>
                <w:sz w:val="19"/>
              </w:rPr>
              <w:t>5</w:t>
            </w:r>
          </w:p>
        </w:tc>
        <w:tc>
          <w:tcPr>
            <w:tcW w:type="dxa" w:w="1701"/>
          </w:tcPr>
          <w:p>
            <w:r/>
            <w:r>
              <w:rPr>
                <w:sz w:val="19"/>
              </w:rPr>
              <w:t>62,50</w:t>
            </w:r>
          </w:p>
        </w:tc>
        <w:tc>
          <w:tcPr>
            <w:tcW w:type="dxa" w:w="3118"/>
          </w:tcPr>
          <w:p>
            <w:r/>
            <w:r>
              <w:rPr>
                <w:sz w:val="19"/>
              </w:rPr>
              <w:t>0,20</w:t>
            </w:r>
          </w:p>
        </w:tc>
      </w:tr>
      <w:tr>
        <w:tc>
          <w:tcPr>
            <w:tcW w:type="dxa" w:w="1701"/>
          </w:tcPr>
          <w:p>
            <w:r/>
            <w:r>
              <w:rPr>
                <w:sz w:val="19"/>
              </w:rPr>
              <w:t>5,0</w:t>
            </w:r>
          </w:p>
        </w:tc>
        <w:tc>
          <w:tcPr>
            <w:tcW w:type="dxa" w:w="1417"/>
          </w:tcPr>
          <w:p>
            <w:r/>
            <w:r>
              <w:rPr>
                <w:sz w:val="19"/>
              </w:rPr>
              <w:t>10</w:t>
            </w:r>
          </w:p>
        </w:tc>
        <w:tc>
          <w:tcPr>
            <w:tcW w:type="dxa" w:w="1701"/>
          </w:tcPr>
          <w:p>
            <w:r/>
            <w:r>
              <w:rPr>
                <w:sz w:val="19"/>
              </w:rPr>
              <w:t>250,00</w:t>
            </w:r>
          </w:p>
        </w:tc>
        <w:tc>
          <w:tcPr>
            <w:tcW w:type="dxa" w:w="3118"/>
          </w:tcPr>
          <w:p>
            <w:r/>
            <w:r>
              <w:rPr>
                <w:sz w:val="19"/>
              </w:rPr>
              <w:t>0,10</w:t>
            </w:r>
          </w:p>
        </w:tc>
      </w:tr>
    </w:tbl>
    <w:p/>
    <w:p>
      <w:pPr>
        <w:jc w:val="center"/>
      </w:pPr>
      <w:r>
        <w:drawing>
          <wp:inline xmlns:a="http://schemas.openxmlformats.org/drawingml/2006/main" xmlns:pic="http://schemas.openxmlformats.org/drawingml/2006/picture">
            <wp:extent cx="5580000" cy="2206183"/>
            <wp:docPr id="4" name="Picture 4"/>
            <wp:cNvGraphicFramePr>
              <a:graphicFrameLocks noChangeAspect="1"/>
            </wp:cNvGraphicFramePr>
            <a:graphic>
              <a:graphicData uri="http://schemas.openxmlformats.org/drawingml/2006/picture">
                <pic:pic>
                  <pic:nvPicPr>
                    <pic:cNvPr id="0" name="fig3_compromis.png"/>
                    <pic:cNvPicPr/>
                  </pic:nvPicPr>
                  <pic:blipFill>
                    <a:blip r:embed="rId12"/>
                    <a:stretch>
                      <a:fillRect/>
                    </a:stretch>
                  </pic:blipFill>
                  <pic:spPr>
                    <a:xfrm>
                      <a:off x="0" y="0"/>
                      <a:ext cx="5580000" cy="2206183"/>
                    </a:xfrm>
                    <a:prstGeom prst="rect"/>
                  </pic:spPr>
                </pic:pic>
              </a:graphicData>
            </a:graphic>
          </wp:inline>
        </w:drawing>
      </w:r>
    </w:p>
    <w:p>
      <w:pPr>
        <w:jc w:val="center"/>
      </w:pPr>
      <w:r>
        <w:rPr>
          <w:i/>
          <w:color w:val="555555"/>
          <w:sz w:val="18"/>
        </w:rPr>
        <w:t>Figure 4 — Compromis entre borne d'erreur (gauche) et coût en bande passante (droite).</w:t>
      </w:r>
    </w:p>
    <w:p>
      <w:r>
        <w:rPr>
          <w:b/>
          <w:i w:val="0"/>
          <w:sz w:val="21"/>
        </w:rPr>
        <w:t>Coût en bande passante du heartbeat (200 nœuds, trame H = 8 octets = 64 bits) :</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1F3A5F"/>
          </w:tcPr>
          <w:p>
            <w:r/>
            <w:r>
              <w:rPr>
                <w:b/>
                <w:color w:val="FFFFFF"/>
                <w:sz w:val="20"/>
              </w:rPr>
              <w:t>T_hb (s)</w:t>
            </w:r>
          </w:p>
        </w:tc>
        <w:tc>
          <w:tcPr>
            <w:tcW w:type="dxa" w:w="2835"/>
            <w:shd w:val="clear" w:color="auto" w:fill="1F3A5F"/>
          </w:tcPr>
          <w:p>
            <w:r/>
            <w:r>
              <w:rPr>
                <w:b/>
                <w:color w:val="FFFFFF"/>
                <w:sz w:val="20"/>
              </w:rPr>
              <w:t>Débit par nœud (bit/s)</w:t>
            </w:r>
          </w:p>
        </w:tc>
        <w:tc>
          <w:tcPr>
            <w:tcW w:type="dxa" w:w="2835"/>
            <w:shd w:val="clear" w:color="auto" w:fill="1F3A5F"/>
          </w:tcPr>
          <w:p>
            <w:r/>
            <w:r>
              <w:rPr>
                <w:b/>
                <w:color w:val="FFFFFF"/>
                <w:sz w:val="20"/>
              </w:rPr>
              <w:t>Débit essaim (kbit/s)</w:t>
            </w:r>
          </w:p>
        </w:tc>
      </w:tr>
      <w:tr>
        <w:tc>
          <w:tcPr>
            <w:tcW w:type="dxa" w:w="1701"/>
          </w:tcPr>
          <w:p>
            <w:r/>
            <w:r>
              <w:rPr>
                <w:sz w:val="19"/>
              </w:rPr>
              <w:t>0,5</w:t>
            </w:r>
          </w:p>
        </w:tc>
        <w:tc>
          <w:tcPr>
            <w:tcW w:type="dxa" w:w="2835"/>
          </w:tcPr>
          <w:p>
            <w:r/>
            <w:r>
              <w:rPr>
                <w:sz w:val="19"/>
              </w:rPr>
              <w:t>128,0</w:t>
            </w:r>
          </w:p>
        </w:tc>
        <w:tc>
          <w:tcPr>
            <w:tcW w:type="dxa" w:w="2835"/>
          </w:tcPr>
          <w:p>
            <w:r/>
            <w:r>
              <w:rPr>
                <w:sz w:val="19"/>
              </w:rPr>
              <w:t>25,60</w:t>
            </w:r>
          </w:p>
        </w:tc>
      </w:tr>
      <w:tr>
        <w:tc>
          <w:tcPr>
            <w:tcW w:type="dxa" w:w="1701"/>
          </w:tcPr>
          <w:p>
            <w:r/>
            <w:r>
              <w:rPr>
                <w:sz w:val="19"/>
              </w:rPr>
              <w:t>1</w:t>
            </w:r>
          </w:p>
        </w:tc>
        <w:tc>
          <w:tcPr>
            <w:tcW w:type="dxa" w:w="2835"/>
          </w:tcPr>
          <w:p>
            <w:r/>
            <w:r>
              <w:rPr>
                <w:sz w:val="19"/>
              </w:rPr>
              <w:t>64,0</w:t>
            </w:r>
          </w:p>
        </w:tc>
        <w:tc>
          <w:tcPr>
            <w:tcW w:type="dxa" w:w="2835"/>
          </w:tcPr>
          <w:p>
            <w:r/>
            <w:r>
              <w:rPr>
                <w:sz w:val="19"/>
              </w:rPr>
              <w:t>12,80</w:t>
            </w:r>
          </w:p>
        </w:tc>
      </w:tr>
      <w:tr>
        <w:tc>
          <w:tcPr>
            <w:tcW w:type="dxa" w:w="1701"/>
          </w:tcPr>
          <w:p>
            <w:r/>
            <w:r>
              <w:rPr>
                <w:sz w:val="19"/>
              </w:rPr>
              <w:t>2</w:t>
            </w:r>
          </w:p>
        </w:tc>
        <w:tc>
          <w:tcPr>
            <w:tcW w:type="dxa" w:w="2835"/>
          </w:tcPr>
          <w:p>
            <w:r/>
            <w:r>
              <w:rPr>
                <w:sz w:val="19"/>
              </w:rPr>
              <w:t>32,0</w:t>
            </w:r>
          </w:p>
        </w:tc>
        <w:tc>
          <w:tcPr>
            <w:tcW w:type="dxa" w:w="2835"/>
          </w:tcPr>
          <w:p>
            <w:r/>
            <w:r>
              <w:rPr>
                <w:sz w:val="19"/>
              </w:rPr>
              <w:t>6,40</w:t>
            </w:r>
          </w:p>
        </w:tc>
      </w:tr>
      <w:tr>
        <w:tc>
          <w:tcPr>
            <w:tcW w:type="dxa" w:w="1701"/>
          </w:tcPr>
          <w:p>
            <w:r/>
            <w:r>
              <w:rPr>
                <w:sz w:val="19"/>
              </w:rPr>
              <w:t>5</w:t>
            </w:r>
          </w:p>
        </w:tc>
        <w:tc>
          <w:tcPr>
            <w:tcW w:type="dxa" w:w="2835"/>
          </w:tcPr>
          <w:p>
            <w:r/>
            <w:r>
              <w:rPr>
                <w:sz w:val="19"/>
              </w:rPr>
              <w:t>12,8</w:t>
            </w:r>
          </w:p>
        </w:tc>
        <w:tc>
          <w:tcPr>
            <w:tcW w:type="dxa" w:w="2835"/>
          </w:tcPr>
          <w:p>
            <w:r/>
            <w:r>
              <w:rPr>
                <w:sz w:val="19"/>
              </w:rPr>
              <w:t>2,56</w:t>
            </w:r>
          </w:p>
        </w:tc>
      </w:tr>
      <w:tr>
        <w:tc>
          <w:tcPr>
            <w:tcW w:type="dxa" w:w="1701"/>
          </w:tcPr>
          <w:p>
            <w:r/>
            <w:r>
              <w:rPr>
                <w:sz w:val="19"/>
              </w:rPr>
              <w:t>10</w:t>
            </w:r>
          </w:p>
        </w:tc>
        <w:tc>
          <w:tcPr>
            <w:tcW w:type="dxa" w:w="2835"/>
          </w:tcPr>
          <w:p>
            <w:r/>
            <w:r>
              <w:rPr>
                <w:sz w:val="19"/>
              </w:rPr>
              <w:t>6,4</w:t>
            </w:r>
          </w:p>
        </w:tc>
        <w:tc>
          <w:tcPr>
            <w:tcW w:type="dxa" w:w="2835"/>
          </w:tcPr>
          <w:p>
            <w:r/>
            <w:r>
              <w:rPr>
                <w:sz w:val="19"/>
              </w:rPr>
              <w:t>1,28</w:t>
            </w:r>
          </w:p>
        </w:tc>
      </w:tr>
    </w:tbl>
    <w:p/>
    <w:p>
      <w:r>
        <w:rPr>
          <w:b/>
          <w:i w:val="0"/>
          <w:sz w:val="21"/>
        </w:rPr>
        <w:t>Confrontation aux capacités acoustiques réelles :</w:t>
      </w:r>
    </w:p>
    <w:p>
      <w:r>
        <w:rPr>
          <w:b w:val="0"/>
          <w:i w:val="0"/>
          <w:sz w:val="21"/>
        </w:rPr>
        <w:t>Les modems acoustiques sous-marins offrent typiquement de 100 bit/s à 10 kbit/s (Akyildiz et al., 2005). À 200 nœuds :</w:t>
      </w:r>
    </w:p>
    <w:p>
      <w:pPr>
        <w:pStyle w:val="ListBullet"/>
        <w:spacing w:after="40"/>
        <w:ind w:left="425"/>
      </w:pPr>
      <w:r>
        <w:t>À 100 bit/s : 1,6 heartbeat/s simultané possible — insuffisant pour un heartbeat à 1 Hz sur tout l'essaim.</w:t>
      </w:r>
    </w:p>
    <w:p>
      <w:pPr>
        <w:pStyle w:val="ListBullet"/>
        <w:spacing w:after="40"/>
        <w:ind w:left="425"/>
      </w:pPr>
      <w:r>
        <w:t>À 1 kbit/s : 15,6 heartbeats/s — insuffisant pour 200 nœuds à 1 Hz.</w:t>
      </w:r>
    </w:p>
    <w:p>
      <w:pPr>
        <w:pStyle w:val="ListBullet"/>
        <w:spacing w:after="40"/>
        <w:ind w:left="425"/>
      </w:pPr>
      <w:r>
        <w:t>À 10 kbit/s : 156 heartbeats/s — toujours insuffisant pour 200 nœuds à 1 Hz.</w:t>
      </w:r>
    </w:p>
    <w:tbl>
      <w:tblPr>
        <w:tblStyle w:val="TableGrid"/>
        <w:tblW w:type="auto" w:w="0"/>
        <w:tblLook w:firstColumn="1" w:firstRow="1" w:lastColumn="0" w:lastRow="0" w:noHBand="0" w:noVBand="1" w:val="04A0"/>
      </w:tblPr>
      <w:tblGrid>
        <w:gridCol w:w="8640"/>
      </w:tblGrid>
      <w:tr>
        <w:tc>
          <w:tcPr>
            <w:tcW w:type="dxa" w:w="8640"/>
            <w:shd w:val="clear" w:color="auto" w:fill="FDF3D8"/>
          </w:tcPr>
          <w:p>
            <w:r/>
            <w:r>
              <w:rPr>
                <w:b/>
                <w:color w:val="A31D1D"/>
                <w:sz w:val="20"/>
              </w:rPr>
              <w:t xml:space="preserve">Conclusion chiffrée — </w:t>
            </w:r>
            <w:r>
              <w:rPr>
                <w:sz w:val="20"/>
              </w:rPr>
              <w:t>Le heartbeat à 1 Hz sur 200 nœuds coûte 12,8 kbit/s, ce qui dépasse la capacité d'un canal acoustique unique. Trois conséquences : (1) le heartbeat ne peut pas être global — il doit être limité au voisinage local ; (2) la hiérarchie par hubs est indispensable, chaque hub ne recadrant que son cluster ; (3) pour les UUV, T_hb doit être allongé (5–10 s) au prix d'une borne d'erreur plus grande, ou la prédiction doit être renforcée par des trames D plus fréquentes. Ce calcul conditionne la viabilité du silence prédictif à 200 drones.</w:t>
            </w:r>
          </w:p>
        </w:tc>
      </w:tr>
    </w:tbl>
    <w:p/>
    <w:p>
      <w:r>
        <w:rPr>
          <w:b/>
          <w:i w:val="0"/>
          <w:sz w:val="21"/>
        </w:rPr>
        <w:t>Recommandation de paramétrage par classe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val="clear" w:color="auto" w:fill="1F3A5F"/>
          </w:tcPr>
          <w:p>
            <w:r/>
            <w:r>
              <w:rPr>
                <w:b/>
                <w:color w:val="FFFFFF"/>
                <w:sz w:val="20"/>
              </w:rPr>
              <w:t>Classe</w:t>
            </w:r>
          </w:p>
        </w:tc>
        <w:tc>
          <w:tcPr>
            <w:tcW w:type="dxa" w:w="1134"/>
            <w:shd w:val="clear" w:color="auto" w:fill="1F3A5F"/>
          </w:tcPr>
          <w:p>
            <w:r/>
            <w:r>
              <w:rPr>
                <w:b/>
                <w:color w:val="FFFFFF"/>
                <w:sz w:val="20"/>
              </w:rPr>
              <w:t>T_hb FIGÉ</w:t>
            </w:r>
          </w:p>
        </w:tc>
        <w:tc>
          <w:tcPr>
            <w:tcW w:type="dxa" w:w="2551"/>
            <w:shd w:val="clear" w:color="auto" w:fill="1F3A5F"/>
          </w:tcPr>
          <w:p>
            <w:r/>
            <w:r>
              <w:rPr>
                <w:b/>
                <w:color w:val="FFFFFF"/>
                <w:sz w:val="20"/>
              </w:rPr>
              <w:t>e_max FIGÉ (½·a_max·T_hb²)</w:t>
            </w:r>
          </w:p>
        </w:tc>
        <w:tc>
          <w:tcPr>
            <w:tcW w:type="dxa" w:w="3969"/>
            <w:shd w:val="clear" w:color="auto" w:fill="1F3A5F"/>
          </w:tcPr>
          <w:p>
            <w:r/>
            <w:r>
              <w:rPr>
                <w:b/>
                <w:color w:val="FFFFFF"/>
                <w:sz w:val="20"/>
              </w:rPr>
              <w:t>Justification</w:t>
            </w:r>
          </w:p>
        </w:tc>
      </w:tr>
      <w:tr>
        <w:tc>
          <w:tcPr>
            <w:tcW w:type="dxa" w:w="1134"/>
          </w:tcPr>
          <w:p>
            <w:r/>
            <w:r>
              <w:rPr>
                <w:sz w:val="19"/>
              </w:rPr>
              <w:t>UAV</w:t>
            </w:r>
          </w:p>
        </w:tc>
        <w:tc>
          <w:tcPr>
            <w:tcW w:type="dxa" w:w="1134"/>
          </w:tcPr>
          <w:p>
            <w:r/>
            <w:r>
              <w:rPr>
                <w:sz w:val="19"/>
              </w:rPr>
              <w:t>1 s</w:t>
            </w:r>
          </w:p>
        </w:tc>
        <w:tc>
          <w:tcPr>
            <w:tcW w:type="dxa" w:w="2551"/>
          </w:tcPr>
          <w:p>
            <w:r/>
            <w:r>
              <w:rPr>
                <w:sz w:val="19"/>
              </w:rPr>
              <w:t>1,0 m (a_max = 2,0 m/s²)</w:t>
            </w:r>
          </w:p>
        </w:tc>
        <w:tc>
          <w:tcPr>
            <w:tcW w:type="dxa" w:w="3969"/>
          </w:tcPr>
          <w:p>
            <w:r/>
            <w:r>
              <w:rPr>
                <w:sz w:val="19"/>
              </w:rPr>
              <w:t>Milieu radio, bande passante élevée, sécurité critique.</w:t>
            </w:r>
          </w:p>
        </w:tc>
      </w:tr>
      <w:tr>
        <w:tc>
          <w:tcPr>
            <w:tcW w:type="dxa" w:w="1134"/>
          </w:tcPr>
          <w:p>
            <w:r/>
            <w:r>
              <w:rPr>
                <w:sz w:val="19"/>
              </w:rPr>
              <w:t>USV</w:t>
            </w:r>
          </w:p>
        </w:tc>
        <w:tc>
          <w:tcPr>
            <w:tcW w:type="dxa" w:w="1134"/>
          </w:tcPr>
          <w:p>
            <w:r/>
            <w:r>
              <w:rPr>
                <w:sz w:val="19"/>
              </w:rPr>
              <w:t>2 s</w:t>
            </w:r>
          </w:p>
        </w:tc>
        <w:tc>
          <w:tcPr>
            <w:tcW w:type="dxa" w:w="2551"/>
          </w:tcPr>
          <w:p>
            <w:r/>
            <w:r>
              <w:rPr>
                <w:sz w:val="19"/>
              </w:rPr>
              <w:t>2,0 m (a_max = 1,0 m/s²)</w:t>
            </w:r>
          </w:p>
        </w:tc>
        <w:tc>
          <w:tcPr>
            <w:tcW w:type="dxa" w:w="3969"/>
          </w:tcPr>
          <w:p>
            <w:r/>
            <w:r>
              <w:rPr>
                <w:sz w:val="19"/>
              </w:rPr>
              <w:t>Relais de surface, bande passante moyenne.</w:t>
            </w:r>
          </w:p>
        </w:tc>
      </w:tr>
      <w:tr>
        <w:tc>
          <w:tcPr>
            <w:tcW w:type="dxa" w:w="1134"/>
          </w:tcPr>
          <w:p>
            <w:r/>
            <w:r>
              <w:rPr>
                <w:sz w:val="19"/>
              </w:rPr>
              <w:t>UUV</w:t>
            </w:r>
          </w:p>
        </w:tc>
        <w:tc>
          <w:tcPr>
            <w:tcW w:type="dxa" w:w="1134"/>
          </w:tcPr>
          <w:p>
            <w:r/>
            <w:r>
              <w:rPr>
                <w:sz w:val="19"/>
              </w:rPr>
              <w:t>5 s</w:t>
            </w:r>
          </w:p>
        </w:tc>
        <w:tc>
          <w:tcPr>
            <w:tcW w:type="dxa" w:w="2551"/>
          </w:tcPr>
          <w:p>
            <w:r/>
            <w:r>
              <w:rPr>
                <w:sz w:val="19"/>
              </w:rPr>
              <w:t>6,25 m (a_max = 0,5 m/s²)</w:t>
            </w:r>
          </w:p>
        </w:tc>
        <w:tc>
          <w:tcPr>
            <w:tcW w:type="dxa" w:w="3969"/>
          </w:tcPr>
          <w:p>
            <w:r/>
            <w:r>
              <w:rPr>
                <w:sz w:val="19"/>
              </w:rPr>
              <w:t>Bande acoustique limitée ; compenser par trames D et prédiction locale.</w:t>
            </w:r>
          </w:p>
        </w:tc>
      </w:tr>
    </w:tbl>
    <w:p/>
    <w:p>
      <w:r>
        <w:rPr>
          <w:b w:val="0"/>
          <w:i/>
          <w:color w:val="555555"/>
          <w:sz w:val="19"/>
        </w:rPr>
        <w:t>Règle de cohérence (ADR §2.2) : e_max(classe) ≤ min( ½·a_max(classe)·T_hb(classe)² , ε_max , 0,25·d_min(classe) ). Les bornes a_max et d_min sont des HYPOTHÈSES À MESURER (décisions matérielles DE-05/DE-06) : UAV a_max = 2,0 m/s² / d_min = 5 m ; USV 1,0 m/s² / 20 m ; UUV 0,5 m/s² / 30 m.</w:t>
      </w:r>
    </w:p>
    <w:p>
      <w:pPr>
        <w:pStyle w:val="Heading1"/>
      </w:pPr>
      <w:r>
        <w:t>Partie IV — Logique de décision</w:t>
      </w:r>
    </w:p>
    <w:p>
      <w:pPr>
        <w:pStyle w:val="Heading2"/>
      </w:pPr>
      <w:r>
        <w:t>9. Seuil epsilon</w:t>
      </w:r>
    </w:p>
    <w:p>
      <w:pPr>
        <w:pStyle w:val="Heading3"/>
      </w:pPr>
      <w:r>
        <w:t>9.1 Définition</w:t>
      </w:r>
    </w:p>
    <w:p>
      <w:pPr>
        <w:spacing w:after="80"/>
        <w:ind w:left="340"/>
      </w:pPr>
      <w:r>
        <w:rPr>
          <w:rFonts w:ascii="Consolas" w:hAnsi="Consolas"/>
          <w:color w:val="222222"/>
          <w:sz w:val="19"/>
        </w:rPr>
        <w:t>epsilon = epsilon_base(classe) × facteur_vitesse(v) × facteur_phase(mission)</w:t>
      </w:r>
    </w:p>
    <w:p>
      <w:pPr>
        <w:pStyle w:val="Heading3"/>
      </w:pPr>
      <w:r>
        <w:t>9.2 Composantes</w:t>
      </w:r>
    </w:p>
    <w:p>
      <w:pPr>
        <w:pStyle w:val="ListBullet"/>
        <w:spacing w:after="40"/>
        <w:ind w:left="425"/>
      </w:pPr>
      <w:r>
        <w:t>epsilon_base [FIGÉ] (ADR §3, paramètre 5) : UAV 1 m, USV 2 m, UUV 3 m.</w:t>
      </w:r>
    </w:p>
    <w:p>
      <w:pPr>
        <w:pStyle w:val="ListBullet"/>
        <w:spacing w:after="40"/>
        <w:ind w:left="425"/>
      </w:pPr>
      <w:r>
        <w:t>facteur_vitesse(v) = 1 + (v / v_max_classe), borné à [1, 2].</w:t>
      </w:r>
    </w:p>
    <w:p>
      <w:pPr>
        <w:pStyle w:val="ListBullet"/>
        <w:spacing w:after="40"/>
        <w:ind w:left="425"/>
      </w:pPr>
      <w:r>
        <w:t>facteur_phase(mission) : transit 1,5 ; recherche 1,0 ; approche finale 0,5.</w:t>
      </w:r>
    </w:p>
    <w:p>
      <w:pPr>
        <w:pStyle w:val="Heading3"/>
      </w:pPr>
      <w:r>
        <w:t>9.3 Contrainte de sécurité</w:t>
      </w:r>
    </w:p>
    <w:p>
      <w:pPr>
        <w:pStyle w:val="ListBullet"/>
        <w:spacing w:after="40"/>
        <w:ind w:left="425"/>
      </w:pPr>
      <w:r>
        <w:t>epsilon NE DOIT PAS dépasser epsilon_max [FIGÉ] = 5 m (ADR §3, paramètre 6).</w:t>
      </w:r>
    </w:p>
    <w:p>
      <w:pPr>
        <w:pStyle w:val="ListBullet"/>
        <w:spacing w:after="40"/>
        <w:ind w:left="425"/>
      </w:pPr>
      <w:r>
        <w:t>Si la déviation dépasse epsilon_max, la transmission est obligatoire, quelle que soit la prédiction.</w:t>
      </w:r>
    </w:p>
    <w:p>
      <w:pPr>
        <w:pStyle w:val="ListBullet"/>
        <w:spacing w:after="40"/>
        <w:ind w:left="425"/>
      </w:pPr>
      <w:r>
        <w:t>Si e_j &gt; e_max (§8.4), transmission obligatoire également.</w:t>
      </w:r>
    </w:p>
    <w:p>
      <w:pPr>
        <w:pStyle w:val="Heading3"/>
      </w:pPr>
      <w:r>
        <w:t>9.4 Règle de silence (déterministe)</w:t>
      </w:r>
    </w:p>
    <w:p>
      <w:pPr>
        <w:spacing w:after="80"/>
        <w:ind w:left="340"/>
      </w:pPr>
      <w:r>
        <w:rPr>
          <w:rFonts w:ascii="Consolas" w:hAnsi="Consolas"/>
          <w:color w:val="222222"/>
          <w:sz w:val="19"/>
        </w:rPr>
        <w:t>si |delta_réel − delta_prédit| &gt; epsilon  OU  e_j &gt; e_max :</w:t>
        <w:br/>
        <w:t xml:space="preserve">    émettre trame D</w:t>
        <w:br/>
        <w:t>sinon :</w:t>
        <w:br/>
        <w:t xml:space="preserve">    silence</w:t>
      </w:r>
    </w:p>
    <w:tbl>
      <w:tblPr>
        <w:tblStyle w:val="TableGrid"/>
        <w:tblW w:type="auto" w:w="0"/>
        <w:tblLook w:firstColumn="1" w:firstRow="1" w:lastColumn="0" w:lastRow="0" w:noHBand="0" w:noVBand="1" w:val="04A0"/>
      </w:tblPr>
      <w:tblGrid>
        <w:gridCol w:w="8640"/>
      </w:tblGrid>
      <w:tr>
        <w:tc>
          <w:tcPr>
            <w:tcW w:type="dxa" w:w="8640"/>
            <w:shd w:val="clear" w:color="auto" w:fill="FDF3D8"/>
          </w:tcPr>
          <w:p>
            <w:r/>
            <w:r>
              <w:rPr>
                <w:b/>
                <w:color w:val="A31D1D"/>
                <w:sz w:val="20"/>
              </w:rPr>
              <w:t xml:space="preserve">Interdiction — </w:t>
            </w:r>
            <w:r>
              <w:rPr>
                <w:sz w:val="20"/>
              </w:rPr>
              <w:t>Le LLM NE DOIT PAS intervenir dans la décision de silence ou de transmission.</w:t>
            </w:r>
          </w:p>
        </w:tc>
      </w:tr>
    </w:tbl>
    <w:p/>
    <w:p>
      <w:pPr>
        <w:pStyle w:val="Heading2"/>
      </w:pPr>
      <w:r>
        <w:t>10. Déclenchement de transmission</w:t>
      </w:r>
    </w:p>
    <w:p>
      <w:pPr>
        <w:pStyle w:val="Heading3"/>
      </w:pPr>
      <w:r>
        <w:t>10.1 Conditions d'émission</w:t>
      </w:r>
    </w:p>
    <w:p>
      <w:r>
        <w:rPr>
          <w:b w:val="0"/>
          <w:i w:val="0"/>
          <w:sz w:val="21"/>
        </w:rPr>
        <w:t>Un nœud DOIT émettre une trame D si au moins une des conditions suivantes est vraie :</w:t>
      </w:r>
    </w:p>
    <w:p>
      <w:pPr>
        <w:pStyle w:val="ListNumber"/>
        <w:spacing w:after="40"/>
      </w:pPr>
      <w:r>
        <w:t>Déviation &gt; epsilon (§9.4).</w:t>
      </w:r>
    </w:p>
    <w:p>
      <w:pPr>
        <w:pStyle w:val="ListNumber"/>
        <w:spacing w:after="40"/>
      </w:pPr>
      <w:r>
        <w:t>Erreur de prédiction &gt; e_max (§8.4).</w:t>
      </w:r>
    </w:p>
    <w:p>
      <w:pPr>
        <w:pStyle w:val="ListNumber"/>
        <w:spacing w:after="40"/>
      </w:pPr>
      <w:r>
        <w:t>Réception d'un trigger ! ou ? nécessitant relais.</w:t>
      </w:r>
    </w:p>
    <w:p>
      <w:pPr>
        <w:pStyle w:val="ListNumber"/>
        <w:spacing w:after="40"/>
      </w:pPr>
      <w:r>
        <w:t>Anomalie APF détectée (avarie, force environnementale).</w:t>
      </w:r>
    </w:p>
    <w:p>
      <w:pPr>
        <w:pStyle w:val="Heading3"/>
      </w:pPr>
      <w:r>
        <w:t>10.2 Rate limiting</w:t>
      </w:r>
    </w:p>
    <w:p>
      <w:pPr>
        <w:pStyle w:val="ListBullet"/>
        <w:spacing w:after="40"/>
        <w:ind w:left="425"/>
      </w:pPr>
      <w:r>
        <w:t>Un nœud NE DOIT PAS émettre plus de N_tx_max = 10 trames D par seconde [FIGÉ] (ADR §3, paramètre 8).</w:t>
      </w:r>
    </w:p>
    <w:p>
      <w:pPr>
        <w:pStyle w:val="ListBullet"/>
        <w:spacing w:after="40"/>
        <w:ind w:left="425"/>
      </w:pPr>
      <w:r>
        <w:t>Si le rate limit est atteint, les transmissions sont mises en file par ordre de priorité (APF &gt; PSO &gt; delta).</w:t>
      </w:r>
    </w:p>
    <w:p>
      <w:pPr>
        <w:pStyle w:val="Heading3"/>
      </w:pPr>
      <w:r>
        <w:t>10.3 Priorité d'émission</w:t>
      </w:r>
    </w:p>
    <w:p>
      <w:r>
        <w:rPr>
          <w:b w:val="0"/>
          <w:i w:val="0"/>
          <w:sz w:val="21"/>
        </w:rPr>
        <w:t>Ordre décroissant :</w:t>
      </w:r>
    </w:p>
    <w:p>
      <w:pPr>
        <w:pStyle w:val="ListNumber"/>
        <w:spacing w:after="40"/>
      </w:pPr>
      <w:r>
        <w:t>Trame R priorité 11 (survie).</w:t>
      </w:r>
    </w:p>
    <w:p>
      <w:pPr>
        <w:pStyle w:val="ListNumber"/>
        <w:spacing w:after="40"/>
      </w:pPr>
      <w:r>
        <w:t>Trame R priorité 10 (évitement).</w:t>
      </w:r>
    </w:p>
    <w:p>
      <w:pPr>
        <w:pStyle w:val="ListNumber"/>
        <w:spacing w:after="40"/>
      </w:pPr>
      <w:r>
        <w:t>Trame D avec anomalie.</w:t>
      </w:r>
    </w:p>
    <w:p>
      <w:pPr>
        <w:pStyle w:val="ListNumber"/>
        <w:spacing w:after="40"/>
      </w:pPr>
      <w:r>
        <w:t>Trame D avec trigger.</w:t>
      </w:r>
    </w:p>
    <w:p>
      <w:pPr>
        <w:pStyle w:val="ListNumber"/>
        <w:spacing w:after="40"/>
      </w:pPr>
      <w:r>
        <w:t>Trame D avec delta.</w:t>
      </w:r>
    </w:p>
    <w:p>
      <w:pPr>
        <w:pStyle w:val="ListNumber"/>
        <w:spacing w:after="40"/>
      </w:pPr>
      <w:r>
        <w:t>Trame S (heartbeat, périodique).</w:t>
      </w:r>
    </w:p>
    <w:p>
      <w:pPr>
        <w:pStyle w:val="Heading2"/>
      </w:pPr>
      <w:r>
        <w:t>11. Agrégation Hub</w:t>
      </w:r>
    </w:p>
    <w:p>
      <w:pPr>
        <w:pStyle w:val="Heading3"/>
      </w:pPr>
      <w:r>
        <w:t>11.1 Principe</w:t>
      </w:r>
    </w:p>
    <w:p>
      <w:r>
        <w:rPr>
          <w:b w:val="0"/>
          <w:i w:val="0"/>
          <w:sz w:val="21"/>
        </w:rPr>
        <w:t>Lorsqu'un hub reçoit plusieurs trames de ses terminaux, il consolide en une seule trame vers les autres hubs.</w:t>
      </w:r>
    </w:p>
    <w:p>
      <w:pPr>
        <w:pStyle w:val="Heading3"/>
      </w:pPr>
      <w:r>
        <w:t>11.2 Algorithme (déterministe)</w:t>
      </w:r>
    </w:p>
    <w:p>
      <w:r>
        <w:rPr>
          <w:b w:val="0"/>
          <w:i w:val="0"/>
          <w:sz w:val="21"/>
        </w:rPr>
        <w:t>Entrée : ensemble de trames reçues {T_1, ..., T_n} sur une fenêtre W_agg [FIGÉ] = 1 s (ADR §3, paramètre 9).</w:t>
      </w:r>
    </w:p>
    <w:p>
      <w:pPr>
        <w:pStyle w:val="ListNumber"/>
        <w:spacing w:after="40"/>
      </w:pPr>
      <w:r>
        <w:t>Filtrage : rejeter les trames au CRC invalide.</w:t>
      </w:r>
    </w:p>
    <w:p>
      <w:pPr>
        <w:pStyle w:val="ListNumber"/>
        <w:spacing w:after="40"/>
      </w:pPr>
      <w:r>
        <w:t>Extraction : pour chaque trame valide, extraire (direction_k, amplitude_k, fitness_k).</w:t>
      </w:r>
    </w:p>
    <w:p>
      <w:pPr>
        <w:pStyle w:val="ListNumber"/>
        <w:spacing w:after="40"/>
      </w:pPr>
      <w:r>
        <w:t>Pondération : w_k = fitness_k / Σ fitness.</w:t>
      </w:r>
    </w:p>
    <w:p>
      <w:pPr>
        <w:pStyle w:val="ListNumber"/>
        <w:spacing w:after="40"/>
      </w:pPr>
      <w:r>
        <w:t>Barycentre vectoriel : u_k = (cos θ_k, sin θ_k) ; U = Σ w_k · u_k ; θ_cons = atan2(U_y, U_x) ; A_cons = |U| · Σ amplitude_k / n.</w:t>
      </w:r>
    </w:p>
    <w:p>
      <w:pPr>
        <w:pStyle w:val="ListNumber"/>
        <w:spacing w:after="40"/>
      </w:pPr>
      <w:r>
        <w:t>Détection de conflit : écart-type circulaire σ des directions. Si σ &gt; sigma_max [FIGÉ] = 45° (ADR §3, paramètre 7), ne pas consolider et signaler un conflit.</w:t>
      </w:r>
    </w:p>
    <w:p>
      <w:pPr>
        <w:pStyle w:val="ListNumber"/>
        <w:spacing w:after="40"/>
      </w:pPr>
      <w:r>
        <w:t>Émission : émettre une trame consolidée unique.</w:t>
      </w:r>
    </w:p>
    <w:p>
      <w:pPr>
        <w:pStyle w:val="Heading3"/>
      </w:pPr>
      <w:r>
        <w:t>11.3 Cas de conflit</w:t>
      </w:r>
    </w:p>
    <w:p>
      <w:pPr>
        <w:pStyle w:val="ListBullet"/>
        <w:spacing w:after="40"/>
        <w:ind w:left="425"/>
      </w:pPr>
      <w:r>
        <w:t>Ne pas émettre de trame consolidée.</w:t>
      </w:r>
    </w:p>
    <w:p>
      <w:pPr>
        <w:pStyle w:val="ListBullet"/>
        <w:spacing w:after="40"/>
        <w:ind w:left="425"/>
      </w:pPr>
      <w:r>
        <w:t>Émettre une trame de conflit (type réservé, à définir — voir §24.2).</w:t>
      </w:r>
    </w:p>
    <w:p>
      <w:pPr>
        <w:pStyle w:val="ListBullet"/>
        <w:spacing w:after="40"/>
        <w:ind w:left="425"/>
      </w:pPr>
      <w:r>
        <w:t>Attendre une résolution (arbitrage humain ou règle de priorité).</w:t>
      </w:r>
    </w:p>
    <w:p>
      <w:pPr>
        <w:pStyle w:val="ListBullet"/>
        <w:spacing w:after="40"/>
        <w:ind w:left="425"/>
      </w:pPr>
      <w:r>
        <w:t>Règle de priorité : la direction associée à la fitness la plus élevée l'emporte, mais le conflit DOIT être signalé.</w:t>
      </w:r>
    </w:p>
    <w:p>
      <w:pPr>
        <w:pStyle w:val="Heading2"/>
      </w:pPr>
      <w:r>
        <w:t>12. Broadcast d'urgence</w:t>
      </w:r>
    </w:p>
    <w:p>
      <w:pPr>
        <w:pStyle w:val="Heading3"/>
      </w:pPr>
      <w:r>
        <w:t>12.1 Conditions</w:t>
      </w:r>
    </w:p>
    <w:p>
      <w:pPr>
        <w:pStyle w:val="ListBullet"/>
        <w:spacing w:after="40"/>
        <w:ind w:left="425"/>
      </w:pPr>
      <w:r>
        <w:t>Pour un hub : en cas de conflit non résolu ou d'anomalie globale.</w:t>
      </w:r>
    </w:p>
    <w:p>
      <w:pPr>
        <w:pStyle w:val="ListBullet"/>
        <w:spacing w:after="40"/>
        <w:ind w:left="425"/>
      </w:pPr>
      <w:r>
        <w:t>Pour un terminal : uniquement en cas de crash imminent (trame R priorité 11 avec code X).</w:t>
      </w:r>
    </w:p>
    <w:p>
      <w:pPr>
        <w:pStyle w:val="Heading3"/>
      </w:pPr>
      <w:r>
        <w:t>12.2 Bornes</w:t>
      </w:r>
    </w:p>
    <w:p>
      <w:pPr>
        <w:pStyle w:val="ListBullet"/>
        <w:spacing w:after="40"/>
        <w:ind w:left="425"/>
      </w:pPr>
      <w:r>
        <w:t>TTL : décrémenté à chaque saut. TTL initial ≤ 3.</w:t>
      </w:r>
    </w:p>
    <w:p>
      <w:pPr>
        <w:pStyle w:val="ListBullet"/>
        <w:spacing w:after="40"/>
        <w:ind w:left="425"/>
      </w:pPr>
      <w:r>
        <w:t>Rate limiting : un nœud NE DOIT PAS émettre plus d'un broadcast par seconde.</w:t>
      </w:r>
    </w:p>
    <w:p>
      <w:pPr>
        <w:pStyle w:val="ListBullet"/>
        <w:spacing w:after="40"/>
        <w:ind w:left="425"/>
      </w:pPr>
      <w:r>
        <w:t>Portée : limité au cluster et aux clusters adjacents (TTL = 2).</w:t>
      </w:r>
    </w:p>
    <w:p>
      <w:r>
        <w:rPr>
          <w:b w:val="0"/>
          <w:i w:val="0"/>
          <w:sz w:val="21"/>
        </w:rPr>
        <w:t>Ces bornes répondent directement au problème du broadcast storm documenté par Tseng et al. (2002).</w:t>
      </w:r>
    </w:p>
    <w:p>
      <w:pPr>
        <w:pStyle w:val="Heading3"/>
      </w:pPr>
      <w:r>
        <w:t>12.3 Traitement à réception</w:t>
      </w:r>
    </w:p>
    <w:p>
      <w:pPr>
        <w:pStyle w:val="ListNumber"/>
        <w:spacing w:after="40"/>
      </w:pPr>
      <w:r>
        <w:t>Décrémenter le TTL.</w:t>
      </w:r>
    </w:p>
    <w:p>
      <w:pPr>
        <w:pStyle w:val="ListNumber"/>
        <w:spacing w:after="40"/>
      </w:pPr>
      <w:r>
        <w:t>Si TTL = 0, ne pas relayer.</w:t>
      </w:r>
    </w:p>
    <w:p>
      <w:pPr>
        <w:pStyle w:val="ListNumber"/>
        <w:spacing w:after="40"/>
      </w:pPr>
      <w:r>
        <w:t>Sinon, relayer après un délai aléatoire (anti-collision).</w:t>
      </w:r>
    </w:p>
    <w:p>
      <w:pPr>
        <w:pStyle w:val="ListNumber"/>
        <w:spacing w:after="40"/>
      </w:pPr>
      <w:r>
        <w:t>Traiter localement (APF d'urgence).</w:t>
      </w:r>
    </w:p>
    <w:p>
      <w:pPr>
        <w:pStyle w:val="Heading1"/>
      </w:pPr>
      <w:r>
        <w:t>Partie V — Robustesse</w:t>
      </w:r>
    </w:p>
    <w:p>
      <w:pPr>
        <w:pStyle w:val="Heading2"/>
      </w:pPr>
      <w:r>
        <w:t>13. Élection du hub de secours</w:t>
      </w:r>
    </w:p>
    <w:p>
      <w:pPr>
        <w:pStyle w:val="Heading3"/>
      </w:pPr>
      <w:r>
        <w:t>13.1 Principe</w:t>
      </w:r>
    </w:p>
    <w:p>
      <w:r>
        <w:rPr>
          <w:b w:val="0"/>
          <w:i w:val="0"/>
          <w:sz w:val="21"/>
        </w:rPr>
        <w:t>Chaque cluster DOIT désigner un hub secondaire. Si le primaire est perdu, le secondaire prend le relais.</w:t>
      </w:r>
    </w:p>
    <w:p>
      <w:pPr>
        <w:pStyle w:val="Heading3"/>
      </w:pPr>
      <w:r>
        <w:t>13.2 Détection de perte</w:t>
      </w:r>
    </w:p>
    <w:p>
      <w:r>
        <w:rPr>
          <w:b w:val="0"/>
          <w:i w:val="0"/>
          <w:sz w:val="21"/>
        </w:rPr>
        <w:t>Un hub est considéré perdu si :</w:t>
      </w:r>
    </w:p>
    <w:p>
      <w:pPr>
        <w:pStyle w:val="ListBullet"/>
        <w:spacing w:after="40"/>
        <w:ind w:left="425"/>
      </w:pPr>
      <w:r>
        <w:t>aucun heartbeat reçu pendant T_hub_max [FIGÉ] = 10 s (ADR §3, paramètre 11), ou</w:t>
      </w:r>
    </w:p>
    <w:p>
      <w:pPr>
        <w:pStyle w:val="ListBullet"/>
        <w:spacing w:after="40"/>
        <w:ind w:left="425"/>
      </w:pPr>
      <w:r>
        <w:t>réception d'une trame R code X le concernant.</w:t>
      </w:r>
    </w:p>
    <w:p>
      <w:pPr>
        <w:pStyle w:val="Heading3"/>
      </w:pPr>
      <w:r>
        <w:t>13.3 Protocole d'élection</w:t>
      </w:r>
    </w:p>
    <w:p>
      <w:pPr>
        <w:pStyle w:val="ListNumber"/>
        <w:spacing w:after="40"/>
      </w:pPr>
      <w:r>
        <w:t>Détection : un terminal détecte la perte du hub primaire.</w:t>
      </w:r>
    </w:p>
    <w:p>
      <w:pPr>
        <w:pStyle w:val="ListNumber"/>
        <w:spacing w:after="40"/>
      </w:pPr>
      <w:r>
        <w:t>Candidature : le hub secondaire désigné se déclare candidat.</w:t>
      </w:r>
    </w:p>
    <w:p>
      <w:pPr>
        <w:pStyle w:val="ListNumber"/>
        <w:spacing w:after="40"/>
      </w:pPr>
      <w:r>
        <w:t>Confirmation : le candidat émet un heartbeat de hub. Les terminaux l'adoptent après T_conf [FIGÉ] = 5 s (ADR §3, paramètre 12).</w:t>
      </w:r>
    </w:p>
    <w:p>
      <w:pPr>
        <w:pStyle w:val="ListNumber"/>
        <w:spacing w:after="40"/>
      </w:pPr>
      <w:r>
        <w:t>Bascule : les terminaux mettent à jour leur hub d'affectation.</w:t>
      </w:r>
    </w:p>
    <w:p>
      <w:pPr>
        <w:pStyle w:val="ListNumber"/>
        <w:spacing w:after="40"/>
      </w:pPr>
      <w:r>
        <w:t>Signalement : le nouveau hub signale la bascule aux autres hubs.</w:t>
      </w:r>
    </w:p>
    <w:p>
      <w:pPr>
        <w:pStyle w:val="Heading3"/>
      </w:pPr>
      <w:r>
        <w:t>13.4 Cas sans hub secondaire</w:t>
      </w:r>
    </w:p>
    <w:p>
      <w:pPr>
        <w:pStyle w:val="ListBullet"/>
        <w:spacing w:after="40"/>
        <w:ind w:left="425"/>
      </w:pPr>
      <w:r>
        <w:t>Les terminaux passent en mode dégradé : APF local uniquement, pas de PSO global.</w:t>
      </w:r>
    </w:p>
    <w:p>
      <w:pPr>
        <w:pStyle w:val="ListBullet"/>
        <w:spacing w:after="40"/>
        <w:ind w:left="425"/>
      </w:pPr>
      <w:r>
        <w:t>Ils émettent un broadcast de détresse (TTL = 3).</w:t>
      </w:r>
    </w:p>
    <w:p>
      <w:pPr>
        <w:pStyle w:val="ListBullet"/>
        <w:spacing w:after="40"/>
        <w:ind w:left="425"/>
      </w:pPr>
      <w:r>
        <w:t>Ils attendent un hub de remplacement.</w:t>
      </w:r>
    </w:p>
    <w:p>
      <w:pPr>
        <w:pStyle w:val="Heading3"/>
      </w:pPr>
      <w:r>
        <w:t>13.5 Extension de la plage d'adressage</w:t>
      </w:r>
    </w:p>
    <w:p>
      <w:r>
        <w:rPr>
          <w:b w:val="0"/>
          <w:i w:val="0"/>
          <w:sz w:val="21"/>
        </w:rPr>
        <w:t>La plage K–Y (15 valeurs) est insuffisante pour 25 hubs. L'adressage binaire (5 bits, 32 valeurs) résout ce problème. L'encodage ASCII est abandonné.</w:t>
      </w:r>
    </w:p>
    <w:p>
      <w:pPr>
        <w:pStyle w:val="Heading2"/>
      </w:pPr>
      <w:r>
        <w:t>14. Mobilité inter-cluster</w:t>
      </w:r>
    </w:p>
    <w:p>
      <w:pPr>
        <w:pStyle w:val="Heading3"/>
      </w:pPr>
      <w:r>
        <w:t>14.1 Principe</w:t>
      </w:r>
    </w:p>
    <w:p>
      <w:r>
        <w:rPr>
          <w:b w:val="0"/>
          <w:i w:val="0"/>
          <w:sz w:val="21"/>
        </w:rPr>
        <w:t>Un terminal PEUT changer de cluster si son hub primaire devient inaccessible ou si la distance le justifie.</w:t>
      </w:r>
    </w:p>
    <w:p>
      <w:pPr>
        <w:pStyle w:val="Heading3"/>
      </w:pPr>
      <w:r>
        <w:t>14.2 Procédure</w:t>
      </w:r>
    </w:p>
    <w:p>
      <w:pPr>
        <w:pStyle w:val="ListNumber"/>
        <w:spacing w:after="40"/>
      </w:pPr>
      <w:r>
        <w:t>Détection : le terminal détecte un hub alternatif (heartbeat reçu avec un RSSI supérieur).</w:t>
      </w:r>
    </w:p>
    <w:p>
      <w:pPr>
        <w:pStyle w:val="ListNumber"/>
        <w:spacing w:after="40"/>
      </w:pPr>
      <w:r>
        <w:t>Demande : le terminal émet une trame D de demande de rattachement (type réservé).</w:t>
      </w:r>
    </w:p>
    <w:p>
      <w:pPr>
        <w:pStyle w:val="ListNumber"/>
        <w:spacing w:after="40"/>
      </w:pPr>
      <w:r>
        <w:t>Acceptation : le nouveau hub accepte si N_cluster &lt; N_cluster_max.</w:t>
      </w:r>
    </w:p>
    <w:p>
      <w:pPr>
        <w:pStyle w:val="ListNumber"/>
        <w:spacing w:after="40"/>
      </w:pPr>
      <w:r>
        <w:t>Bascule : le terminal met à jour son hub d'affectation.</w:t>
      </w:r>
    </w:p>
    <w:p>
      <w:pPr>
        <w:pStyle w:val="ListNumber"/>
        <w:spacing w:after="40"/>
      </w:pPr>
      <w:r>
        <w:t>Notification : l'ancien hub est notifié.</w:t>
      </w:r>
    </w:p>
    <w:p>
      <w:pPr>
        <w:pStyle w:val="Heading3"/>
      </w:pPr>
      <w:r>
        <w:t>14.3 Anti-oscillation</w:t>
      </w:r>
    </w:p>
    <w:p>
      <w:pPr>
        <w:pStyle w:val="ListBullet"/>
        <w:spacing w:after="40"/>
        <w:ind w:left="425"/>
      </w:pPr>
      <w:r>
        <w:t>Un terminal NE DOIT PAS changer de cluster plus d'une fois par T_switch_min [FIGÉ] = 60 s (ADR §3, paramètre 13).</w:t>
      </w:r>
    </w:p>
    <w:p>
      <w:pPr>
        <w:pStyle w:val="ListBullet"/>
        <w:spacing w:after="40"/>
        <w:ind w:left="425"/>
      </w:pPr>
      <w:r>
        <w:t>Le changement DOIT être justifié par un gain de RSSI supérieur à ΔRSSI_min [FIGÉ] = 6 dB (ADR §3, paramètre 14).</w:t>
      </w:r>
    </w:p>
    <w:p>
      <w:pPr>
        <w:pStyle w:val="Heading2"/>
      </w:pPr>
      <w:r>
        <w:t>15. Gestion des pannes</w:t>
      </w:r>
    </w:p>
    <w:p>
      <w:pPr>
        <w:pStyle w:val="Heading3"/>
      </w:pPr>
      <w:r>
        <w:t>15.1 Types de panne</w:t>
      </w:r>
    </w:p>
    <w:p>
      <w:pPr>
        <w:pStyle w:val="ListBullet"/>
        <w:spacing w:after="40"/>
        <w:ind w:left="425"/>
      </w:pPr>
      <w:r>
        <w:t>Panne de propulsion : le nœud ne peut plus se déplacer. Émet trame R code X.</w:t>
      </w:r>
    </w:p>
    <w:p>
      <w:pPr>
        <w:pStyle w:val="ListBullet"/>
        <w:spacing w:after="40"/>
        <w:ind w:left="425"/>
      </w:pPr>
      <w:r>
        <w:t>Panne de capteur : le nœud perd sa capacité de perception. Passe en mode dégradé.</w:t>
      </w:r>
    </w:p>
    <w:p>
      <w:pPr>
        <w:pStyle w:val="ListBullet"/>
        <w:spacing w:after="40"/>
        <w:ind w:left="425"/>
      </w:pPr>
      <w:r>
        <w:t>Panne de communication : le nœud n'émet plus. Détecté par absence de heartbeat.</w:t>
      </w:r>
    </w:p>
    <w:p>
      <w:pPr>
        <w:pStyle w:val="ListBullet"/>
        <w:spacing w:after="40"/>
        <w:ind w:left="425"/>
      </w:pPr>
      <w:r>
        <w:t>Panne de hub : traité par §13.</w:t>
      </w:r>
    </w:p>
    <w:p>
      <w:pPr>
        <w:pStyle w:val="Heading3"/>
      </w:pPr>
      <w:r>
        <w:t>15.2 Réaction</w:t>
      </w:r>
    </w:p>
    <w:p>
      <w:pPr>
        <w:pStyle w:val="ListBullet"/>
        <w:spacing w:after="40"/>
        <w:ind w:left="425"/>
      </w:pPr>
      <w:r>
        <w:t>Panne de propulsion : les voisins désactivent leur prédiction miroir pour ce nœud et calculent un évitement d'urgence (APF).</w:t>
      </w:r>
    </w:p>
    <w:p>
      <w:pPr>
        <w:pStyle w:val="ListBullet"/>
        <w:spacing w:after="40"/>
        <w:ind w:left="425"/>
      </w:pPr>
      <w:r>
        <w:t>Panne de capteur : le nœud cesse d'émettre des trames S mais continue les trames R et le heartbeat.</w:t>
      </w:r>
    </w:p>
    <w:p>
      <w:pPr>
        <w:pStyle w:val="ListBullet"/>
        <w:spacing w:after="40"/>
        <w:ind w:left="425"/>
      </w:pPr>
      <w:r>
        <w:t>Panne de communication : après T_hb_max, le nœud est déclaré perdu. Les voisins recalculent leur trajectoire sans lui.</w:t>
      </w:r>
    </w:p>
    <w:p>
      <w:pPr>
        <w:pStyle w:val="Heading3"/>
      </w:pPr>
      <w:r>
        <w:t>15.3 Reprise</w:t>
      </w:r>
    </w:p>
    <w:p>
      <w:pPr>
        <w:pStyle w:val="ListNumber"/>
        <w:spacing w:after="40"/>
      </w:pPr>
      <w:r>
        <w:t>Émettre un heartbeat immédiat.</w:t>
      </w:r>
    </w:p>
    <w:p>
      <w:pPr>
        <w:pStyle w:val="ListNumber"/>
        <w:spacing w:after="40"/>
      </w:pPr>
      <w:r>
        <w:t>Attendre T_recover [FIGÉ] = 10 s (ADR §3, paramètre 15) avant de réintégrer le PSO.</w:t>
      </w:r>
    </w:p>
    <w:p>
      <w:pPr>
        <w:pStyle w:val="ListNumber"/>
        <w:spacing w:after="40"/>
      </w:pPr>
      <w:r>
        <w:t>Reprendre en mode dégradé (APF seul) pendant cette période.</w:t>
      </w:r>
    </w:p>
    <w:p>
      <w:pPr>
        <w:pStyle w:val="Heading2"/>
      </w:pPr>
      <w:r>
        <w:t>16. Robustesse au brouillage</w:t>
      </w:r>
    </w:p>
    <w:p>
      <w:pPr>
        <w:pStyle w:val="Heading3"/>
      </w:pPr>
      <w:r>
        <w:t>16.1 Principe</w:t>
      </w:r>
    </w:p>
    <w:p>
      <w:r>
        <w:rPr>
          <w:b w:val="0"/>
          <w:i w:val="0"/>
          <w:sz w:val="21"/>
        </w:rPr>
        <w:t>En environnement brouillé, les trames peuvent être perdues ou corrompues.</w:t>
      </w:r>
    </w:p>
    <w:p>
      <w:pPr>
        <w:pStyle w:val="Heading3"/>
      </w:pPr>
      <w:r>
        <w:t>16.2 Mécanismes</w:t>
      </w:r>
    </w:p>
    <w:p>
      <w:pPr>
        <w:pStyle w:val="ListBullet"/>
        <w:spacing w:after="40"/>
        <w:ind w:left="425"/>
      </w:pPr>
      <w:r>
        <w:t>CRC : détecte les corruptions (taux de non-détection cible : 0).</w:t>
      </w:r>
    </w:p>
    <w:p>
      <w:pPr>
        <w:pStyle w:val="ListBullet"/>
        <w:spacing w:after="40"/>
        <w:ind w:left="425"/>
      </w:pPr>
      <w:r>
        <w:t>Heartbeat : détecte les pertes prolongées.</w:t>
      </w:r>
    </w:p>
    <w:p>
      <w:pPr>
        <w:pStyle w:val="ListBullet"/>
        <w:spacing w:after="40"/>
        <w:ind w:left="425"/>
      </w:pPr>
      <w:r>
        <w:t>Redondance temporelle : une trame D critique PEUT être répétée N_rep = 3 fois [FIGÉ] (ADR §3, paramètre 16).</w:t>
      </w:r>
    </w:p>
    <w:p>
      <w:pPr>
        <w:pStyle w:val="ListBullet"/>
        <w:spacing w:after="40"/>
        <w:ind w:left="425"/>
      </w:pPr>
      <w:r>
        <w:t>Saut de fréquence : hors périmètre de cette spécification (couche physique).</w:t>
      </w:r>
    </w:p>
    <w:p>
      <w:pPr>
        <w:pStyle w:val="Heading3"/>
      </w:pPr>
      <w:r>
        <w:t>16.3 Mode dégradé</w:t>
      </w:r>
    </w:p>
    <w:p>
      <w:r>
        <w:rPr>
          <w:b w:val="0"/>
          <w:i w:val="0"/>
          <w:sz w:val="21"/>
        </w:rPr>
        <w:t>Si le taux de perte dépasse P_loss_max [FIGÉ] = 30 % (ADR §3, paramètre 17) :</w:t>
      </w:r>
    </w:p>
    <w:p>
      <w:pPr>
        <w:pStyle w:val="ListBullet"/>
        <w:spacing w:after="40"/>
        <w:ind w:left="425"/>
      </w:pPr>
      <w:r>
        <w:t>le nœud passe en mode dégradé : APF local seul ;</w:t>
      </w:r>
    </w:p>
    <w:p>
      <w:pPr>
        <w:pStyle w:val="ListBullet"/>
        <w:spacing w:after="40"/>
        <w:ind w:left="425"/>
      </w:pPr>
      <w:r>
        <w:t>il augmente la fréquence de heartbeat ;</w:t>
      </w:r>
    </w:p>
    <w:p>
      <w:pPr>
        <w:pStyle w:val="ListBullet"/>
        <w:spacing w:after="40"/>
        <w:ind w:left="425"/>
      </w:pPr>
      <w:r>
        <w:t>il signale la dégradation au hub.</w:t>
      </w:r>
    </w:p>
    <w:p>
      <w:r>
        <w:rPr>
          <w:b w:val="0"/>
          <w:i w:val="0"/>
          <w:sz w:val="21"/>
        </w:rPr>
        <w:t>La robustesse aux pertes de paquets est un domaine établi de la commande en réseau (Hu &amp; Yan, 2007).</w:t>
      </w:r>
    </w:p>
    <w:p>
      <w:pPr>
        <w:pStyle w:val="Heading1"/>
      </w:pPr>
      <w:r>
        <w:t>Partie VI — Pondération et fusion</w:t>
      </w:r>
    </w:p>
    <w:p>
      <w:pPr>
        <w:pStyle w:val="Heading2"/>
      </w:pPr>
      <w:r>
        <w:t>17. Pondération hétérogène</w:t>
      </w:r>
    </w:p>
    <w:p>
      <w:pPr>
        <w:pStyle w:val="Heading3"/>
      </w:pPr>
      <w:r>
        <w:t>17.1 Matrice de gain</w:t>
      </w:r>
    </w:p>
    <w:p>
      <w:r>
        <w:rPr>
          <w:b w:val="0"/>
          <w:i w:val="0"/>
          <w:sz w:val="21"/>
        </w:rPr>
        <w:t>w (émetteur → récepteur) [FIGÉ] (ADR §3, paramètre 19) :</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1F3A5F"/>
          </w:tcPr>
          <w:p>
            <w:r/>
            <w:r>
              <w:rPr>
                <w:b/>
                <w:color w:val="FFFFFF"/>
                <w:sz w:val="20"/>
              </w:rPr>
              <w:t>Émetteur → Récepteur</w:t>
            </w:r>
          </w:p>
        </w:tc>
        <w:tc>
          <w:tcPr>
            <w:tcW w:type="dxa" w:w="1701"/>
            <w:shd w:val="clear" w:color="auto" w:fill="1F3A5F"/>
          </w:tcPr>
          <w:p>
            <w:r/>
            <w:r>
              <w:rPr>
                <w:b/>
                <w:color w:val="FFFFFF"/>
                <w:sz w:val="20"/>
              </w:rPr>
              <w:t>Gain w</w:t>
            </w:r>
          </w:p>
        </w:tc>
        <w:tc>
          <w:tcPr>
            <w:tcW w:type="dxa" w:w="2268"/>
            <w:shd w:val="clear" w:color="auto" w:fill="1F3A5F"/>
          </w:tcPr>
          <w:p>
            <w:r/>
            <w:r>
              <w:rPr>
                <w:b/>
                <w:color w:val="FFFFFF"/>
                <w:sz w:val="20"/>
              </w:rPr>
              <w:t>Constante τ (cycles)</w:t>
            </w:r>
          </w:p>
        </w:tc>
      </w:tr>
      <w:tr>
        <w:tc>
          <w:tcPr>
            <w:tcW w:type="dxa" w:w="2835"/>
          </w:tcPr>
          <w:p>
            <w:r/>
            <w:r>
              <w:rPr>
                <w:sz w:val="19"/>
              </w:rPr>
              <w:t>UAV → UAV</w:t>
            </w:r>
          </w:p>
        </w:tc>
        <w:tc>
          <w:tcPr>
            <w:tcW w:type="dxa" w:w="1701"/>
          </w:tcPr>
          <w:p>
            <w:r/>
            <w:r>
              <w:rPr>
                <w:sz w:val="19"/>
              </w:rPr>
              <w:t>1,0</w:t>
            </w:r>
          </w:p>
        </w:tc>
        <w:tc>
          <w:tcPr>
            <w:tcW w:type="dxa" w:w="2268"/>
          </w:tcPr>
          <w:p>
            <w:r/>
            <w:r>
              <w:rPr>
                <w:sz w:val="19"/>
              </w:rPr>
              <w:t>1</w:t>
            </w:r>
          </w:p>
        </w:tc>
      </w:tr>
      <w:tr>
        <w:tc>
          <w:tcPr>
            <w:tcW w:type="dxa" w:w="2835"/>
          </w:tcPr>
          <w:p>
            <w:r/>
            <w:r>
              <w:rPr>
                <w:sz w:val="19"/>
              </w:rPr>
              <w:t>UAV → USV</w:t>
            </w:r>
          </w:p>
        </w:tc>
        <w:tc>
          <w:tcPr>
            <w:tcW w:type="dxa" w:w="1701"/>
          </w:tcPr>
          <w:p>
            <w:r/>
            <w:r>
              <w:rPr>
                <w:sz w:val="19"/>
              </w:rPr>
              <w:t>0,7</w:t>
            </w:r>
          </w:p>
        </w:tc>
        <w:tc>
          <w:tcPr>
            <w:tcW w:type="dxa" w:w="2268"/>
          </w:tcPr>
          <w:p>
            <w:r/>
            <w:r>
              <w:rPr>
                <w:sz w:val="19"/>
              </w:rPr>
              <w:t>2</w:t>
            </w:r>
          </w:p>
        </w:tc>
      </w:tr>
      <w:tr>
        <w:tc>
          <w:tcPr>
            <w:tcW w:type="dxa" w:w="2835"/>
          </w:tcPr>
          <w:p>
            <w:r/>
            <w:r>
              <w:rPr>
                <w:sz w:val="19"/>
              </w:rPr>
              <w:t>UAV → UUV</w:t>
            </w:r>
          </w:p>
        </w:tc>
        <w:tc>
          <w:tcPr>
            <w:tcW w:type="dxa" w:w="1701"/>
          </w:tcPr>
          <w:p>
            <w:r/>
            <w:r>
              <w:rPr>
                <w:sz w:val="19"/>
              </w:rPr>
              <w:t>0,3</w:t>
            </w:r>
          </w:p>
        </w:tc>
        <w:tc>
          <w:tcPr>
            <w:tcW w:type="dxa" w:w="2268"/>
          </w:tcPr>
          <w:p>
            <w:r/>
            <w:r>
              <w:rPr>
                <w:sz w:val="19"/>
              </w:rPr>
              <w:t>5</w:t>
            </w:r>
          </w:p>
        </w:tc>
      </w:tr>
      <w:tr>
        <w:tc>
          <w:tcPr>
            <w:tcW w:type="dxa" w:w="2835"/>
          </w:tcPr>
          <w:p>
            <w:r/>
            <w:r>
              <w:rPr>
                <w:sz w:val="19"/>
              </w:rPr>
              <w:t>USV → UAV</w:t>
            </w:r>
          </w:p>
        </w:tc>
        <w:tc>
          <w:tcPr>
            <w:tcW w:type="dxa" w:w="1701"/>
          </w:tcPr>
          <w:p>
            <w:r/>
            <w:r>
              <w:rPr>
                <w:sz w:val="19"/>
              </w:rPr>
              <w:t>0,8</w:t>
            </w:r>
          </w:p>
        </w:tc>
        <w:tc>
          <w:tcPr>
            <w:tcW w:type="dxa" w:w="2268"/>
          </w:tcPr>
          <w:p>
            <w:r/>
            <w:r>
              <w:rPr>
                <w:sz w:val="19"/>
              </w:rPr>
              <w:t>2</w:t>
            </w:r>
          </w:p>
        </w:tc>
      </w:tr>
      <w:tr>
        <w:tc>
          <w:tcPr>
            <w:tcW w:type="dxa" w:w="2835"/>
          </w:tcPr>
          <w:p>
            <w:r/>
            <w:r>
              <w:rPr>
                <w:sz w:val="19"/>
              </w:rPr>
              <w:t>USV → USV</w:t>
            </w:r>
          </w:p>
        </w:tc>
        <w:tc>
          <w:tcPr>
            <w:tcW w:type="dxa" w:w="1701"/>
          </w:tcPr>
          <w:p>
            <w:r/>
            <w:r>
              <w:rPr>
                <w:sz w:val="19"/>
              </w:rPr>
              <w:t>1,0</w:t>
            </w:r>
          </w:p>
        </w:tc>
        <w:tc>
          <w:tcPr>
            <w:tcW w:type="dxa" w:w="2268"/>
          </w:tcPr>
          <w:p>
            <w:r/>
            <w:r>
              <w:rPr>
                <w:sz w:val="19"/>
              </w:rPr>
              <w:t>1</w:t>
            </w:r>
          </w:p>
        </w:tc>
      </w:tr>
      <w:tr>
        <w:tc>
          <w:tcPr>
            <w:tcW w:type="dxa" w:w="2835"/>
          </w:tcPr>
          <w:p>
            <w:r/>
            <w:r>
              <w:rPr>
                <w:sz w:val="19"/>
              </w:rPr>
              <w:t>USV → UUV</w:t>
            </w:r>
          </w:p>
        </w:tc>
        <w:tc>
          <w:tcPr>
            <w:tcW w:type="dxa" w:w="1701"/>
          </w:tcPr>
          <w:p>
            <w:r/>
            <w:r>
              <w:rPr>
                <w:sz w:val="19"/>
              </w:rPr>
              <w:t>0,8</w:t>
            </w:r>
          </w:p>
        </w:tc>
        <w:tc>
          <w:tcPr>
            <w:tcW w:type="dxa" w:w="2268"/>
          </w:tcPr>
          <w:p>
            <w:r/>
            <w:r>
              <w:rPr>
                <w:sz w:val="19"/>
              </w:rPr>
              <w:t>3</w:t>
            </w:r>
          </w:p>
        </w:tc>
      </w:tr>
      <w:tr>
        <w:tc>
          <w:tcPr>
            <w:tcW w:type="dxa" w:w="2835"/>
          </w:tcPr>
          <w:p>
            <w:r/>
            <w:r>
              <w:rPr>
                <w:sz w:val="19"/>
              </w:rPr>
              <w:t>UUV → UAV</w:t>
            </w:r>
          </w:p>
        </w:tc>
        <w:tc>
          <w:tcPr>
            <w:tcW w:type="dxa" w:w="1701"/>
          </w:tcPr>
          <w:p>
            <w:r/>
            <w:r>
              <w:rPr>
                <w:sz w:val="19"/>
              </w:rPr>
              <w:t>0,5</w:t>
            </w:r>
          </w:p>
        </w:tc>
        <w:tc>
          <w:tcPr>
            <w:tcW w:type="dxa" w:w="2268"/>
          </w:tcPr>
          <w:p>
            <w:r/>
            <w:r>
              <w:rPr>
                <w:sz w:val="19"/>
              </w:rPr>
              <w:t>2</w:t>
            </w:r>
          </w:p>
        </w:tc>
      </w:tr>
      <w:tr>
        <w:tc>
          <w:tcPr>
            <w:tcW w:type="dxa" w:w="2835"/>
          </w:tcPr>
          <w:p>
            <w:r/>
            <w:r>
              <w:rPr>
                <w:sz w:val="19"/>
              </w:rPr>
              <w:t>UUV → USV</w:t>
            </w:r>
          </w:p>
        </w:tc>
        <w:tc>
          <w:tcPr>
            <w:tcW w:type="dxa" w:w="1701"/>
          </w:tcPr>
          <w:p>
            <w:r/>
            <w:r>
              <w:rPr>
                <w:sz w:val="19"/>
              </w:rPr>
              <w:t>0,6</w:t>
            </w:r>
          </w:p>
        </w:tc>
        <w:tc>
          <w:tcPr>
            <w:tcW w:type="dxa" w:w="2268"/>
          </w:tcPr>
          <w:p>
            <w:r/>
            <w:r>
              <w:rPr>
                <w:sz w:val="19"/>
              </w:rPr>
              <w:t>2</w:t>
            </w:r>
          </w:p>
        </w:tc>
      </w:tr>
      <w:tr>
        <w:tc>
          <w:tcPr>
            <w:tcW w:type="dxa" w:w="2835"/>
          </w:tcPr>
          <w:p>
            <w:r/>
            <w:r>
              <w:rPr>
                <w:sz w:val="19"/>
              </w:rPr>
              <w:t>UUV → UUV</w:t>
            </w:r>
          </w:p>
        </w:tc>
        <w:tc>
          <w:tcPr>
            <w:tcW w:type="dxa" w:w="1701"/>
          </w:tcPr>
          <w:p>
            <w:r/>
            <w:r>
              <w:rPr>
                <w:sz w:val="19"/>
              </w:rPr>
              <w:t>1,0</w:t>
            </w:r>
          </w:p>
        </w:tc>
        <w:tc>
          <w:tcPr>
            <w:tcW w:type="dxa" w:w="2268"/>
          </w:tcPr>
          <w:p>
            <w:r/>
            <w:r>
              <w:rPr>
                <w:sz w:val="19"/>
              </w:rPr>
              <w:t>1</w:t>
            </w:r>
          </w:p>
        </w:tc>
      </w:tr>
    </w:tbl>
    <w:p/>
    <w:p>
      <w:pPr>
        <w:pStyle w:val="Heading3"/>
      </w:pPr>
      <w:r>
        <w:t>17.3 Seuil minimal</w:t>
      </w:r>
    </w:p>
    <w:p>
      <w:pPr>
        <w:pStyle w:val="ListBullet"/>
        <w:spacing w:after="40"/>
        <w:ind w:left="425"/>
      </w:pPr>
      <w:r>
        <w:t>w_min [FIGÉ] = 0,2 (ADR §3, paramètre 18).</w:t>
      </w:r>
    </w:p>
    <w:p>
      <w:pPr>
        <w:pStyle w:val="ListBullet"/>
        <w:spacing w:after="40"/>
        <w:ind w:left="425"/>
      </w:pPr>
      <w:r>
        <w:t>Une mise à jour de gBest dont le gain pondéré est inférieur à w_min DOIT être ignorée.</w:t>
      </w:r>
    </w:p>
    <w:p>
      <w:pPr>
        <w:pStyle w:val="Heading3"/>
      </w:pPr>
      <w:r>
        <w:t>17.4 Justification</w:t>
      </w:r>
    </w:p>
    <w:p>
      <w:r>
        <w:rPr>
          <w:b w:val="0"/>
          <w:i w:val="0"/>
          <w:sz w:val="21"/>
        </w:rPr>
        <w:t>Un UUV ne peut pas suivre un gBest aérien. La pondération réduit le gain et allonge la constante de temps, évitant le gaspillage d'énergie sans latence de confirmation.</w:t>
      </w:r>
    </w:p>
    <w:p>
      <w:pPr>
        <w:pStyle w:val="Heading2"/>
      </w:pPr>
      <w:r>
        <w:t>18. Fusion des données</w:t>
      </w:r>
    </w:p>
    <w:p>
      <w:pPr>
        <w:pStyle w:val="Heading3"/>
      </w:pPr>
      <w:r>
        <w:t>18.1 Principe</w:t>
      </w:r>
    </w:p>
    <w:p>
      <w:r>
        <w:rPr>
          <w:b w:val="0"/>
          <w:i w:val="0"/>
          <w:sz w:val="21"/>
        </w:rPr>
        <w:t>Chaque nœud fusionne les données reçues selon leur type et leur origine.</w:t>
      </w:r>
    </w:p>
    <w:p>
      <w:pPr>
        <w:pStyle w:val="Heading3"/>
      </w:pPr>
      <w:r>
        <w:t>18.2 Règles de fusion</w:t>
      </w:r>
    </w:p>
    <w:p>
      <w:pPr>
        <w:pStyle w:val="ListBullet"/>
        <w:spacing w:after="40"/>
        <w:ind w:left="425"/>
      </w:pPr>
      <w:r>
        <w:t>Trame R priorité 11 : APF seul, PSO suspendu.</w:t>
      </w:r>
    </w:p>
    <w:p>
      <w:pPr>
        <w:pStyle w:val="ListBullet"/>
        <w:spacing w:after="40"/>
        <w:ind w:left="425"/>
      </w:pPr>
      <w:r>
        <w:t>Trame S mode absolu : recadrage du modèle prédictif + mise à jour gBest pondérée.</w:t>
      </w:r>
    </w:p>
    <w:p>
      <w:pPr>
        <w:pStyle w:val="ListBullet"/>
        <w:spacing w:after="40"/>
        <w:ind w:left="425"/>
      </w:pPr>
      <w:r>
        <w:t>Trame S mode delta : correction du modèle prédictif uniquement.</w:t>
      </w:r>
    </w:p>
    <w:p>
      <w:pPr>
        <w:pStyle w:val="ListBullet"/>
        <w:spacing w:after="40"/>
        <w:ind w:left="425"/>
      </w:pPr>
      <w:r>
        <w:t>Trame D : correction du modèle prédictif + mise à jour gBest pondérée.</w:t>
      </w:r>
    </w:p>
    <w:p>
      <w:pPr>
        <w:pStyle w:val="ListBullet"/>
        <w:spacing w:after="40"/>
        <w:ind w:left="425"/>
      </w:pPr>
      <w:r>
        <w:t>Trame H (heartbeat) : recadrage du modèle prédictif uniquement.</w:t>
      </w:r>
    </w:p>
    <w:p>
      <w:pPr>
        <w:pStyle w:val="Heading3"/>
      </w:pPr>
      <w:r>
        <w:t>18.3 Conflit de sources</w:t>
      </w:r>
    </w:p>
    <w:p>
      <w:pPr>
        <w:pStyle w:val="ListBullet"/>
        <w:spacing w:after="40"/>
        <w:ind w:left="425"/>
      </w:pPr>
      <w:r>
        <w:t>La source de fitness la plus élevée l'emporte.</w:t>
      </w:r>
    </w:p>
    <w:p>
      <w:pPr>
        <w:pStyle w:val="ListBullet"/>
        <w:spacing w:after="40"/>
        <w:ind w:left="425"/>
      </w:pPr>
      <w:r>
        <w:t>À fitness égale, la source la plus proche (RSSI) l'emporte.</w:t>
      </w:r>
    </w:p>
    <w:p>
      <w:pPr>
        <w:pStyle w:val="ListBullet"/>
        <w:spacing w:after="40"/>
        <w:ind w:left="425"/>
      </w:pPr>
      <w:r>
        <w:t>Le conflit DOIT être signalé au hub.</w:t>
      </w:r>
    </w:p>
    <w:p>
      <w:pPr>
        <w:pStyle w:val="Heading1"/>
      </w:pPr>
      <w:r>
        <w:t>Partie VII — Machine à états</w:t>
      </w:r>
    </w:p>
    <w:p>
      <w:pPr>
        <w:pStyle w:val="Heading2"/>
      </w:pPr>
      <w:r>
        <w:t>19. Machine à états d'un nœud</w:t>
      </w:r>
    </w:p>
    <w:p>
      <w:pPr>
        <w:jc w:val="center"/>
      </w:pPr>
      <w:r>
        <w:drawing>
          <wp:inline xmlns:a="http://schemas.openxmlformats.org/drawingml/2006/main" xmlns:pic="http://schemas.openxmlformats.org/drawingml/2006/picture">
            <wp:extent cx="5580000" cy="2764404"/>
            <wp:docPr id="5" name="Picture 5"/>
            <wp:cNvGraphicFramePr>
              <a:graphicFrameLocks noChangeAspect="1"/>
            </wp:cNvGraphicFramePr>
            <a:graphic>
              <a:graphicData uri="http://schemas.openxmlformats.org/drawingml/2006/picture">
                <pic:pic>
                  <pic:nvPicPr>
                    <pic:cNvPr id="0" name="fig4_etats.png"/>
                    <pic:cNvPicPr/>
                  </pic:nvPicPr>
                  <pic:blipFill>
                    <a:blip r:embed="rId13"/>
                    <a:stretch>
                      <a:fillRect/>
                    </a:stretch>
                  </pic:blipFill>
                  <pic:spPr>
                    <a:xfrm>
                      <a:off x="0" y="0"/>
                      <a:ext cx="5580000" cy="2764404"/>
                    </a:xfrm>
                    <a:prstGeom prst="rect"/>
                  </pic:spPr>
                </pic:pic>
              </a:graphicData>
            </a:graphic>
          </wp:inline>
        </w:drawing>
      </w:r>
    </w:p>
    <w:p>
      <w:pPr>
        <w:jc w:val="center"/>
      </w:pPr>
      <w:r>
        <w:rPr>
          <w:i/>
          <w:color w:val="555555"/>
          <w:sz w:val="18"/>
        </w:rPr>
        <w:t>Figure 5 — Machine à états d'un nœud H-Zip v2.2.</w:t>
      </w:r>
    </w:p>
    <w:p>
      <w:pPr>
        <w:pStyle w:val="Heading3"/>
      </w:pPr>
      <w:r>
        <w:t>19.1 États</w:t>
      </w:r>
    </w:p>
    <w:p>
      <w:r>
        <w:rPr>
          <w:b w:val="0"/>
          <w:i w:val="0"/>
          <w:sz w:val="21"/>
        </w:rPr>
        <w:t>ÉTAT 0 — PRÉDICTION (continu) : propagation du modèle cinématique ; comparaison avec heartbeats reçus ; si déviation &gt; epsilon → transition vers ÉTAT 5.</w:t>
      </w:r>
    </w:p>
    <w:p>
      <w:r>
        <w:rPr>
          <w:b w:val="0"/>
          <w:i w:val="0"/>
          <w:sz w:val="21"/>
        </w:rPr>
        <w:t>ÉTAT 1 — ÉCOUTE : détection de préambule (0xAA, 0xAB, 0xAC, 0xAD) ; transition vers ÉTAT 2.</w:t>
      </w:r>
    </w:p>
    <w:p>
      <w:r>
        <w:rPr>
          <w:b w:val="0"/>
          <w:i w:val="0"/>
          <w:sz w:val="21"/>
        </w:rPr>
        <w:t>ÉTAT 2 — RÉCEPTION : accumulation selon le type ; CRC invalide → rejet, retour ÉTAT 1 ; CRC valide → ÉTAT 3.</w:t>
      </w:r>
    </w:p>
    <w:p>
      <w:r>
        <w:rPr>
          <w:b w:val="0"/>
          <w:i w:val="0"/>
          <w:sz w:val="21"/>
        </w:rPr>
        <w:t>ÉTAT 3 — PARSING : décodage ; champ réservé non nul → rejet ; séquence périmée → rejet ; sinon → ÉTAT 4.</w:t>
      </w:r>
    </w:p>
    <w:p>
      <w:r>
        <w:rPr>
          <w:b w:val="0"/>
          <w:i w:val="0"/>
          <w:sz w:val="21"/>
        </w:rPr>
        <w:t>ÉTAT 4 — FUSION : application des règles §18 ; transition vers ÉTAT 5.</w:t>
      </w:r>
    </w:p>
    <w:p>
      <w:r>
        <w:rPr>
          <w:b w:val="0"/>
          <w:i w:val="0"/>
          <w:sz w:val="21"/>
        </w:rPr>
        <w:t>ÉTAT 5 — ÉMISSION : émission selon §10 ; retour à ÉTAT 0.</w:t>
      </w:r>
    </w:p>
    <w:p>
      <w:pPr>
        <w:pStyle w:val="Heading3"/>
      </w:pPr>
      <w:r>
        <w:t>19.2 Contraintes temporelles</w:t>
      </w:r>
    </w:p>
    <w:p>
      <w:pPr>
        <w:pStyle w:val="ListBullet"/>
        <w:spacing w:after="40"/>
        <w:ind w:left="425"/>
      </w:pPr>
      <w:r>
        <w:t>États 1–4 : &lt; 20 ms (couche réactive).</w:t>
      </w:r>
    </w:p>
    <w:p>
      <w:pPr>
        <w:pStyle w:val="ListBullet"/>
        <w:spacing w:after="40"/>
        <w:ind w:left="425"/>
      </w:pPr>
      <w:r>
        <w:t>ÉTAT 0 : continu, à chaque cycle de contrôle.</w:t>
      </w:r>
    </w:p>
    <w:p>
      <w:pPr>
        <w:pStyle w:val="ListBullet"/>
        <w:spacing w:after="40"/>
        <w:ind w:left="425"/>
      </w:pPr>
      <w:r>
        <w:t>ÉTAT 5 : selon la fréquence et le rate limiting.</w:t>
      </w:r>
    </w:p>
    <w:p>
      <w:pPr>
        <w:pStyle w:val="Heading3"/>
      </w:pPr>
      <w:r>
        <w:t>19.3 Transitions d'urgence</w:t>
      </w:r>
    </w:p>
    <w:p>
      <w:pPr>
        <w:pStyle w:val="ListBullet"/>
        <w:spacing w:after="40"/>
        <w:ind w:left="425"/>
      </w:pPr>
      <w:r>
        <w:t>Réception trame R priorité 11 → saut immédiat à ÉTAT 4 (fusion APF).</w:t>
      </w:r>
    </w:p>
    <w:p>
      <w:pPr>
        <w:pStyle w:val="ListBullet"/>
        <w:spacing w:after="40"/>
        <w:ind w:left="425"/>
      </w:pPr>
      <w:r>
        <w:t>Détection de perte de hub → transition vers mode dégradé (§13.4).</w:t>
      </w:r>
    </w:p>
    <w:p>
      <w:pPr>
        <w:pStyle w:val="Heading1"/>
      </w:pPr>
      <w:r>
        <w:t>Partie VIII — Couche cognitive</w:t>
      </w:r>
    </w:p>
    <w:p>
      <w:pPr>
        <w:pStyle w:val="Heading2"/>
      </w:pPr>
      <w:r>
        <w:t>20. Couche LLM</w:t>
      </w:r>
    </w:p>
    <w:p>
      <w:pPr>
        <w:pStyle w:val="Heading3"/>
      </w:pPr>
      <w:r>
        <w:t>20.1 Position</w:t>
      </w:r>
    </w:p>
    <w:p>
      <w:pPr>
        <w:pStyle w:val="ListBullet"/>
        <w:spacing w:after="40"/>
        <w:ind w:left="425"/>
      </w:pPr>
      <w:r>
        <w:t>Interdite dans les couches 0, 1, 2.</w:t>
      </w:r>
    </w:p>
    <w:p>
      <w:pPr>
        <w:pStyle w:val="ListBullet"/>
        <w:spacing w:after="40"/>
        <w:ind w:left="425"/>
      </w:pPr>
      <w:r>
        <w:t>Autorisée en couche 3.</w:t>
      </w:r>
    </w:p>
    <w:p>
      <w:pPr>
        <w:pStyle w:val="Heading3"/>
      </w:pPr>
      <w:r>
        <w:t>20.2 Fonctions autorisées</w:t>
      </w:r>
    </w:p>
    <w:p>
      <w:pPr>
        <w:pStyle w:val="ListBullet"/>
        <w:spacing w:after="40"/>
        <w:ind w:left="425"/>
      </w:pPr>
      <w:r>
        <w:t>Interpréter une séquence de trames.</w:t>
      </w:r>
    </w:p>
    <w:p>
      <w:pPr>
        <w:pStyle w:val="ListBullet"/>
        <w:spacing w:after="40"/>
        <w:ind w:left="425"/>
      </w:pPr>
      <w:r>
        <w:t>Détecter une anomalie comportementale.</w:t>
      </w:r>
    </w:p>
    <w:p>
      <w:pPr>
        <w:pStyle w:val="ListBullet"/>
        <w:spacing w:after="40"/>
        <w:ind w:left="425"/>
      </w:pPr>
      <w:r>
        <w:t>Reformuler un ordre de mission en paramètres PSO.</w:t>
      </w:r>
    </w:p>
    <w:p>
      <w:pPr>
        <w:pStyle w:val="ListBullet"/>
        <w:spacing w:after="40"/>
        <w:ind w:left="425"/>
      </w:pPr>
      <w:r>
        <w:t>Assister l'opérateur.</w:t>
      </w:r>
    </w:p>
    <w:p>
      <w:pPr>
        <w:pStyle w:val="Heading3"/>
      </w:pPr>
      <w:r>
        <w:t>20.3 Contrat d'interface</w:t>
      </w:r>
    </w:p>
    <w:p>
      <w:pPr>
        <w:pStyle w:val="ListBullet"/>
        <w:spacing w:after="40"/>
        <w:ind w:left="425"/>
      </w:pPr>
      <w:r>
        <w:t>Entrée : historique de trames décodées sur une fenêtre définie.</w:t>
      </w:r>
    </w:p>
    <w:p>
      <w:pPr>
        <w:pStyle w:val="ListBullet"/>
        <w:spacing w:after="40"/>
        <w:ind w:left="425"/>
      </w:pPr>
      <w:r>
        <w:t>Sortie : objet structuré validé par schéma. Jamais de texte libre exécuté.</w:t>
      </w:r>
    </w:p>
    <w:p>
      <w:pPr>
        <w:pStyle w:val="ListBullet"/>
        <w:spacing w:after="40"/>
        <w:ind w:left="425"/>
      </w:pPr>
      <w:r>
        <w:t>Fallback : si échec, timeout ou sortie invalide → règle déterministe.</w:t>
      </w:r>
    </w:p>
    <w:p>
      <w:pPr>
        <w:pStyle w:val="Heading3"/>
      </w:pPr>
      <w:r>
        <w:t>20.4 Exigences matérielles</w:t>
      </w:r>
    </w:p>
    <w:p>
      <w:pPr>
        <w:pStyle w:val="ListBullet"/>
        <w:spacing w:after="40"/>
        <w:ind w:left="425"/>
      </w:pPr>
      <w:r>
        <w:t>Modèle ≤ 1B paramètres.</w:t>
      </w:r>
    </w:p>
    <w:p>
      <w:pPr>
        <w:pStyle w:val="ListBullet"/>
        <w:spacing w:after="40"/>
        <w:ind w:left="425"/>
      </w:pPr>
      <w:r>
        <w:t>Quantification Q4 ou inférieure.</w:t>
      </w:r>
    </w:p>
    <w:p>
      <w:pPr>
        <w:pStyle w:val="ListBullet"/>
        <w:spacing w:after="40"/>
        <w:ind w:left="425"/>
      </w:pPr>
      <w:r>
        <w:t>Exécution asynchrone.</w:t>
      </w:r>
    </w:p>
    <w:p>
      <w:pPr>
        <w:pStyle w:val="ListBullet"/>
        <w:spacing w:after="40"/>
        <w:ind w:left="425"/>
      </w:pPr>
      <w:r>
        <w:t>Budget énergie par inférence à chiffrer.</w:t>
      </w:r>
    </w:p>
    <w:p>
      <w:pPr>
        <w:pStyle w:val="Heading3"/>
      </w:pPr>
      <w:r>
        <w:t>20.5 Candidats</w:t>
      </w:r>
    </w:p>
    <w:p>
      <w:pPr>
        <w:pStyle w:val="ListBullet"/>
        <w:spacing w:after="40"/>
        <w:ind w:left="425"/>
      </w:pPr>
      <w:r>
        <w:t>SmolLM2 135M / 360M.</w:t>
      </w:r>
    </w:p>
    <w:p>
      <w:pPr>
        <w:pStyle w:val="ListBullet"/>
        <w:spacing w:after="40"/>
        <w:ind w:left="425"/>
      </w:pPr>
      <w:r>
        <w:t>Qwen 2.5 0.5B.</w:t>
      </w:r>
    </w:p>
    <w:p>
      <w:pPr>
        <w:pStyle w:val="ListBullet"/>
        <w:spacing w:after="40"/>
        <w:ind w:left="425"/>
      </w:pPr>
      <w:r>
        <w:t>TinyLlama 1.1B.</w:t>
      </w:r>
    </w:p>
    <w:p>
      <w:pPr>
        <w:pStyle w:val="ListBullet"/>
        <w:spacing w:after="40"/>
        <w:ind w:left="425"/>
      </w:pPr>
      <w:r>
        <w:t>Gemma 3 1B.</w:t>
      </w:r>
    </w:p>
    <w:p>
      <w:pPr>
        <w:pStyle w:val="Heading3"/>
      </w:pPr>
      <w:r>
        <w:t>20.6 Interdiction absolue</w:t>
      </w:r>
    </w:p>
    <w:p>
      <w:r>
        <w:rPr>
          <w:b w:val="0"/>
          <w:i w:val="0"/>
          <w:sz w:val="21"/>
        </w:rPr>
        <w:t>Le LLM NE DOIT JAMAIS :</w:t>
      </w:r>
    </w:p>
    <w:p>
      <w:pPr>
        <w:pStyle w:val="ListBullet"/>
        <w:spacing w:after="40"/>
        <w:ind w:left="425"/>
      </w:pPr>
      <w:r>
        <w:t>parser une trame H-Zip ;</w:t>
      </w:r>
    </w:p>
    <w:p>
      <w:pPr>
        <w:pStyle w:val="ListBullet"/>
        <w:spacing w:after="40"/>
        <w:ind w:left="425"/>
      </w:pPr>
      <w:r>
        <w:t>décider du silence ou du déclenchement d'une transmission ;</w:t>
      </w:r>
    </w:p>
    <w:p>
      <w:pPr>
        <w:pStyle w:val="ListBullet"/>
        <w:spacing w:after="40"/>
        <w:ind w:left="425"/>
      </w:pPr>
      <w:r>
        <w:t>participer à une fonction de survie.</w:t>
      </w:r>
    </w:p>
    <w:p>
      <w:pPr>
        <w:pStyle w:val="Heading1"/>
      </w:pPr>
      <w:r>
        <w:t>Partie IX — Portabilité et conformité</w:t>
      </w:r>
    </w:p>
    <w:p>
      <w:pPr>
        <w:pStyle w:val="Heading2"/>
      </w:pPr>
      <w:r>
        <w:t>21. Portabilité matérielle</w:t>
      </w:r>
    </w:p>
    <w:p>
      <w:pPr>
        <w:pStyle w:val="Heading3"/>
      </w:pPr>
      <w:r>
        <w:t>21.1 Exigence</w:t>
      </w:r>
    </w:p>
    <w:p>
      <w:r>
        <w:rPr>
          <w:b w:val="0"/>
          <w:i w:val="0"/>
          <w:sz w:val="21"/>
        </w:rPr>
        <w:t>Le codec DOIT fonctionner du MCU 8 bits au Linux embarqué.</w:t>
      </w:r>
    </w:p>
    <w:p>
      <w:pPr>
        <w:pStyle w:val="Heading3"/>
      </w:pPr>
      <w:r>
        <w:t>21.2 Contraintes normatives</w:t>
      </w:r>
    </w:p>
    <w:p>
      <w:pPr>
        <w:pStyle w:val="ListBullet"/>
        <w:spacing w:after="40"/>
        <w:ind w:left="425"/>
      </w:pPr>
      <w:r>
        <w:t>Pas d'allocation dynamique.</w:t>
      </w:r>
    </w:p>
    <w:p>
      <w:pPr>
        <w:pStyle w:val="ListBullet"/>
        <w:spacing w:after="40"/>
        <w:ind w:left="425"/>
      </w:pPr>
      <w:r>
        <w:t>Pas de dépendance externe.</w:t>
      </w:r>
    </w:p>
    <w:p>
      <w:pPr>
        <w:pStyle w:val="ListBullet"/>
        <w:spacing w:after="40"/>
        <w:ind w:left="425"/>
      </w:pPr>
      <w:r>
        <w:t>Types à largeur fixe.</w:t>
      </w:r>
    </w:p>
    <w:p>
      <w:pPr>
        <w:pStyle w:val="ListBullet"/>
        <w:spacing w:after="40"/>
        <w:ind w:left="425"/>
      </w:pPr>
      <w:r>
        <w:t>Pas de virgule flottante dans le chemin critique.</w:t>
      </w:r>
    </w:p>
    <w:p>
      <w:pPr>
        <w:pStyle w:val="ListBullet"/>
        <w:spacing w:after="40"/>
        <w:ind w:left="425"/>
      </w:pPr>
      <w:r>
        <w:t>Codec sans état.</w:t>
      </w:r>
    </w:p>
    <w:p>
      <w:pPr>
        <w:pStyle w:val="ListBullet"/>
        <w:spacing w:after="40"/>
        <w:ind w:left="425"/>
      </w:pPr>
      <w:r>
        <w:t>Gros-boutiste.</w:t>
      </w:r>
    </w:p>
    <w:p>
      <w:pPr>
        <w:pStyle w:val="Heading3"/>
      </w:pPr>
      <w:r>
        <w:t>21.3 Cibles de validation</w:t>
      </w:r>
    </w:p>
    <w:p>
      <w:pPr>
        <w:pStyle w:val="ListBullet"/>
        <w:spacing w:after="40"/>
        <w:ind w:left="425"/>
      </w:pPr>
      <w:r>
        <w:t>≥ 1 architecture 32 bits (ARM Cortex-M).</w:t>
      </w:r>
    </w:p>
    <w:p>
      <w:pPr>
        <w:pStyle w:val="ListBullet"/>
        <w:spacing w:after="40"/>
        <w:ind w:left="425"/>
      </w:pPr>
      <w:r>
        <w:t>≥ 1 architecture 64 bits (x86-64).</w:t>
      </w:r>
    </w:p>
    <w:p>
      <w:pPr>
        <w:pStyle w:val="Heading2"/>
      </w:pPr>
      <w:r>
        <w:t>22. Critères de conformité</w:t>
      </w:r>
    </w:p>
    <w:p>
      <w:r>
        <w:rPr>
          <w:b w:val="0"/>
          <w:i w:val="0"/>
          <w:sz w:val="21"/>
        </w:rPr>
        <w:t>Un système est conforme à H-Zip v2.2 si :</w:t>
      </w:r>
    </w:p>
    <w:p>
      <w:pPr>
        <w:pStyle w:val="ListNumber"/>
        <w:spacing w:after="40"/>
      </w:pPr>
      <w:r>
        <w:t>Il implémente les trames R, S, D, H avec les formats des §4–7.</w:t>
      </w:r>
    </w:p>
    <w:p>
      <w:pPr>
        <w:pStyle w:val="ListNumber"/>
        <w:spacing w:after="40"/>
      </w:pPr>
      <w:r>
        <w:t>Il rejette toute trame au CRC invalide.</w:t>
      </w:r>
    </w:p>
    <w:p>
      <w:pPr>
        <w:pStyle w:val="ListNumber"/>
        <w:spacing w:after="40"/>
      </w:pPr>
      <w:r>
        <w:t>Il rejette tout champ réservé non nul.</w:t>
      </w:r>
    </w:p>
    <w:p>
      <w:pPr>
        <w:pStyle w:val="ListNumber"/>
        <w:spacing w:after="40"/>
      </w:pPr>
      <w:r>
        <w:t>Il rejette toute séquence périmée.</w:t>
      </w:r>
    </w:p>
    <w:p>
      <w:pPr>
        <w:pStyle w:val="ListNumber"/>
        <w:spacing w:after="40"/>
      </w:pPr>
      <w:r>
        <w:t>Il applique la priorité absolue de l'APF sur le PSO.</w:t>
      </w:r>
    </w:p>
    <w:p>
      <w:pPr>
        <w:pStyle w:val="ListNumber"/>
        <w:spacing w:after="40"/>
      </w:pPr>
      <w:r>
        <w:t>Il applique la pondération hétérogène (§17).</w:t>
      </w:r>
    </w:p>
    <w:p>
      <w:pPr>
        <w:pStyle w:val="ListNumber"/>
        <w:spacing w:after="40"/>
      </w:pPr>
      <w:r>
        <w:t>Il n'utilise pas de LLM dans les couches 0, 1, 2.</w:t>
      </w:r>
    </w:p>
    <w:p>
      <w:pPr>
        <w:pStyle w:val="ListNumber"/>
        <w:spacing w:after="40"/>
      </w:pPr>
      <w:r>
        <w:t>Il émet un heartbeat même en silence nominal.</w:t>
      </w:r>
    </w:p>
    <w:p>
      <w:pPr>
        <w:pStyle w:val="ListNumber"/>
        <w:spacing w:after="40"/>
      </w:pPr>
      <w:r>
        <w:t>Il borne epsilon supérieurement (§9.3).</w:t>
      </w:r>
    </w:p>
    <w:p>
      <w:pPr>
        <w:pStyle w:val="ListNumber"/>
        <w:spacing w:after="40"/>
      </w:pPr>
      <w:r>
        <w:t>Il borne le broadcast (TTL + rate limiting, §12).</w:t>
      </w:r>
    </w:p>
    <w:p>
      <w:pPr>
        <w:pStyle w:val="ListNumber"/>
        <w:spacing w:after="40"/>
      </w:pPr>
      <w:r>
        <w:t>Il désigne un hub de secours par cluster (§13).</w:t>
      </w:r>
    </w:p>
    <w:p>
      <w:pPr>
        <w:pStyle w:val="ListNumber"/>
        <w:spacing w:after="40"/>
      </w:pPr>
      <w:r>
        <w:t>Il implémente la prédiction déterministe (§8).</w:t>
      </w:r>
    </w:p>
    <w:p>
      <w:pPr>
        <w:pStyle w:val="ListNumber"/>
        <w:spacing w:after="40"/>
      </w:pPr>
      <w:r>
        <w:t>Il fonctionne sans allocation dynamique.</w:t>
      </w:r>
    </w:p>
    <w:p>
      <w:pPr>
        <w:pStyle w:val="ListNumber"/>
        <w:spacing w:after="40"/>
      </w:pPr>
      <w:r>
        <w:t>Il est validé sur ≥ 2 architectures.</w:t>
      </w:r>
    </w:p>
    <w:p>
      <w:pPr>
        <w:pStyle w:val="Heading2"/>
      </w:pPr>
      <w:r>
        <w:t>23. Intégration LikeC4</w:t>
      </w:r>
    </w:p>
    <w:p>
      <w:pPr>
        <w:pStyle w:val="Heading3"/>
      </w:pPr>
      <w:r>
        <w:t>23.1 Principe</w:t>
      </w:r>
    </w:p>
    <w:p>
      <w:r>
        <w:rPr>
          <w:b w:val="0"/>
          <w:i w:val="0"/>
          <w:sz w:val="21"/>
        </w:rPr>
        <w:t>LikeC4 modélise l'architecture, pas le format binaire. La spécification reste normative et séparée.</w:t>
      </w:r>
    </w:p>
    <w:p>
      <w:pPr>
        <w:pStyle w:val="Heading3"/>
      </w:pPr>
      <w:r>
        <w:t>23.2 Éléments</w:t>
      </w:r>
    </w:p>
    <w:p>
      <w:pPr>
        <w:pStyle w:val="ListBullet"/>
        <w:spacing w:after="40"/>
        <w:ind w:left="425"/>
      </w:pPr>
      <w:r>
        <w:t>Systèmes : Swarm, Operator.</w:t>
      </w:r>
    </w:p>
    <w:p>
      <w:pPr>
        <w:pStyle w:val="ListBullet"/>
        <w:spacing w:after="40"/>
        <w:ind w:left="425"/>
      </w:pPr>
      <w:r>
        <w:t>Conteneurs : UAV, USV, UUV.</w:t>
      </w:r>
    </w:p>
    <w:p>
      <w:pPr>
        <w:pStyle w:val="ListBullet"/>
        <w:spacing w:after="40"/>
        <w:ind w:left="425"/>
      </w:pPr>
      <w:r>
        <w:t>Composants (par plateforme) : Codec, PredictionModel, ReactiveSolver, StrategicSolver, Fusion, Heartbeat, HubElection, Aggregation, LLMLayer.</w:t>
      </w:r>
    </w:p>
    <w:p>
      <w:pPr>
        <w:pStyle w:val="ListBullet"/>
        <w:spacing w:after="40"/>
        <w:ind w:left="425"/>
      </w:pPr>
      <w:r>
        <w:t>Canal : CommChannel.</w:t>
      </w:r>
    </w:p>
    <w:p>
      <w:pPr>
        <w:pStyle w:val="Heading3"/>
      </w:pPr>
      <w:r>
        <w:t>23.3 Relations</w:t>
      </w:r>
    </w:p>
    <w:p>
      <w:pPr>
        <w:pStyle w:val="ListBullet"/>
        <w:spacing w:after="40"/>
        <w:ind w:left="425"/>
      </w:pPr>
      <w:r>
        <w:t>UAV/USV/UUV → CommChannel : émission/réception.</w:t>
      </w:r>
    </w:p>
    <w:p>
      <w:pPr>
        <w:pStyle w:val="ListBullet"/>
        <w:spacing w:after="40"/>
        <w:ind w:left="425"/>
      </w:pPr>
      <w:r>
        <w:t>Codec → PredictionModel : trames décodées.</w:t>
      </w:r>
    </w:p>
    <w:p>
      <w:pPr>
        <w:pStyle w:val="ListBullet"/>
        <w:spacing w:after="40"/>
        <w:ind w:left="425"/>
      </w:pPr>
      <w:r>
        <w:t>Codec → ReactiveSolver : vecteur APF.</w:t>
      </w:r>
    </w:p>
    <w:p>
      <w:pPr>
        <w:pStyle w:val="ListBullet"/>
        <w:spacing w:after="40"/>
        <w:ind w:left="425"/>
      </w:pPr>
      <w:r>
        <w:t>Codec → StrategicSolver : vecteur PSO.</w:t>
      </w:r>
    </w:p>
    <w:p>
      <w:pPr>
        <w:pStyle w:val="ListBullet"/>
        <w:spacing w:after="40"/>
        <w:ind w:left="425"/>
      </w:pPr>
      <w:r>
        <w:t>Codec → Fusion : données pondérées.</w:t>
      </w:r>
    </w:p>
    <w:p>
      <w:pPr>
        <w:pStyle w:val="ListBullet"/>
        <w:spacing w:after="40"/>
        <w:ind w:left="425"/>
      </w:pPr>
      <w:r>
        <w:t>PredictionModel → Fusion : état prédit.</w:t>
      </w:r>
    </w:p>
    <w:p>
      <w:pPr>
        <w:pStyle w:val="ListBullet"/>
        <w:spacing w:after="40"/>
        <w:ind w:left="425"/>
      </w:pPr>
      <w:r>
        <w:t>Fusion → StrategicSolver : gBest mis à jour.</w:t>
      </w:r>
    </w:p>
    <w:p>
      <w:pPr>
        <w:pStyle w:val="ListBullet"/>
        <w:spacing w:after="40"/>
        <w:ind w:left="425"/>
      </w:pPr>
      <w:r>
        <w:t>Heartbeat → CommChannel : émission périodique.</w:t>
      </w:r>
    </w:p>
    <w:p>
      <w:pPr>
        <w:pStyle w:val="ListBullet"/>
        <w:spacing w:after="40"/>
        <w:ind w:left="425"/>
      </w:pPr>
      <w:r>
        <w:t>Aggregation → CommChannel : émission consolidée.</w:t>
      </w:r>
    </w:p>
    <w:p>
      <w:pPr>
        <w:pStyle w:val="ListBullet"/>
        <w:spacing w:after="40"/>
        <w:ind w:left="425"/>
      </w:pPr>
      <w:r>
        <w:t>HubElection → Aggregation : bascule.</w:t>
      </w:r>
    </w:p>
    <w:p>
      <w:pPr>
        <w:pStyle w:val="ListBullet"/>
        <w:spacing w:after="40"/>
        <w:ind w:left="425"/>
      </w:pPr>
      <w:r>
        <w:t>LLMLayer → Operator : assistance.</w:t>
      </w:r>
    </w:p>
    <w:p>
      <w:pPr>
        <w:pStyle w:val="ListBullet"/>
        <w:spacing w:after="40"/>
        <w:ind w:left="425"/>
      </w:pPr>
      <w:r>
        <w:t>LLMLayer → Fusion : lecture seule.</w:t>
      </w:r>
    </w:p>
    <w:p>
      <w:pPr>
        <w:pStyle w:val="Heading3"/>
      </w:pPr>
      <w:r>
        <w:t>23.4 Attributs obligatoires</w:t>
      </w:r>
    </w:p>
    <w:p>
      <w:r>
        <w:rPr>
          <w:b w:val="0"/>
          <w:i w:val="0"/>
          <w:sz w:val="21"/>
        </w:rPr>
        <w:t>Chaque composant DOIT porter : spec_ref, freq, latency_max.</w:t>
      </w:r>
    </w:p>
    <w:p>
      <w:pPr>
        <w:pStyle w:val="Heading3"/>
      </w:pPr>
      <w:r>
        <w:t>23.5 Règle de cohérence</w:t>
      </w:r>
    </w:p>
    <w:p>
      <w:r>
        <w:rPr>
          <w:b w:val="0"/>
          <w:i w:val="0"/>
          <w:sz w:val="21"/>
        </w:rPr>
        <w:t>Le modèle LikeC4 NE DOIT PAS contredire cette spécification. En cas d'écart, la spécification fait foi.</w:t>
      </w:r>
    </w:p>
    <w:p>
      <w:pPr>
        <w:pStyle w:val="Heading1"/>
      </w:pPr>
      <w:r>
        <w:t>Partie X — Points ouverts et vérification</w:t>
      </w:r>
    </w:p>
    <w:p>
      <w:pPr>
        <w:pStyle w:val="Heading2"/>
      </w:pPr>
      <w:r>
        <w:t>24. Points ouverts</w:t>
      </w:r>
    </w:p>
    <w:p>
      <w:pPr>
        <w:pStyle w:val="Heading3"/>
      </w:pPr>
      <w:r>
        <w:t>24.1 Valeurs numériques figées</w:t>
      </w:r>
    </w:p>
    <w:p>
      <w:r>
        <w:rPr>
          <w:b w:val="0"/>
          <w:i/>
          <w:color w:val="555555"/>
          <w:sz w:val="19"/>
        </w:rPr>
        <w:t>Les 19 paramètres ci-dessous sont FIGÉS (source de vérité : ADR-hzip-protocole-calibration, table §3). Chaque valeur est justifiée par un calcul ou une référence dans l'ADR ; le renvoi « ADR §3, n°N » pointe la ligne de justification.</w:t>
      </w:r>
    </w:p>
    <w:tbl>
      <w:tblPr>
        <w:tblStyle w:val="TableGrid"/>
        <w:tblW w:type="auto" w:w="0"/>
        <w:jc w:val="center"/>
        <w:tblLook w:firstColumn="1" w:firstRow="1" w:lastColumn="0" w:lastRow="0" w:noHBand="0" w:noVBand="1" w:val="04A0"/>
      </w:tblPr>
      <w:tblGrid>
        <w:gridCol w:w="2880"/>
        <w:gridCol w:w="2880"/>
        <w:gridCol w:w="2880"/>
      </w:tblGrid>
      <w:tr>
        <w:tc>
          <w:tcPr>
            <w:tcW w:type="dxa" w:w="2551"/>
            <w:shd w:val="clear" w:color="auto" w:fill="1F3A5F"/>
          </w:tcPr>
          <w:p>
            <w:r/>
            <w:r>
              <w:rPr>
                <w:b/>
                <w:color w:val="FFFFFF"/>
                <w:sz w:val="20"/>
              </w:rPr>
              <w:t>Paramètre</w:t>
            </w:r>
          </w:p>
        </w:tc>
        <w:tc>
          <w:tcPr>
            <w:tcW w:type="dxa" w:w="3969"/>
            <w:shd w:val="clear" w:color="auto" w:fill="1F3A5F"/>
          </w:tcPr>
          <w:p>
            <w:r/>
            <w:r>
              <w:rPr>
                <w:b/>
                <w:color w:val="FFFFFF"/>
                <w:sz w:val="20"/>
              </w:rPr>
              <w:t>Valeur FIGÉE</w:t>
            </w:r>
          </w:p>
        </w:tc>
        <w:tc>
          <w:tcPr>
            <w:tcW w:type="dxa" w:w="1417"/>
            <w:shd w:val="clear" w:color="auto" w:fill="1F3A5F"/>
          </w:tcPr>
          <w:p>
            <w:r/>
            <w:r>
              <w:rPr>
                <w:b/>
                <w:color w:val="FFFFFF"/>
                <w:sz w:val="20"/>
              </w:rPr>
              <w:t>Renvoi ADR</w:t>
            </w:r>
          </w:p>
        </w:tc>
      </w:tr>
      <w:tr>
        <w:tc>
          <w:tcPr>
            <w:tcW w:type="dxa" w:w="2551"/>
          </w:tcPr>
          <w:p>
            <w:r/>
            <w:r>
              <w:rPr>
                <w:sz w:val="19"/>
              </w:rPr>
              <w:t>N_cluster_max</w:t>
            </w:r>
          </w:p>
        </w:tc>
        <w:tc>
          <w:tcPr>
            <w:tcW w:type="dxa" w:w="3969"/>
          </w:tcPr>
          <w:p>
            <w:r/>
            <w:r>
              <w:rPr>
                <w:sz w:val="19"/>
              </w:rPr>
              <w:t>20</w:t>
            </w:r>
          </w:p>
        </w:tc>
        <w:tc>
          <w:tcPr>
            <w:tcW w:type="dxa" w:w="1417"/>
          </w:tcPr>
          <w:p>
            <w:r/>
            <w:r>
              <w:rPr>
                <w:sz w:val="19"/>
              </w:rPr>
              <w:t>§3, n°1</w:t>
            </w:r>
          </w:p>
        </w:tc>
      </w:tr>
      <w:tr>
        <w:tc>
          <w:tcPr>
            <w:tcW w:type="dxa" w:w="2551"/>
          </w:tcPr>
          <w:p>
            <w:r/>
            <w:r>
              <w:rPr>
                <w:sz w:val="19"/>
              </w:rPr>
              <w:t>N_hub_max</w:t>
            </w:r>
          </w:p>
        </w:tc>
        <w:tc>
          <w:tcPr>
            <w:tcW w:type="dxa" w:w="3969"/>
          </w:tcPr>
          <w:p>
            <w:r/>
            <w:r>
              <w:rPr>
                <w:sz w:val="19"/>
              </w:rPr>
              <w:t>25</w:t>
            </w:r>
          </w:p>
        </w:tc>
        <w:tc>
          <w:tcPr>
            <w:tcW w:type="dxa" w:w="1417"/>
          </w:tcPr>
          <w:p>
            <w:r/>
            <w:r>
              <w:rPr>
                <w:sz w:val="19"/>
              </w:rPr>
              <w:t>§3, n°2</w:t>
            </w:r>
          </w:p>
        </w:tc>
      </w:tr>
      <w:tr>
        <w:tc>
          <w:tcPr>
            <w:tcW w:type="dxa" w:w="2551"/>
          </w:tcPr>
          <w:p>
            <w:r/>
            <w:r>
              <w:rPr>
                <w:sz w:val="19"/>
              </w:rPr>
              <w:t>f_hb / T_hb</w:t>
            </w:r>
          </w:p>
        </w:tc>
        <w:tc>
          <w:tcPr>
            <w:tcW w:type="dxa" w:w="3969"/>
          </w:tcPr>
          <w:p>
            <w:r/>
            <w:r>
              <w:rPr>
                <w:sz w:val="19"/>
              </w:rPr>
              <w:t>UAV 1 Hz (1 s) · USV 0,5 Hz (2 s) · UUV 0,2 Hz (5 s)</w:t>
            </w:r>
          </w:p>
        </w:tc>
        <w:tc>
          <w:tcPr>
            <w:tcW w:type="dxa" w:w="1417"/>
          </w:tcPr>
          <w:p>
            <w:r/>
            <w:r>
              <w:rPr>
                <w:sz w:val="19"/>
              </w:rPr>
              <w:t>§3, n°3</w:t>
            </w:r>
          </w:p>
        </w:tc>
      </w:tr>
      <w:tr>
        <w:tc>
          <w:tcPr>
            <w:tcW w:type="dxa" w:w="2551"/>
          </w:tcPr>
          <w:p>
            <w:r/>
            <w:r>
              <w:rPr>
                <w:sz w:val="19"/>
              </w:rPr>
              <w:t>e_max</w:t>
            </w:r>
          </w:p>
        </w:tc>
        <w:tc>
          <w:tcPr>
            <w:tcW w:type="dxa" w:w="3969"/>
          </w:tcPr>
          <w:p>
            <w:r/>
            <w:r>
              <w:rPr>
                <w:sz w:val="19"/>
              </w:rPr>
              <w:t>UAV 1,0 m · USV 2,0 m · UUV 6,25 m</w:t>
            </w:r>
          </w:p>
        </w:tc>
        <w:tc>
          <w:tcPr>
            <w:tcW w:type="dxa" w:w="1417"/>
          </w:tcPr>
          <w:p>
            <w:r/>
            <w:r>
              <w:rPr>
                <w:sz w:val="19"/>
              </w:rPr>
              <w:t>§3, n°4</w:t>
            </w:r>
          </w:p>
        </w:tc>
      </w:tr>
      <w:tr>
        <w:tc>
          <w:tcPr>
            <w:tcW w:type="dxa" w:w="2551"/>
          </w:tcPr>
          <w:p>
            <w:r/>
            <w:r>
              <w:rPr>
                <w:sz w:val="19"/>
              </w:rPr>
              <w:t>epsilon_base</w:t>
            </w:r>
          </w:p>
        </w:tc>
        <w:tc>
          <w:tcPr>
            <w:tcW w:type="dxa" w:w="3969"/>
          </w:tcPr>
          <w:p>
            <w:r/>
            <w:r>
              <w:rPr>
                <w:sz w:val="19"/>
              </w:rPr>
              <w:t>UAV 1 m · USV 2 m · UUV 3 m</w:t>
            </w:r>
          </w:p>
        </w:tc>
        <w:tc>
          <w:tcPr>
            <w:tcW w:type="dxa" w:w="1417"/>
          </w:tcPr>
          <w:p>
            <w:r/>
            <w:r>
              <w:rPr>
                <w:sz w:val="19"/>
              </w:rPr>
              <w:t>§3, n°5</w:t>
            </w:r>
          </w:p>
        </w:tc>
      </w:tr>
      <w:tr>
        <w:tc>
          <w:tcPr>
            <w:tcW w:type="dxa" w:w="2551"/>
          </w:tcPr>
          <w:p>
            <w:r/>
            <w:r>
              <w:rPr>
                <w:sz w:val="19"/>
              </w:rPr>
              <w:t>epsilon_max</w:t>
            </w:r>
          </w:p>
        </w:tc>
        <w:tc>
          <w:tcPr>
            <w:tcW w:type="dxa" w:w="3969"/>
          </w:tcPr>
          <w:p>
            <w:r/>
            <w:r>
              <w:rPr>
                <w:sz w:val="19"/>
              </w:rPr>
              <w:t>5 m</w:t>
            </w:r>
          </w:p>
        </w:tc>
        <w:tc>
          <w:tcPr>
            <w:tcW w:type="dxa" w:w="1417"/>
          </w:tcPr>
          <w:p>
            <w:r/>
            <w:r>
              <w:rPr>
                <w:sz w:val="19"/>
              </w:rPr>
              <w:t>§3, n°6</w:t>
            </w:r>
          </w:p>
        </w:tc>
      </w:tr>
      <w:tr>
        <w:tc>
          <w:tcPr>
            <w:tcW w:type="dxa" w:w="2551"/>
          </w:tcPr>
          <w:p>
            <w:r/>
            <w:r>
              <w:rPr>
                <w:sz w:val="19"/>
              </w:rPr>
              <w:t>sigma_max</w:t>
            </w:r>
          </w:p>
        </w:tc>
        <w:tc>
          <w:tcPr>
            <w:tcW w:type="dxa" w:w="3969"/>
          </w:tcPr>
          <w:p>
            <w:r/>
            <w:r>
              <w:rPr>
                <w:sz w:val="19"/>
              </w:rPr>
              <w:t>45°</w:t>
            </w:r>
          </w:p>
        </w:tc>
        <w:tc>
          <w:tcPr>
            <w:tcW w:type="dxa" w:w="1417"/>
          </w:tcPr>
          <w:p>
            <w:r/>
            <w:r>
              <w:rPr>
                <w:sz w:val="19"/>
              </w:rPr>
              <w:t>§3, n°7</w:t>
            </w:r>
          </w:p>
        </w:tc>
      </w:tr>
      <w:tr>
        <w:tc>
          <w:tcPr>
            <w:tcW w:type="dxa" w:w="2551"/>
          </w:tcPr>
          <w:p>
            <w:r/>
            <w:r>
              <w:rPr>
                <w:sz w:val="19"/>
              </w:rPr>
              <w:t>N_tx_max</w:t>
            </w:r>
          </w:p>
        </w:tc>
        <w:tc>
          <w:tcPr>
            <w:tcW w:type="dxa" w:w="3969"/>
          </w:tcPr>
          <w:p>
            <w:r/>
            <w:r>
              <w:rPr>
                <w:sz w:val="19"/>
              </w:rPr>
              <w:t>10 /s</w:t>
            </w:r>
          </w:p>
        </w:tc>
        <w:tc>
          <w:tcPr>
            <w:tcW w:type="dxa" w:w="1417"/>
          </w:tcPr>
          <w:p>
            <w:r/>
            <w:r>
              <w:rPr>
                <w:sz w:val="19"/>
              </w:rPr>
              <w:t>§3, n°8</w:t>
            </w:r>
          </w:p>
        </w:tc>
      </w:tr>
      <w:tr>
        <w:tc>
          <w:tcPr>
            <w:tcW w:type="dxa" w:w="2551"/>
          </w:tcPr>
          <w:p>
            <w:r/>
            <w:r>
              <w:rPr>
                <w:sz w:val="19"/>
              </w:rPr>
              <w:t>W_agg</w:t>
            </w:r>
          </w:p>
        </w:tc>
        <w:tc>
          <w:tcPr>
            <w:tcW w:type="dxa" w:w="3969"/>
          </w:tcPr>
          <w:p>
            <w:r/>
            <w:r>
              <w:rPr>
                <w:sz w:val="19"/>
              </w:rPr>
              <w:t>1 s</w:t>
            </w:r>
          </w:p>
        </w:tc>
        <w:tc>
          <w:tcPr>
            <w:tcW w:type="dxa" w:w="1417"/>
          </w:tcPr>
          <w:p>
            <w:r/>
            <w:r>
              <w:rPr>
                <w:sz w:val="19"/>
              </w:rPr>
              <w:t>§3, n°9</w:t>
            </w:r>
          </w:p>
        </w:tc>
      </w:tr>
      <w:tr>
        <w:tc>
          <w:tcPr>
            <w:tcW w:type="dxa" w:w="2551"/>
          </w:tcPr>
          <w:p>
            <w:r/>
            <w:r>
              <w:rPr>
                <w:sz w:val="19"/>
              </w:rPr>
              <w:t>T_hb_max (voisin perdu)</w:t>
            </w:r>
          </w:p>
        </w:tc>
        <w:tc>
          <w:tcPr>
            <w:tcW w:type="dxa" w:w="3969"/>
          </w:tcPr>
          <w:p>
            <w:r/>
            <w:r>
              <w:rPr>
                <w:sz w:val="19"/>
              </w:rPr>
              <w:t>3 × T_hb : 3 s · 6 s · 15 s</w:t>
            </w:r>
          </w:p>
        </w:tc>
        <w:tc>
          <w:tcPr>
            <w:tcW w:type="dxa" w:w="1417"/>
          </w:tcPr>
          <w:p>
            <w:r/>
            <w:r>
              <w:rPr>
                <w:sz w:val="19"/>
              </w:rPr>
              <w:t>§3, n°10</w:t>
            </w:r>
          </w:p>
        </w:tc>
      </w:tr>
      <w:tr>
        <w:tc>
          <w:tcPr>
            <w:tcW w:type="dxa" w:w="2551"/>
          </w:tcPr>
          <w:p>
            <w:r/>
            <w:r>
              <w:rPr>
                <w:sz w:val="19"/>
              </w:rPr>
              <w:t>T_hub_max (hub perdu)</w:t>
            </w:r>
          </w:p>
        </w:tc>
        <w:tc>
          <w:tcPr>
            <w:tcW w:type="dxa" w:w="3969"/>
          </w:tcPr>
          <w:p>
            <w:r/>
            <w:r>
              <w:rPr>
                <w:sz w:val="19"/>
              </w:rPr>
              <w:t>10 s</w:t>
            </w:r>
          </w:p>
        </w:tc>
        <w:tc>
          <w:tcPr>
            <w:tcW w:type="dxa" w:w="1417"/>
          </w:tcPr>
          <w:p>
            <w:r/>
            <w:r>
              <w:rPr>
                <w:sz w:val="19"/>
              </w:rPr>
              <w:t>§3, n°11</w:t>
            </w:r>
          </w:p>
        </w:tc>
      </w:tr>
      <w:tr>
        <w:tc>
          <w:tcPr>
            <w:tcW w:type="dxa" w:w="2551"/>
          </w:tcPr>
          <w:p>
            <w:r/>
            <w:r>
              <w:rPr>
                <w:sz w:val="19"/>
              </w:rPr>
              <w:t>T_conf</w:t>
            </w:r>
          </w:p>
        </w:tc>
        <w:tc>
          <w:tcPr>
            <w:tcW w:type="dxa" w:w="3969"/>
          </w:tcPr>
          <w:p>
            <w:r/>
            <w:r>
              <w:rPr>
                <w:sz w:val="19"/>
              </w:rPr>
              <w:t>5 s</w:t>
            </w:r>
          </w:p>
        </w:tc>
        <w:tc>
          <w:tcPr>
            <w:tcW w:type="dxa" w:w="1417"/>
          </w:tcPr>
          <w:p>
            <w:r/>
            <w:r>
              <w:rPr>
                <w:sz w:val="19"/>
              </w:rPr>
              <w:t>§3, n°12</w:t>
            </w:r>
          </w:p>
        </w:tc>
      </w:tr>
      <w:tr>
        <w:tc>
          <w:tcPr>
            <w:tcW w:type="dxa" w:w="2551"/>
          </w:tcPr>
          <w:p>
            <w:r/>
            <w:r>
              <w:rPr>
                <w:sz w:val="19"/>
              </w:rPr>
              <w:t>T_switch_min</w:t>
            </w:r>
          </w:p>
        </w:tc>
        <w:tc>
          <w:tcPr>
            <w:tcW w:type="dxa" w:w="3969"/>
          </w:tcPr>
          <w:p>
            <w:r/>
            <w:r>
              <w:rPr>
                <w:sz w:val="19"/>
              </w:rPr>
              <w:t>60 s</w:t>
            </w:r>
          </w:p>
        </w:tc>
        <w:tc>
          <w:tcPr>
            <w:tcW w:type="dxa" w:w="1417"/>
          </w:tcPr>
          <w:p>
            <w:r/>
            <w:r>
              <w:rPr>
                <w:sz w:val="19"/>
              </w:rPr>
              <w:t>§3, n°13</w:t>
            </w:r>
          </w:p>
        </w:tc>
      </w:tr>
      <w:tr>
        <w:tc>
          <w:tcPr>
            <w:tcW w:type="dxa" w:w="2551"/>
          </w:tcPr>
          <w:p>
            <w:r/>
            <w:r>
              <w:rPr>
                <w:sz w:val="19"/>
              </w:rPr>
              <w:t>ΔRSSI_min</w:t>
            </w:r>
          </w:p>
        </w:tc>
        <w:tc>
          <w:tcPr>
            <w:tcW w:type="dxa" w:w="3969"/>
          </w:tcPr>
          <w:p>
            <w:r/>
            <w:r>
              <w:rPr>
                <w:sz w:val="19"/>
              </w:rPr>
              <w:t>6 dB</w:t>
            </w:r>
          </w:p>
        </w:tc>
        <w:tc>
          <w:tcPr>
            <w:tcW w:type="dxa" w:w="1417"/>
          </w:tcPr>
          <w:p>
            <w:r/>
            <w:r>
              <w:rPr>
                <w:sz w:val="19"/>
              </w:rPr>
              <w:t>§3, n°14</w:t>
            </w:r>
          </w:p>
        </w:tc>
      </w:tr>
      <w:tr>
        <w:tc>
          <w:tcPr>
            <w:tcW w:type="dxa" w:w="2551"/>
          </w:tcPr>
          <w:p>
            <w:r/>
            <w:r>
              <w:rPr>
                <w:sz w:val="19"/>
              </w:rPr>
              <w:t>T_recover</w:t>
            </w:r>
          </w:p>
        </w:tc>
        <w:tc>
          <w:tcPr>
            <w:tcW w:type="dxa" w:w="3969"/>
          </w:tcPr>
          <w:p>
            <w:r/>
            <w:r>
              <w:rPr>
                <w:sz w:val="19"/>
              </w:rPr>
              <w:t>10 s</w:t>
            </w:r>
          </w:p>
        </w:tc>
        <w:tc>
          <w:tcPr>
            <w:tcW w:type="dxa" w:w="1417"/>
          </w:tcPr>
          <w:p>
            <w:r/>
            <w:r>
              <w:rPr>
                <w:sz w:val="19"/>
              </w:rPr>
              <w:t>§3, n°15</w:t>
            </w:r>
          </w:p>
        </w:tc>
      </w:tr>
      <w:tr>
        <w:tc>
          <w:tcPr>
            <w:tcW w:type="dxa" w:w="2551"/>
          </w:tcPr>
          <w:p>
            <w:r/>
            <w:r>
              <w:rPr>
                <w:sz w:val="19"/>
              </w:rPr>
              <w:t>N_rep</w:t>
            </w:r>
          </w:p>
        </w:tc>
        <w:tc>
          <w:tcPr>
            <w:tcW w:type="dxa" w:w="3969"/>
          </w:tcPr>
          <w:p>
            <w:r/>
            <w:r>
              <w:rPr>
                <w:sz w:val="19"/>
              </w:rPr>
              <w:t>3</w:t>
            </w:r>
          </w:p>
        </w:tc>
        <w:tc>
          <w:tcPr>
            <w:tcW w:type="dxa" w:w="1417"/>
          </w:tcPr>
          <w:p>
            <w:r/>
            <w:r>
              <w:rPr>
                <w:sz w:val="19"/>
              </w:rPr>
              <w:t>§3, n°16</w:t>
            </w:r>
          </w:p>
        </w:tc>
      </w:tr>
      <w:tr>
        <w:tc>
          <w:tcPr>
            <w:tcW w:type="dxa" w:w="2551"/>
          </w:tcPr>
          <w:p>
            <w:r/>
            <w:r>
              <w:rPr>
                <w:sz w:val="19"/>
              </w:rPr>
              <w:t>P_loss_max</w:t>
            </w:r>
          </w:p>
        </w:tc>
        <w:tc>
          <w:tcPr>
            <w:tcW w:type="dxa" w:w="3969"/>
          </w:tcPr>
          <w:p>
            <w:r/>
            <w:r>
              <w:rPr>
                <w:sz w:val="19"/>
              </w:rPr>
              <w:t>30 %</w:t>
            </w:r>
          </w:p>
        </w:tc>
        <w:tc>
          <w:tcPr>
            <w:tcW w:type="dxa" w:w="1417"/>
          </w:tcPr>
          <w:p>
            <w:r/>
            <w:r>
              <w:rPr>
                <w:sz w:val="19"/>
              </w:rPr>
              <w:t>§3, n°17</w:t>
            </w:r>
          </w:p>
        </w:tc>
      </w:tr>
      <w:tr>
        <w:tc>
          <w:tcPr>
            <w:tcW w:type="dxa" w:w="2551"/>
          </w:tcPr>
          <w:p>
            <w:r/>
            <w:r>
              <w:rPr>
                <w:sz w:val="19"/>
              </w:rPr>
              <w:t>w_min</w:t>
            </w:r>
          </w:p>
        </w:tc>
        <w:tc>
          <w:tcPr>
            <w:tcW w:type="dxa" w:w="3969"/>
          </w:tcPr>
          <w:p>
            <w:r/>
            <w:r>
              <w:rPr>
                <w:sz w:val="19"/>
              </w:rPr>
              <w:t>0,2</w:t>
            </w:r>
          </w:p>
        </w:tc>
        <w:tc>
          <w:tcPr>
            <w:tcW w:type="dxa" w:w="1417"/>
          </w:tcPr>
          <w:p>
            <w:r/>
            <w:r>
              <w:rPr>
                <w:sz w:val="19"/>
              </w:rPr>
              <w:t>§3, n°18</w:t>
            </w:r>
          </w:p>
        </w:tc>
      </w:tr>
      <w:tr>
        <w:tc>
          <w:tcPr>
            <w:tcW w:type="dxa" w:w="2551"/>
          </w:tcPr>
          <w:p>
            <w:r/>
            <w:r>
              <w:rPr>
                <w:sz w:val="19"/>
              </w:rPr>
              <w:t>Matrice w et τ</w:t>
            </w:r>
          </w:p>
        </w:tc>
        <w:tc>
          <w:tcPr>
            <w:tcW w:type="dxa" w:w="3969"/>
          </w:tcPr>
          <w:p>
            <w:r/>
            <w:r>
              <w:rPr>
                <w:sz w:val="19"/>
              </w:rPr>
              <w:t>§17.1 (9 gains + 9 constantes)</w:t>
            </w:r>
          </w:p>
        </w:tc>
        <w:tc>
          <w:tcPr>
            <w:tcW w:type="dxa" w:w="1417"/>
          </w:tcPr>
          <w:p>
            <w:r/>
            <w:r>
              <w:rPr>
                <w:sz w:val="19"/>
              </w:rPr>
              <w:t>§3, n°19</w:t>
            </w:r>
          </w:p>
        </w:tc>
      </w:tr>
    </w:tbl>
    <w:p/>
    <w:p>
      <w:r>
        <w:rPr>
          <w:b w:val="0"/>
          <w:i/>
          <w:color w:val="555555"/>
          <w:sz w:val="19"/>
        </w:rPr>
        <w:t>Paramètres de test associés (ADR §3) : testHzipCrc N = 10 000 tirages ; testHzipLatence cible ≤ 20 ms ; testHzipDivergence T_hb/e_max (§2.2) ; testHzipBande capacité modem À MESURER (DE-07).</w:t>
      </w:r>
    </w:p>
    <w:p>
      <w:r>
        <w:rPr>
          <w:b w:val="0"/>
          <w:i w:val="0"/>
          <w:sz w:val="21"/>
        </w:rPr>
        <w:t>Méthode de confirmation : les valeurs figées sont des valeurs de conception à re-confirmer par simulation multi-agents (200 nœuds, 3 classes, canal bruité paramétrable) puis en banc (mesure des bornes physiques a_max, v_max, d_min et capacité du modem — décisions matérielles DE-05/DE-06/DE-07).</w:t>
      </w:r>
    </w:p>
    <w:p>
      <w:pPr>
        <w:pStyle w:val="Heading3"/>
      </w:pPr>
      <w:r>
        <w:t>24.2 Trame de conflit</w:t>
      </w:r>
    </w:p>
    <w:p>
      <w:r>
        <w:rPr>
          <w:b w:val="0"/>
          <w:i w:val="0"/>
          <w:sz w:val="21"/>
        </w:rPr>
        <w:t>Le type de trame de conflit (§11.3) reste à définir. Proposition : réutiliser la trame D avec signe = 11 (réservé) et une direction encodant le type de conflit.</w:t>
      </w:r>
    </w:p>
    <w:p>
      <w:pPr>
        <w:pStyle w:val="Heading3"/>
      </w:pPr>
      <w:r>
        <w:t>24.3 Protocole de saut de fréquence</w:t>
      </w:r>
    </w:p>
    <w:p>
      <w:r>
        <w:rPr>
          <w:b w:val="0"/>
          <w:i w:val="0"/>
          <w:sz w:val="21"/>
        </w:rPr>
        <w:t>Hors périmètre. À spécifier dans une couche physique séparée.</w:t>
      </w:r>
    </w:p>
    <w:p>
      <w:pPr>
        <w:pStyle w:val="Heading3"/>
      </w:pPr>
      <w:r>
        <w:t>24.4 Modèle LLM retenu</w:t>
      </w:r>
    </w:p>
    <w:p>
      <w:r>
        <w:rPr>
          <w:b w:val="0"/>
          <w:i w:val="0"/>
          <w:sz w:val="21"/>
        </w:rPr>
        <w:t>À sélectionner après benchmark (§20.5).</w:t>
      </w:r>
    </w:p>
    <w:p>
      <w:pPr>
        <w:pStyle w:val="Heading3"/>
      </w:pPr>
      <w:r>
        <w:t>24.5 Budget énergie LLM</w:t>
      </w:r>
    </w:p>
    <w:p>
      <w:r>
        <w:rPr>
          <w:b w:val="0"/>
          <w:i w:val="0"/>
          <w:sz w:val="21"/>
        </w:rPr>
        <w:t>À chiffrer avant sélection.</w:t>
      </w:r>
    </w:p>
    <w:p>
      <w:pPr>
        <w:pStyle w:val="Heading3"/>
      </w:pPr>
      <w:r>
        <w:t>24.6 Taille maximale de l'essaim</w:t>
      </w:r>
    </w:p>
    <w:p>
      <w:r>
        <w:rPr>
          <w:b w:val="0"/>
          <w:i w:val="0"/>
          <w:sz w:val="21"/>
        </w:rPr>
        <w:t>200 supposés, à confirmer.</w:t>
      </w:r>
    </w:p>
    <w:p>
      <w:pPr>
        <w:pStyle w:val="Heading2"/>
      </w:pPr>
      <w:r>
        <w:t>25. Vérification — métriques mesurables</w:t>
      </w:r>
    </w:p>
    <w:p>
      <w:r>
        <w:rPr>
          <w:b/>
          <w:i w:val="0"/>
          <w:sz w:val="21"/>
        </w:rPr>
        <w:t>Mesurable :</w:t>
      </w:r>
    </w:p>
    <w:p>
      <w:pPr>
        <w:pStyle w:val="ListBullet"/>
        <w:spacing w:after="40"/>
        <w:ind w:left="425"/>
      </w:pPr>
      <w:r>
        <w:t>Taux de trames corrompues non détectées (cible : 0).</w:t>
      </w:r>
    </w:p>
    <w:p>
      <w:pPr>
        <w:pStyle w:val="ListBullet"/>
        <w:spacing w:after="40"/>
        <w:ind w:left="425"/>
      </w:pPr>
      <w:r>
        <w:t>Latence boucle réactive (cible : &lt; 20 ms).</w:t>
      </w:r>
    </w:p>
    <w:p>
      <w:pPr>
        <w:pStyle w:val="ListBullet"/>
        <w:spacing w:after="40"/>
        <w:ind w:left="425"/>
      </w:pPr>
      <w:r>
        <w:t>Taux de collisions évitées.</w:t>
      </w:r>
    </w:p>
    <w:p>
      <w:pPr>
        <w:pStyle w:val="ListBullet"/>
        <w:spacing w:after="40"/>
        <w:ind w:left="425"/>
      </w:pPr>
      <w:r>
        <w:t>Bande passante par nœud.</w:t>
      </w:r>
    </w:p>
    <w:p>
      <w:pPr>
        <w:pStyle w:val="ListBullet"/>
        <w:spacing w:after="40"/>
        <w:ind w:left="425"/>
      </w:pPr>
      <w:r>
        <w:t>Divergence du modèle prédictif (cible : bornée par §8.5).</w:t>
      </w:r>
    </w:p>
    <w:p>
      <w:pPr>
        <w:pStyle w:val="ListBullet"/>
        <w:spacing w:after="40"/>
        <w:ind w:left="425"/>
      </w:pPr>
      <w:r>
        <w:t>Temps de convergence PSO.</w:t>
      </w:r>
    </w:p>
    <w:p>
      <w:pPr>
        <w:pStyle w:val="ListBullet"/>
        <w:spacing w:after="40"/>
        <w:ind w:left="425"/>
      </w:pPr>
      <w:r>
        <w:t>Taux de perte de hub détectée.</w:t>
      </w:r>
    </w:p>
    <w:p>
      <w:pPr>
        <w:pStyle w:val="ListBullet"/>
        <w:spacing w:after="40"/>
        <w:ind w:left="425"/>
      </w:pPr>
      <w:r>
        <w:t>Temps de bascule de hub.</w:t>
      </w:r>
    </w:p>
    <w:p>
      <w:pPr>
        <w:pStyle w:val="ListBullet"/>
        <w:spacing w:after="40"/>
        <w:ind w:left="425"/>
      </w:pPr>
      <w:r>
        <w:t>Taux de faux positifs de transmission (transmissions inutiles).</w:t>
      </w:r>
    </w:p>
    <w:p>
      <w:r>
        <w:rPr>
          <w:b/>
          <w:i w:val="0"/>
          <w:sz w:val="21"/>
        </w:rPr>
        <w:t>Non mesurable en l'état :</w:t>
      </w:r>
    </w:p>
    <w:p>
      <w:pPr>
        <w:pStyle w:val="ListBullet"/>
        <w:spacing w:after="40"/>
        <w:ind w:left="425"/>
      </w:pPr>
      <w:r>
        <w:t>Qualité de l'inférence miroir (dépend du modèle cinématique).</w:t>
      </w:r>
    </w:p>
    <w:p>
      <w:pPr>
        <w:pStyle w:val="ListBullet"/>
        <w:spacing w:after="40"/>
        <w:ind w:left="425"/>
      </w:pPr>
      <w:r>
        <w:t>Robustesse au brouillage (dépend du matériel).</w:t>
      </w:r>
    </w:p>
    <w:p>
      <w:pPr>
        <w:pStyle w:val="Heading2"/>
      </w:pPr>
      <w:r>
        <w:t>26. Écarts Dream-Zip → v2.2 (récapitulatif)</w:t>
      </w:r>
    </w:p>
    <w:p>
      <w:pPr>
        <w:pStyle w:val="ListBullet"/>
        <w:spacing w:after="40"/>
        <w:ind w:left="425"/>
      </w:pPr>
      <w:r>
        <w:t>Conservé : event-driven, hiérarchie par hubs, transmission du delta, silence nominal.</w:t>
      </w:r>
    </w:p>
    <w:p>
      <w:pPr>
        <w:pStyle w:val="ListBullet"/>
        <w:spacing w:after="40"/>
        <w:ind w:left="425"/>
      </w:pPr>
      <w:r>
        <w:t>Ajouté : couche 0 (prédiction déterministe), heartbeat, trame D, trame H, epsilon borné, hub de secours, broadcast borné, agrégation formalisée, mobilité inter-cluster, gestion des pannes.</w:t>
      </w:r>
    </w:p>
    <w:p>
      <w:pPr>
        <w:pStyle w:val="ListBullet"/>
        <w:spacing w:after="40"/>
        <w:ind w:left="425"/>
      </w:pPr>
      <w:r>
        <w:t>Corrigé : inférence miroir déterministe, LLM retiré de la boucle de décision, octets enrichis (direction + intensité), adressage binaire.</w:t>
      </w:r>
    </w:p>
    <w:p>
      <w:pPr>
        <w:pStyle w:val="ListBullet"/>
        <w:spacing w:after="40"/>
        <w:ind w:left="425"/>
      </w:pPr>
      <w:r>
        <w:t>Supprimé : encodage ASCII K–Y, « Logique LLM Embarquée ».</w:t>
      </w:r>
    </w:p>
    <w:p>
      <w:pPr>
        <w:pStyle w:val="ListBullet"/>
        <w:spacing w:after="40"/>
        <w:ind w:left="425"/>
      </w:pPr>
      <w:r>
        <w:t>Figé (v2.2) : 19 paramètres + 4 paramètres de test (ADR-hzip-protocole-calibration) ; tailles de trames S=8, D=4, H=8 octets ; suppression de « f_hb = 0,1 Hz global » (contredit par §8.6 per-classe).</w:t>
      </w:r>
    </w:p>
    <w:p>
      <w:r>
        <w:br w:type="page"/>
      </w:r>
    </w:p>
    <w:p>
      <w:pPr>
        <w:pStyle w:val="Heading1"/>
      </w:pPr>
      <w:r>
        <w:t>Annexe A — Table de correspondance des trames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850"/>
            <w:shd w:val="clear" w:color="auto" w:fill="1F3A5F"/>
          </w:tcPr>
          <w:p>
            <w:r/>
            <w:r>
              <w:rPr>
                <w:b/>
                <w:color w:val="FFFFFF"/>
                <w:sz w:val="20"/>
              </w:rPr>
              <w:t>Trame</w:t>
            </w:r>
          </w:p>
        </w:tc>
        <w:tc>
          <w:tcPr>
            <w:tcW w:type="dxa" w:w="850"/>
            <w:shd w:val="clear" w:color="auto" w:fill="1F3A5F"/>
          </w:tcPr>
          <w:p>
            <w:r/>
            <w:r>
              <w:rPr>
                <w:b/>
                <w:color w:val="FFFFFF"/>
                <w:sz w:val="20"/>
              </w:rPr>
              <w:t>SYNC</w:t>
            </w:r>
          </w:p>
        </w:tc>
        <w:tc>
          <w:tcPr>
            <w:tcW w:type="dxa" w:w="850"/>
            <w:shd w:val="clear" w:color="auto" w:fill="1F3A5F"/>
          </w:tcPr>
          <w:p>
            <w:r/>
            <w:r>
              <w:rPr>
                <w:b/>
                <w:color w:val="FFFFFF"/>
                <w:sz w:val="20"/>
              </w:rPr>
              <w:t>Taille</w:t>
            </w:r>
          </w:p>
        </w:tc>
        <w:tc>
          <w:tcPr>
            <w:tcW w:type="dxa" w:w="850"/>
            <w:shd w:val="clear" w:color="auto" w:fill="1F3A5F"/>
          </w:tcPr>
          <w:p>
            <w:r/>
            <w:r>
              <w:rPr>
                <w:b/>
                <w:color w:val="FFFFFF"/>
                <w:sz w:val="20"/>
              </w:rPr>
              <w:t>Couche</w:t>
            </w:r>
          </w:p>
        </w:tc>
        <w:tc>
          <w:tcPr>
            <w:tcW w:type="dxa" w:w="1701"/>
            <w:shd w:val="clear" w:color="auto" w:fill="1F3A5F"/>
          </w:tcPr>
          <w:p>
            <w:r/>
            <w:r>
              <w:rPr>
                <w:b/>
                <w:color w:val="FFFFFF"/>
                <w:sz w:val="20"/>
              </w:rPr>
              <w:t>Fréquence</w:t>
            </w:r>
          </w:p>
        </w:tc>
        <w:tc>
          <w:tcPr>
            <w:tcW w:type="dxa" w:w="2835"/>
            <w:shd w:val="clear" w:color="auto" w:fill="1F3A5F"/>
          </w:tcPr>
          <w:p>
            <w:r/>
            <w:r>
              <w:rPr>
                <w:b/>
                <w:color w:val="FFFFFF"/>
                <w:sz w:val="20"/>
              </w:rPr>
              <w:t>Usage</w:t>
            </w:r>
          </w:p>
        </w:tc>
      </w:tr>
      <w:tr>
        <w:tc>
          <w:tcPr>
            <w:tcW w:type="dxa" w:w="850"/>
          </w:tcPr>
          <w:p>
            <w:r/>
            <w:r>
              <w:rPr>
                <w:sz w:val="19"/>
              </w:rPr>
              <w:t>R</w:t>
            </w:r>
          </w:p>
        </w:tc>
        <w:tc>
          <w:tcPr>
            <w:tcW w:type="dxa" w:w="850"/>
          </w:tcPr>
          <w:p>
            <w:r/>
            <w:r>
              <w:rPr>
                <w:sz w:val="19"/>
              </w:rPr>
              <w:t>0xAA</w:t>
            </w:r>
          </w:p>
        </w:tc>
        <w:tc>
          <w:tcPr>
            <w:tcW w:type="dxa" w:w="850"/>
          </w:tcPr>
          <w:p>
            <w:r/>
            <w:r>
              <w:rPr>
                <w:sz w:val="19"/>
              </w:rPr>
              <w:t>4 o</w:t>
            </w:r>
          </w:p>
        </w:tc>
        <w:tc>
          <w:tcPr>
            <w:tcW w:type="dxa" w:w="850"/>
          </w:tcPr>
          <w:p>
            <w:r/>
            <w:r>
              <w:rPr>
                <w:sz w:val="19"/>
              </w:rPr>
              <w:t>1</w:t>
            </w:r>
          </w:p>
        </w:tc>
        <w:tc>
          <w:tcPr>
            <w:tcW w:type="dxa" w:w="1701"/>
          </w:tcPr>
          <w:p>
            <w:r/>
            <w:r>
              <w:rPr>
                <w:sz w:val="19"/>
              </w:rPr>
              <w:t>10–50 Hz</w:t>
            </w:r>
          </w:p>
        </w:tc>
        <w:tc>
          <w:tcPr>
            <w:tcW w:type="dxa" w:w="2835"/>
          </w:tcPr>
          <w:p>
            <w:r/>
            <w:r>
              <w:rPr>
                <w:sz w:val="19"/>
              </w:rPr>
              <w:t>Anti-collision (APF)</w:t>
            </w:r>
          </w:p>
        </w:tc>
      </w:tr>
      <w:tr>
        <w:tc>
          <w:tcPr>
            <w:tcW w:type="dxa" w:w="850"/>
          </w:tcPr>
          <w:p>
            <w:r/>
            <w:r>
              <w:rPr>
                <w:sz w:val="19"/>
              </w:rPr>
              <w:t>S</w:t>
            </w:r>
          </w:p>
        </w:tc>
        <w:tc>
          <w:tcPr>
            <w:tcW w:type="dxa" w:w="850"/>
          </w:tcPr>
          <w:p>
            <w:r/>
            <w:r>
              <w:rPr>
                <w:sz w:val="19"/>
              </w:rPr>
              <w:t>0xAB</w:t>
            </w:r>
          </w:p>
        </w:tc>
        <w:tc>
          <w:tcPr>
            <w:tcW w:type="dxa" w:w="850"/>
          </w:tcPr>
          <w:p>
            <w:r/>
            <w:r>
              <w:rPr>
                <w:sz w:val="19"/>
              </w:rPr>
              <w:t>8 o</w:t>
            </w:r>
          </w:p>
        </w:tc>
        <w:tc>
          <w:tcPr>
            <w:tcW w:type="dxa" w:w="850"/>
          </w:tcPr>
          <w:p>
            <w:r/>
            <w:r>
              <w:rPr>
                <w:sz w:val="19"/>
              </w:rPr>
              <w:t>2</w:t>
            </w:r>
          </w:p>
        </w:tc>
        <w:tc>
          <w:tcPr>
            <w:tcW w:type="dxa" w:w="1701"/>
          </w:tcPr>
          <w:p>
            <w:r/>
            <w:r>
              <w:rPr>
                <w:sz w:val="19"/>
              </w:rPr>
              <w:t>0,1–2 Hz</w:t>
            </w:r>
          </w:p>
        </w:tc>
        <w:tc>
          <w:tcPr>
            <w:tcW w:type="dxa" w:w="2835"/>
          </w:tcPr>
          <w:p>
            <w:r/>
            <w:r>
              <w:rPr>
                <w:sz w:val="19"/>
              </w:rPr>
              <w:t>Convergence (PSO)</w:t>
            </w:r>
          </w:p>
        </w:tc>
      </w:tr>
      <w:tr>
        <w:tc>
          <w:tcPr>
            <w:tcW w:type="dxa" w:w="850"/>
          </w:tcPr>
          <w:p>
            <w:r/>
            <w:r>
              <w:rPr>
                <w:sz w:val="19"/>
              </w:rPr>
              <w:t>D</w:t>
            </w:r>
          </w:p>
        </w:tc>
        <w:tc>
          <w:tcPr>
            <w:tcW w:type="dxa" w:w="850"/>
          </w:tcPr>
          <w:p>
            <w:r/>
            <w:r>
              <w:rPr>
                <w:sz w:val="19"/>
              </w:rPr>
              <w:t>0xAC</w:t>
            </w:r>
          </w:p>
        </w:tc>
        <w:tc>
          <w:tcPr>
            <w:tcW w:type="dxa" w:w="850"/>
          </w:tcPr>
          <w:p>
            <w:r/>
            <w:r>
              <w:rPr>
                <w:sz w:val="19"/>
              </w:rPr>
              <w:t>4 o</w:t>
            </w:r>
          </w:p>
        </w:tc>
        <w:tc>
          <w:tcPr>
            <w:tcW w:type="dxa" w:w="850"/>
          </w:tcPr>
          <w:p>
            <w:r/>
            <w:r>
              <w:rPr>
                <w:sz w:val="19"/>
              </w:rPr>
              <w:t>2</w:t>
            </w:r>
          </w:p>
        </w:tc>
        <w:tc>
          <w:tcPr>
            <w:tcW w:type="dxa" w:w="1701"/>
          </w:tcPr>
          <w:p>
            <w:r/>
            <w:r>
              <w:rPr>
                <w:sz w:val="19"/>
              </w:rPr>
              <w:t>Événementielle</w:t>
            </w:r>
          </w:p>
        </w:tc>
        <w:tc>
          <w:tcPr>
            <w:tcW w:type="dxa" w:w="2835"/>
          </w:tcPr>
          <w:p>
            <w:r/>
            <w:r>
              <w:rPr>
                <w:sz w:val="19"/>
              </w:rPr>
              <w:t>Correction delta</w:t>
            </w:r>
          </w:p>
        </w:tc>
      </w:tr>
      <w:tr>
        <w:tc>
          <w:tcPr>
            <w:tcW w:type="dxa" w:w="850"/>
          </w:tcPr>
          <w:p>
            <w:r/>
            <w:r>
              <w:rPr>
                <w:sz w:val="19"/>
              </w:rPr>
              <w:t>H</w:t>
            </w:r>
          </w:p>
        </w:tc>
        <w:tc>
          <w:tcPr>
            <w:tcW w:type="dxa" w:w="850"/>
          </w:tcPr>
          <w:p>
            <w:r/>
            <w:r>
              <w:rPr>
                <w:sz w:val="19"/>
              </w:rPr>
              <w:t>0xAD</w:t>
            </w:r>
          </w:p>
        </w:tc>
        <w:tc>
          <w:tcPr>
            <w:tcW w:type="dxa" w:w="850"/>
          </w:tcPr>
          <w:p>
            <w:r/>
            <w:r>
              <w:rPr>
                <w:sz w:val="19"/>
              </w:rPr>
              <w:t>8 o</w:t>
            </w:r>
          </w:p>
        </w:tc>
        <w:tc>
          <w:tcPr>
            <w:tcW w:type="dxa" w:w="850"/>
          </w:tcPr>
          <w:p>
            <w:r/>
            <w:r>
              <w:rPr>
                <w:sz w:val="19"/>
              </w:rPr>
              <w:t>0</w:t>
            </w:r>
          </w:p>
        </w:tc>
        <w:tc>
          <w:tcPr>
            <w:tcW w:type="dxa" w:w="1701"/>
          </w:tcPr>
          <w:p>
            <w:r/>
            <w:r>
              <w:rPr>
                <w:sz w:val="19"/>
              </w:rPr>
              <w:t>1 Hz / 0,5 Hz / 0,2 Hz</w:t>
            </w:r>
          </w:p>
        </w:tc>
        <w:tc>
          <w:tcPr>
            <w:tcW w:type="dxa" w:w="2835"/>
          </w:tcPr>
          <w:p>
            <w:r/>
            <w:r>
              <w:rPr>
                <w:sz w:val="19"/>
              </w:rPr>
              <w:t>Heartbeat de recadrage</w:t>
            </w:r>
          </w:p>
        </w:tc>
      </w:tr>
    </w:tbl>
    <w:p/>
    <w:p>
      <w:pPr>
        <w:pStyle w:val="Heading1"/>
      </w:pPr>
      <w:r>
        <w:t>Annexe B — Glossaire</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1F3A5F"/>
          </w:tcPr>
          <w:p>
            <w:r/>
            <w:r>
              <w:rPr>
                <w:b/>
                <w:color w:val="FFFFFF"/>
                <w:sz w:val="20"/>
              </w:rPr>
              <w:t>Terme</w:t>
            </w:r>
          </w:p>
        </w:tc>
        <w:tc>
          <w:tcPr>
            <w:tcW w:type="dxa" w:w="5669"/>
            <w:shd w:val="clear" w:color="auto" w:fill="1F3A5F"/>
          </w:tcPr>
          <w:p>
            <w:r/>
            <w:r>
              <w:rPr>
                <w:b/>
                <w:color w:val="FFFFFF"/>
                <w:sz w:val="20"/>
              </w:rPr>
              <w:t>Définition</w:t>
            </w:r>
          </w:p>
        </w:tc>
      </w:tr>
      <w:tr>
        <w:tc>
          <w:tcPr>
            <w:tcW w:type="dxa" w:w="2268"/>
          </w:tcPr>
          <w:p>
            <w:r/>
            <w:r>
              <w:rPr>
                <w:sz w:val="19"/>
              </w:rPr>
              <w:t>APF</w:t>
            </w:r>
          </w:p>
        </w:tc>
        <w:tc>
          <w:tcPr>
            <w:tcW w:type="dxa" w:w="5669"/>
          </w:tcPr>
          <w:p>
            <w:r/>
            <w:r>
              <w:rPr>
                <w:sz w:val="19"/>
              </w:rPr>
              <w:t>Artificial Potential Fields — navigation par forces attractives et répulsives.</w:t>
            </w:r>
          </w:p>
        </w:tc>
      </w:tr>
      <w:tr>
        <w:tc>
          <w:tcPr>
            <w:tcW w:type="dxa" w:w="2268"/>
          </w:tcPr>
          <w:p>
            <w:r/>
            <w:r>
              <w:rPr>
                <w:sz w:val="19"/>
              </w:rPr>
              <w:t>PSO</w:t>
            </w:r>
          </w:p>
        </w:tc>
        <w:tc>
          <w:tcPr>
            <w:tcW w:type="dxa" w:w="5669"/>
          </w:tcPr>
          <w:p>
            <w:r/>
            <w:r>
              <w:rPr>
                <w:sz w:val="19"/>
              </w:rPr>
              <w:t>Particle Swarm Optimization — optimisation par essaim particulaire.</w:t>
            </w:r>
          </w:p>
        </w:tc>
      </w:tr>
      <w:tr>
        <w:tc>
          <w:tcPr>
            <w:tcW w:type="dxa" w:w="2268"/>
          </w:tcPr>
          <w:p>
            <w:r/>
            <w:r>
              <w:rPr>
                <w:sz w:val="19"/>
              </w:rPr>
              <w:t>gBest</w:t>
            </w:r>
          </w:p>
        </w:tc>
        <w:tc>
          <w:tcPr>
            <w:tcW w:type="dxa" w:w="5669"/>
          </w:tcPr>
          <w:p>
            <w:r/>
            <w:r>
              <w:rPr>
                <w:sz w:val="19"/>
              </w:rPr>
              <w:t>Meilleure position globale trouvée par l'essaim.</w:t>
            </w:r>
          </w:p>
        </w:tc>
      </w:tr>
      <w:tr>
        <w:tc>
          <w:tcPr>
            <w:tcW w:type="dxa" w:w="2268"/>
          </w:tcPr>
          <w:p>
            <w:r/>
            <w:r>
              <w:rPr>
                <w:sz w:val="19"/>
              </w:rPr>
              <w:t>pBest</w:t>
            </w:r>
          </w:p>
        </w:tc>
        <w:tc>
          <w:tcPr>
            <w:tcW w:type="dxa" w:w="5669"/>
          </w:tcPr>
          <w:p>
            <w:r/>
            <w:r>
              <w:rPr>
                <w:sz w:val="19"/>
              </w:rPr>
              <w:t>Meilleure position trouvée par un individu.</w:t>
            </w:r>
          </w:p>
        </w:tc>
      </w:tr>
      <w:tr>
        <w:tc>
          <w:tcPr>
            <w:tcW w:type="dxa" w:w="2268"/>
          </w:tcPr>
          <w:p>
            <w:r/>
            <w:r>
              <w:rPr>
                <w:sz w:val="19"/>
              </w:rPr>
              <w:t>Hub</w:t>
            </w:r>
          </w:p>
        </w:tc>
        <w:tc>
          <w:tcPr>
            <w:tcW w:type="dxa" w:w="5669"/>
          </w:tcPr>
          <w:p>
            <w:r/>
            <w:r>
              <w:rPr>
                <w:sz w:val="19"/>
              </w:rPr>
              <w:t>USV routeur de secteur.</w:t>
            </w:r>
          </w:p>
        </w:tc>
      </w:tr>
      <w:tr>
        <w:tc>
          <w:tcPr>
            <w:tcW w:type="dxa" w:w="2268"/>
          </w:tcPr>
          <w:p>
            <w:r/>
            <w:r>
              <w:rPr>
                <w:sz w:val="19"/>
              </w:rPr>
              <w:t>Terminal</w:t>
            </w:r>
          </w:p>
        </w:tc>
        <w:tc>
          <w:tcPr>
            <w:tcW w:type="dxa" w:w="5669"/>
          </w:tcPr>
          <w:p>
            <w:r/>
            <w:r>
              <w:rPr>
                <w:sz w:val="19"/>
              </w:rPr>
              <w:t>UAV ou UUV rattaché à un hub.</w:t>
            </w:r>
          </w:p>
        </w:tc>
      </w:tr>
      <w:tr>
        <w:tc>
          <w:tcPr>
            <w:tcW w:type="dxa" w:w="2268"/>
          </w:tcPr>
          <w:p>
            <w:r/>
            <w:r>
              <w:rPr>
                <w:sz w:val="19"/>
              </w:rPr>
              <w:t>Inférence miroir</w:t>
            </w:r>
          </w:p>
        </w:tc>
        <w:tc>
          <w:tcPr>
            <w:tcW w:type="dxa" w:w="5669"/>
          </w:tcPr>
          <w:p>
            <w:r/>
            <w:r>
              <w:rPr>
                <w:sz w:val="19"/>
              </w:rPr>
              <w:t>Prédiction déterministe de l'état des voisins.</w:t>
            </w:r>
          </w:p>
        </w:tc>
      </w:tr>
      <w:tr>
        <w:tc>
          <w:tcPr>
            <w:tcW w:type="dxa" w:w="2268"/>
          </w:tcPr>
          <w:p>
            <w:r/>
            <w:r>
              <w:rPr>
                <w:sz w:val="19"/>
              </w:rPr>
              <w:t>Heartbeat</w:t>
            </w:r>
          </w:p>
        </w:tc>
        <w:tc>
          <w:tcPr>
            <w:tcW w:type="dxa" w:w="5669"/>
          </w:tcPr>
          <w:p>
            <w:r/>
            <w:r>
              <w:rPr>
                <w:sz w:val="19"/>
              </w:rPr>
              <w:t>Trame périodique de recadrage du modèle prédictif.</w:t>
            </w:r>
          </w:p>
        </w:tc>
      </w:tr>
      <w:tr>
        <w:tc>
          <w:tcPr>
            <w:tcW w:type="dxa" w:w="2268"/>
          </w:tcPr>
          <w:p>
            <w:r/>
            <w:r>
              <w:rPr>
                <w:sz w:val="19"/>
              </w:rPr>
              <w:t>Epsilon</w:t>
            </w:r>
          </w:p>
        </w:tc>
        <w:tc>
          <w:tcPr>
            <w:tcW w:type="dxa" w:w="5669"/>
          </w:tcPr>
          <w:p>
            <w:r/>
            <w:r>
              <w:rPr>
                <w:sz w:val="19"/>
              </w:rPr>
              <w:t>Seuil de déviation déclenchant une transmission.</w:t>
            </w:r>
          </w:p>
        </w:tc>
      </w:tr>
      <w:tr>
        <w:tc>
          <w:tcPr>
            <w:tcW w:type="dxa" w:w="2268"/>
          </w:tcPr>
          <w:p>
            <w:r/>
            <w:r>
              <w:rPr>
                <w:sz w:val="19"/>
              </w:rPr>
              <w:t>TTL</w:t>
            </w:r>
          </w:p>
        </w:tc>
        <w:tc>
          <w:tcPr>
            <w:tcW w:type="dxa" w:w="5669"/>
          </w:tcPr>
          <w:p>
            <w:r/>
            <w:r>
              <w:rPr>
                <w:sz w:val="19"/>
              </w:rPr>
              <w:t>Time To Live — nombre de sauts restants d'un broadcast.</w:t>
            </w:r>
          </w:p>
        </w:tc>
      </w:tr>
      <w:tr>
        <w:tc>
          <w:tcPr>
            <w:tcW w:type="dxa" w:w="2268"/>
          </w:tcPr>
          <w:p>
            <w:r/>
            <w:r>
              <w:rPr>
                <w:sz w:val="19"/>
              </w:rPr>
              <w:t>Event-driven</w:t>
            </w:r>
          </w:p>
        </w:tc>
        <w:tc>
          <w:tcPr>
            <w:tcW w:type="dxa" w:w="5669"/>
          </w:tcPr>
          <w:p>
            <w:r/>
            <w:r>
              <w:rPr>
                <w:sz w:val="19"/>
              </w:rPr>
              <w:t>Communication déclenchée par événement, par opposition à périodique.</w:t>
            </w:r>
          </w:p>
        </w:tc>
      </w:tr>
    </w:tbl>
    <w:p/>
    <w:p>
      <w:pPr>
        <w:pStyle w:val="Heading1"/>
      </w:pPr>
      <w:r>
        <w:t>Annexe C — Références normatives</w:t>
      </w:r>
    </w:p>
    <w:p>
      <w:pPr>
        <w:pStyle w:val="ListBullet"/>
        <w:spacing w:after="40"/>
        <w:ind w:left="425"/>
      </w:pPr>
      <w:r>
        <w:t>RFC 2119 — Keywords for use in RFCs to Indicate Requirement Levels.</w:t>
      </w:r>
    </w:p>
    <w:p>
      <w:pPr>
        <w:pStyle w:val="ListBullet"/>
        <w:spacing w:after="40"/>
        <w:ind w:left="425"/>
      </w:pPr>
      <w:r>
        <w:t>CRC-8/ATM — polynôme 0x07.</w:t>
      </w:r>
    </w:p>
    <w:p>
      <w:pPr>
        <w:pStyle w:val="ListBullet"/>
        <w:spacing w:after="40"/>
        <w:ind w:left="425"/>
      </w:pPr>
      <w:r>
        <w:t>CRC-16/CCITT-FALSE — polynôme 0x1021.</w:t>
      </w:r>
    </w:p>
    <w:p>
      <w:pPr>
        <w:pStyle w:val="ListBullet"/>
        <w:spacing w:after="40"/>
        <w:ind w:left="425"/>
      </w:pPr>
      <w:r>
        <w:t>LikeC4 — langage de modélisation d'architecture.</w:t>
      </w:r>
    </w:p>
    <w:p>
      <w:pPr>
        <w:pStyle w:val="Heading1"/>
      </w:pPr>
      <w:r>
        <w:t>Annexe D — Bibliographie académique</w:t>
      </w:r>
    </w:p>
    <w:p>
      <w:r>
        <w:rPr>
          <w:b w:val="0"/>
          <w:i/>
          <w:color w:val="555555"/>
          <w:sz w:val="19"/>
        </w:rPr>
        <w:t>Les références ci-dessous ont été vérifiées via l'API Crossref (DOI résolus) et arXiv. Elles fondent les mécanismes du protocole.</w:t>
      </w:r>
    </w:p>
    <w:p>
      <w:pPr>
        <w:pStyle w:val="Heading2"/>
      </w:pPr>
      <w:r>
        <w:t>D.1 Fondements des algorithmes</w:t>
      </w:r>
    </w:p>
    <w:p>
      <w:pPr>
        <w:pStyle w:val="ListBullet"/>
        <w:spacing w:after="40"/>
        <w:ind w:left="425"/>
      </w:pPr>
      <w:r>
        <w:t>Khatib, O. (1986). Real-Time Obstacle Avoidance for Manipulators and Mobile Robots. The International Journal of Robotics Research, 5(1), 90–98. DOI: 10.1177/027836498600500106. — Fondement des champs de potentiel artificiels (APF), couche 1 du protocole.</w:t>
      </w:r>
    </w:p>
    <w:p>
      <w:pPr>
        <w:pStyle w:val="ListBullet"/>
        <w:spacing w:after="40"/>
        <w:ind w:left="425"/>
      </w:pPr>
      <w:r>
        <w:t>Kennedy, J., &amp; Eberhart, R. (1995). Particle swarm optimization. Proceedings of ICNN'95 — International Conference on Neural Networks, 1942–1948. DOI: 10.1109/icnn.1995.488968. — Fondement de l'optimisation par essaim particulaire (PSO), couche 2.</w:t>
      </w:r>
    </w:p>
    <w:p>
      <w:pPr>
        <w:pStyle w:val="ListBullet"/>
        <w:spacing w:after="40"/>
        <w:ind w:left="425"/>
      </w:pPr>
      <w:r>
        <w:t>Reynolds, C. W. (1987). Flocks, herds and schools: A distributed behavioral model. ACM SIGGRAPH Computer Graphics, 21(4), 25–34. DOI: 10.1145/37402.37406. — Modèle fondateur des comportements collectifs décentralisés.</w:t>
      </w:r>
    </w:p>
    <w:p>
      <w:pPr>
        <w:pStyle w:val="Heading2"/>
      </w:pPr>
      <w:r>
        <w:t>D.2 Consensus et contrôle multi-agents</w:t>
      </w:r>
    </w:p>
    <w:p>
      <w:pPr>
        <w:pStyle w:val="ListBullet"/>
        <w:spacing w:after="40"/>
        <w:ind w:left="425"/>
      </w:pPr>
      <w:r>
        <w:t>Olfati-Saber, R., Fax, J. A., &amp; Murray, R. M. (2007). Consensus and Cooperation in Networked Multi-Agent Systems. Proceedings of the IEEE, 95(1), 215–233. DOI: 10.1109/jproc.2006.887293. — Théorie du consensus distribué, fondement de la convergence gBest.</w:t>
      </w:r>
    </w:p>
    <w:p>
      <w:pPr>
        <w:pStyle w:val="ListBullet"/>
        <w:spacing w:after="40"/>
        <w:ind w:left="425"/>
      </w:pPr>
      <w:r>
        <w:t>Dimarogonas, D. V., Frazzoli, E., &amp; Johansson, K. H. (2012). Distributed Event-Triggered Control for Multi-Agent Systems. IEEE Transactions on Automatic Control, 57(5), 1291–1297. DOI: 10.1109/tac.2011.2174666. — Fondement théorique du passage event-driven et de la borne d'erreur (§8.5).</w:t>
      </w:r>
    </w:p>
    <w:p>
      <w:pPr>
        <w:pStyle w:val="ListBullet"/>
        <w:spacing w:after="40"/>
        <w:ind w:left="425"/>
      </w:pPr>
      <w:r>
        <w:t>Hu, S., &amp; Yan, W.-Y. (2007). Stability robustness of networked control systems with respect to packet loss. Automatica, 43(7), 1243–1248. DOI: 10.1016/j.automatica.2006.12.020. — Robustesse aux pertes de paquets (§16).</w:t>
      </w:r>
    </w:p>
    <w:p>
      <w:pPr>
        <w:pStyle w:val="Heading2"/>
      </w:pPr>
      <w:r>
        <w:t>D.3 Communications sous-marines et réseaux</w:t>
      </w:r>
    </w:p>
    <w:p>
      <w:pPr>
        <w:pStyle w:val="ListBullet"/>
        <w:spacing w:after="40"/>
        <w:ind w:left="425"/>
      </w:pPr>
      <w:r>
        <w:t>Akyildiz, I. F., Pompili, D., &amp; Melodia, T. (2005). Underwater acoustic sensor networks: research challenges. Ad Hoc Networks, 3(3), 257–279. DOI: 10.1016/j.adhoc.2005.01.004. — Contraintes de bande passante acoustique, fondement du §8.6.</w:t>
      </w:r>
    </w:p>
    <w:p>
      <w:pPr>
        <w:pStyle w:val="ListBullet"/>
        <w:spacing w:after="40"/>
        <w:ind w:left="425"/>
      </w:pPr>
      <w:r>
        <w:t>Tseng, Y.-C., Ni, S.-Y., Chen, Y.-S., &amp; Sheu, J.-P. (2002). The Broadcast Storm Problem in a Mobile Ad Hoc Network. Wireless Networks, 8(2/3), 153–167. DOI: 10.1023/a:1013763825347. — Fondement de la hiérarchie par hubs et des bornes de broadcast (§12).</w:t>
      </w:r>
    </w:p>
    <w:p>
      <w:pPr>
        <w:pStyle w:val="Heading2"/>
      </w:pPr>
      <w:r>
        <w:t>D.4 Travaux récents (arXiv, 2021–2025)</w:t>
      </w:r>
    </w:p>
    <w:p>
      <w:pPr>
        <w:pStyle w:val="ListBullet"/>
        <w:spacing w:after="40"/>
        <w:ind w:left="425"/>
      </w:pPr>
      <w:r>
        <w:t>Khan, R. A., Zafar, M., &amp; Batool, A. (2024). SwarmPath: Drone Swarm Navigation through Cluttered Environments Leveraging Artificial Potential Field and Impedance Control. arXiv:2410.07848. — APF appliqué aux essaims de drones.</w:t>
      </w:r>
    </w:p>
    <w:p>
      <w:pPr>
        <w:pStyle w:val="ListBullet"/>
        <w:spacing w:after="40"/>
        <w:ind w:left="425"/>
      </w:pPr>
      <w:r>
        <w:t>Phung, M. D., &amp; Ha, Q. P. (2021). Safety-enhanced UAV Path Planning with Spherical Vector-based Particle Swarm Optimization. arXiv:2104.10033. — PSO pour la planification de trajectoire UAV.</w:t>
      </w:r>
    </w:p>
    <w:p>
      <w:pPr>
        <w:pStyle w:val="ListBullet"/>
        <w:spacing w:after="40"/>
        <w:ind w:left="425"/>
      </w:pPr>
      <w:r>
        <w:t>Nowzari, C., Garcia, E., &amp; Cortés, J. (2017). Event-Triggered Communication and Control of Networked Systems for Multi-Agent Consensus. arXiv:1712.00429. — Synthèse sur le contrôle event-triggered.</w:t>
      </w:r>
    </w:p>
    <w:p>
      <w:pPr>
        <w:pStyle w:val="ListBullet"/>
        <w:spacing w:after="40"/>
        <w:ind w:left="425"/>
      </w:pPr>
      <w:r>
        <w:t>Pommeranz, R., Tebbe, K., &amp; Heynicke, R. (2025). A Modular and Scalable System Architecture for Heterogeneous UAV Swarms Using ROS 2 and PX4-Autopilot. arXiv:2510.27327. — Architecture d'essaim hétérogène.</w:t>
      </w:r>
    </w:p>
    <w:p>
      <w:pPr>
        <w:pStyle w:val="ListBullet"/>
        <w:spacing w:after="40"/>
        <w:ind w:left="425"/>
      </w:pPr>
      <w:r>
        <w:t>Mykytyn, P., Brzozowski, M., &amp; Dyka, Z. (2024). Towards Secure and Reliable Heterogeneous Real-time Telemetry Communication in Autonomous UAV Swarms. arXiv:2404.07557. — Communication temps réel dans les essaims.</w:t>
      </w:r>
    </w:p>
    <w:p>
      <w:pPr>
        <w:pStyle w:val="ListBullet"/>
        <w:spacing w:after="40"/>
        <w:ind w:left="425"/>
      </w:pPr>
      <w:r>
        <w:t>Tiranti, A., Wanderlingh, F., &amp; Simetti, E. (2025). A distributed motion planning approach to cooperative underwater acoustic source tracking. arXiv:2506.07877. — Planification distribuée sous-marine.</w:t>
      </w:r>
    </w:p>
    <w:p>
      <w:r>
        <w:rPr>
          <w:b w:val="0"/>
          <w:i/>
          <w:color w:val="555555"/>
          <w:sz w:val="18"/>
        </w:rPr>
        <w:t>Note de méthode : ces références ont été résolues via l'API Crossref (vérification des DOI) et l'API arXiv. Les titres, auteurs, années et identifiants sont reproduits tels que retournés par ces sources. Aucune référence n'a été inventée.</w:t>
      </w:r>
    </w:p>
    <w:p/>
    <w:p>
      <w:pPr>
        <w:jc w:val="center"/>
      </w:pPr>
      <w:r>
        <w:rPr>
          <w:b/>
          <w:color w:val="1F3A5F"/>
          <w:sz w:val="24"/>
        </w:rPr>
        <w:t>— Fin de la spécification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B6E99"/>
      <w:sz w:val="24"/>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0B6E9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