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BD12B" w14:textId="34E86284" w:rsidR="00AA47C6" w:rsidRPr="00AA47C6" w:rsidRDefault="00AA47C6">
      <w:pPr>
        <w:rPr>
          <w:lang w:val="en-US"/>
        </w:rPr>
      </w:pPr>
      <w:r w:rsidRPr="00AA47C6">
        <w:rPr>
          <w:lang w:val="en-US"/>
        </w:rPr>
        <w:t xml:space="preserve">Pre-electoral coalitions in parliamentary </w:t>
      </w:r>
      <w:r>
        <w:rPr>
          <w:lang w:val="en-US"/>
        </w:rPr>
        <w:t>democracies: a new dataset</w:t>
      </w:r>
    </w:p>
    <w:p w14:paraId="7C441DC8" w14:textId="77777777" w:rsidR="00AA47C6" w:rsidRDefault="00AA47C6">
      <w:pPr>
        <w:rPr>
          <w:lang w:val="en-US"/>
        </w:rPr>
      </w:pPr>
    </w:p>
    <w:p w14:paraId="5C378694" w14:textId="77777777" w:rsidR="00AA47C6" w:rsidRDefault="00AA47C6">
      <w:pPr>
        <w:rPr>
          <w:lang w:val="en-US"/>
        </w:rPr>
      </w:pPr>
    </w:p>
    <w:p w14:paraId="5932BE98" w14:textId="77777777" w:rsidR="00AA47C6" w:rsidRDefault="00AA47C6">
      <w:pPr>
        <w:rPr>
          <w:lang w:val="en-US"/>
        </w:rPr>
      </w:pPr>
      <w:r>
        <w:rPr>
          <w:lang w:val="en-US"/>
        </w:rPr>
        <w:t>Abstract</w:t>
      </w:r>
    </w:p>
    <w:p w14:paraId="0AC6BD77" w14:textId="77777777" w:rsidR="00AA47C6" w:rsidRDefault="00AA47C6">
      <w:pPr>
        <w:rPr>
          <w:lang w:val="en-US"/>
        </w:rPr>
      </w:pPr>
    </w:p>
    <w:p w14:paraId="055F3575" w14:textId="77777777" w:rsidR="00AA47C6" w:rsidRDefault="00AA47C6">
      <w:pPr>
        <w:rPr>
          <w:lang w:val="en-US"/>
        </w:rPr>
      </w:pPr>
      <w:r>
        <w:rPr>
          <w:lang w:val="en-US"/>
        </w:rPr>
        <w:t>Keywords</w:t>
      </w:r>
    </w:p>
    <w:p w14:paraId="309277F6" w14:textId="77777777" w:rsidR="00AA47C6" w:rsidRPr="00AA47C6" w:rsidRDefault="00AA47C6">
      <w:pPr>
        <w:rPr>
          <w:lang w:val="en-US"/>
        </w:rPr>
      </w:pPr>
    </w:p>
    <w:p w14:paraId="7E10E384" w14:textId="77777777" w:rsidR="00AA47C6" w:rsidRDefault="00AA47C6">
      <w:pPr>
        <w:rPr>
          <w:lang w:val="en-US"/>
        </w:rPr>
      </w:pPr>
      <w:r>
        <w:rPr>
          <w:lang w:val="en-US"/>
        </w:rPr>
        <w:br w:type="page"/>
      </w:r>
    </w:p>
    <w:p w14:paraId="68F54645" w14:textId="77777777" w:rsidR="00AA47C6" w:rsidRDefault="00AA47C6" w:rsidP="00AA47C6">
      <w:pPr>
        <w:pStyle w:val="Heading1"/>
        <w:rPr>
          <w:lang w:val="en-US"/>
        </w:rPr>
      </w:pPr>
      <w:r w:rsidRPr="00AA47C6">
        <w:rPr>
          <w:lang w:val="en-US"/>
        </w:rPr>
        <w:lastRenderedPageBreak/>
        <w:t>Introduction</w:t>
      </w:r>
    </w:p>
    <w:p w14:paraId="2495C712" w14:textId="77777777" w:rsidR="00AA47C6" w:rsidRDefault="00AA47C6">
      <w:pPr>
        <w:rPr>
          <w:lang w:val="en-US"/>
        </w:rPr>
      </w:pPr>
    </w:p>
    <w:p w14:paraId="2102B6A3" w14:textId="1092432C" w:rsidR="00AA47C6" w:rsidRDefault="00AA47C6" w:rsidP="00AA47C6">
      <w:pPr>
        <w:pStyle w:val="Heading1"/>
        <w:rPr>
          <w:lang w:val="en-US"/>
        </w:rPr>
      </w:pPr>
      <w:r>
        <w:rPr>
          <w:lang w:val="en-US"/>
        </w:rPr>
        <w:t>Defining and measuring pre-electoral coalitions</w:t>
      </w:r>
    </w:p>
    <w:p w14:paraId="495F7CBD" w14:textId="1E9E2E19" w:rsidR="00695964" w:rsidRDefault="00695964" w:rsidP="00695964">
      <w:pPr>
        <w:spacing w:line="480" w:lineRule="auto"/>
        <w:jc w:val="both"/>
        <w:rPr>
          <w:lang w:val="en-US"/>
        </w:rPr>
      </w:pPr>
      <w:r>
        <w:rPr>
          <w:lang w:val="en-US"/>
        </w:rPr>
        <w:t>We define a pre-electoral coalition as t</w:t>
      </w:r>
      <w:r w:rsidRPr="0046135C">
        <w:rPr>
          <w:lang w:val="en-US"/>
        </w:rPr>
        <w:t>wo or more parties that before an election</w:t>
      </w:r>
      <w:r>
        <w:rPr>
          <w:lang w:val="en-US"/>
        </w:rPr>
        <w:t xml:space="preserve"> </w:t>
      </w:r>
      <w:r w:rsidRPr="0046135C">
        <w:rPr>
          <w:lang w:val="en-US"/>
        </w:rPr>
        <w:t>- reciprocally and publicly voice their willingness to form a government coalition after the election</w:t>
      </w:r>
      <w:r>
        <w:rPr>
          <w:lang w:val="en-US"/>
        </w:rPr>
        <w:t xml:space="preserve"> (see also Golder 2006)</w:t>
      </w:r>
      <w:r w:rsidRPr="0046135C">
        <w:rPr>
          <w:lang w:val="en-US"/>
        </w:rPr>
        <w:t xml:space="preserve">. </w:t>
      </w:r>
      <w:r>
        <w:rPr>
          <w:lang w:val="en-US"/>
        </w:rPr>
        <w:t xml:space="preserve">A pre-electoral coalition may – or may not – involve specific policy agreements, or some kind of coordination of candidate lists or nominations. We consider the latter not as minimum requirements but code them as features of the PEC. This way, our data can be adapted for different purposes and research questions. </w:t>
      </w:r>
    </w:p>
    <w:p w14:paraId="6F413161" w14:textId="3407539F" w:rsidR="00695964" w:rsidRDefault="00695964" w:rsidP="00695964">
      <w:pPr>
        <w:spacing w:line="480" w:lineRule="auto"/>
        <w:jc w:val="both"/>
        <w:rPr>
          <w:lang w:val="en-US"/>
        </w:rPr>
      </w:pPr>
      <w:r>
        <w:rPr>
          <w:lang w:val="en-US"/>
        </w:rPr>
        <w:t>For example, researchers interested in certain hypotheses about the formation of pre-electoral coalitions might want to exclude coalitions purely based on public statements (see e.g. I</w:t>
      </w:r>
      <w:proofErr w:type="spellStart"/>
      <w:r>
        <w:rPr>
          <w:lang w:val="en-US"/>
        </w:rPr>
        <w:t>benskas</w:t>
      </w:r>
      <w:proofErr w:type="spellEnd"/>
      <w:r>
        <w:rPr>
          <w:lang w:val="en-US"/>
        </w:rPr>
        <w:t xml:space="preserve"> 2006, p. 752). This could easily be done using our “type” variable, which codes if the PEC is based solely on public statements or, on top of that, some kind of candidate coordination. Contingent on the commitment of coalition partners and the electoral system, the PEC might involve list coordination, nomination agreements, dual-ballot instructions or vote-transfer </w:t>
      </w:r>
      <w:proofErr w:type="gramStart"/>
      <w:r>
        <w:rPr>
          <w:lang w:val="en-US"/>
        </w:rPr>
        <w:t>instructions  (</w:t>
      </w:r>
      <w:proofErr w:type="gramEnd"/>
      <w:r>
        <w:rPr>
          <w:lang w:val="en-US"/>
        </w:rPr>
        <w:t xml:space="preserve">Golder </w:t>
      </w:r>
      <w:proofErr w:type="spellStart"/>
      <w:r>
        <w:rPr>
          <w:lang w:val="en-US"/>
        </w:rPr>
        <w:t>Verweisxxx</w:t>
      </w:r>
      <w:proofErr w:type="spellEnd"/>
      <w:r>
        <w:rPr>
          <w:lang w:val="en-US"/>
        </w:rPr>
        <w:t xml:space="preserve">). </w:t>
      </w:r>
    </w:p>
    <w:p w14:paraId="33104475" w14:textId="77777777" w:rsidR="00695964" w:rsidRDefault="00695964" w:rsidP="00695964">
      <w:pPr>
        <w:spacing w:line="480" w:lineRule="auto"/>
        <w:jc w:val="both"/>
        <w:rPr>
          <w:lang w:val="en-US"/>
        </w:rPr>
      </w:pPr>
      <w:r>
        <w:rPr>
          <w:lang w:val="en-US"/>
        </w:rPr>
        <w:t xml:space="preserve">Collecting our data, it became obvious that even though empirically important examples of PECs were based on nothing more than public statements, such reciprocal statements are relatively common amongst parties that are part of well working incumbent government coalitions. Because incentives for incumbents are high to present their incumbency as successful, statements about the need to “continue to work together” could be purely strategic and commitment to work together after the coming elections could be systematically overrated.  We include a dummy variable that identifies those PECs that comprise incumbent government coalitions. We encourage researchers to check the robustness of their results once incumbent PECs that are solely based on public statements are excluded. </w:t>
      </w:r>
    </w:p>
    <w:p w14:paraId="121F1DD7" w14:textId="77777777" w:rsidR="00695964" w:rsidRDefault="00695964" w:rsidP="00695964">
      <w:pPr>
        <w:spacing w:line="480" w:lineRule="auto"/>
        <w:jc w:val="both"/>
        <w:rPr>
          <w:lang w:val="en-US"/>
        </w:rPr>
      </w:pPr>
      <w:r>
        <w:rPr>
          <w:lang w:val="en-US"/>
        </w:rPr>
        <w:lastRenderedPageBreak/>
        <w:t>Third, we include a dummy variable that indicates if the PEC involved some kind of written agreement, including but not restricted to joint, written electoral pledges. Written agreements can underscore the commitment of the PEC. Again, this variable can help researchers adjust our data to the needs of their particular research question.</w:t>
      </w:r>
    </w:p>
    <w:p w14:paraId="4EC872B5" w14:textId="77777777" w:rsidR="00695964" w:rsidRDefault="00695964" w:rsidP="00695964">
      <w:pPr>
        <w:spacing w:line="480" w:lineRule="auto"/>
        <w:jc w:val="both"/>
        <w:rPr>
          <w:lang w:val="en-US"/>
        </w:rPr>
      </w:pPr>
      <w:r>
        <w:rPr>
          <w:lang w:val="en-US"/>
        </w:rPr>
        <w:t xml:space="preserve">In a few cases we coded nested PECs, that is, Party A has a PEC with Party B involving a joint policy program. Both parties commit to a PEC with party C (but without a program). In this case we code two different PECs (AB and ABC) but the first being nested. </w:t>
      </w:r>
    </w:p>
    <w:p w14:paraId="7AE56D08" w14:textId="77777777" w:rsidR="00695964" w:rsidRDefault="00695964" w:rsidP="00695964">
      <w:pPr>
        <w:spacing w:line="480" w:lineRule="auto"/>
        <w:jc w:val="both"/>
        <w:rPr>
          <w:lang w:val="en-US"/>
        </w:rPr>
      </w:pPr>
      <w:r>
        <w:rPr>
          <w:lang w:val="en-US"/>
        </w:rPr>
        <w:t xml:space="preserve">There are cases where two parties build long-lasting alliances that grow so close that parts of the literature treat them as if the two parties are actually one. We include those alliances as PECs in our dataset, most notably that of the CDU and CSU in Germany and that of the Liberals and Nationals (formerly Country Party) and its </w:t>
      </w:r>
      <w:proofErr w:type="spellStart"/>
      <w:r>
        <w:rPr>
          <w:lang w:val="en-US"/>
        </w:rPr>
        <w:t>substate</w:t>
      </w:r>
      <w:proofErr w:type="spellEnd"/>
      <w:r>
        <w:rPr>
          <w:lang w:val="en-US"/>
        </w:rPr>
        <w:t xml:space="preserve"> allies in Australia. Researchers that opt to treat those parties as single parties may easily exclude those PECs from the dataset.</w:t>
      </w:r>
    </w:p>
    <w:p w14:paraId="4E94BF98" w14:textId="77777777" w:rsidR="00695964" w:rsidRDefault="00695964" w:rsidP="00695964">
      <w:pPr>
        <w:spacing w:line="480" w:lineRule="auto"/>
        <w:jc w:val="both"/>
        <w:rPr>
          <w:lang w:val="en-US"/>
        </w:rPr>
      </w:pPr>
    </w:p>
    <w:p w14:paraId="3B871571" w14:textId="77777777" w:rsidR="00695964" w:rsidRDefault="00695964" w:rsidP="00695964">
      <w:pPr>
        <w:spacing w:line="480" w:lineRule="auto"/>
        <w:jc w:val="both"/>
        <w:rPr>
          <w:lang w:val="en-US"/>
        </w:rPr>
      </w:pPr>
      <w:r>
        <w:rPr>
          <w:lang w:val="en-US"/>
        </w:rPr>
        <w:t xml:space="preserve">Our data comes in a </w:t>
      </w:r>
      <w:proofErr w:type="gramStart"/>
      <w:r>
        <w:rPr>
          <w:lang w:val="en-US"/>
        </w:rPr>
        <w:t>party based</w:t>
      </w:r>
      <w:proofErr w:type="gramEnd"/>
      <w:r>
        <w:rPr>
          <w:lang w:val="en-US"/>
        </w:rPr>
        <w:t xml:space="preserve"> format, including party codings of the </w:t>
      </w:r>
      <w:proofErr w:type="spellStart"/>
      <w:r>
        <w:rPr>
          <w:lang w:val="en-US"/>
        </w:rPr>
        <w:t>Parlgov</w:t>
      </w:r>
      <w:proofErr w:type="spellEnd"/>
      <w:r>
        <w:rPr>
          <w:lang w:val="en-US"/>
        </w:rPr>
        <w:t xml:space="preserve"> database (</w:t>
      </w:r>
      <w:proofErr w:type="spellStart"/>
      <w:r>
        <w:rPr>
          <w:lang w:val="en-US"/>
        </w:rPr>
        <w:t>Parlgov</w:t>
      </w:r>
      <w:proofErr w:type="spellEnd"/>
      <w:r>
        <w:rPr>
          <w:lang w:val="en-US"/>
        </w:rPr>
        <w:t xml:space="preserve"> stable 15). This way it is easy to import data on the size (vote or seat) or ideological heterogeneity of the PEC. Other formats used in the literature (e.g. dyads or a format where every PEC is a case) can be easily derived using do-files we attach to the dataset.</w:t>
      </w:r>
    </w:p>
    <w:p w14:paraId="484E671E" w14:textId="77777777" w:rsidR="00695964" w:rsidRDefault="00695964" w:rsidP="00695964">
      <w:pPr>
        <w:spacing w:line="480" w:lineRule="auto"/>
        <w:jc w:val="both"/>
        <w:rPr>
          <w:lang w:val="en-US"/>
        </w:rPr>
      </w:pPr>
      <w:r>
        <w:rPr>
          <w:lang w:val="en-US"/>
        </w:rPr>
        <w:t xml:space="preserve"> </w:t>
      </w:r>
    </w:p>
    <w:p w14:paraId="02D6C64A" w14:textId="77777777" w:rsidR="00695964" w:rsidRDefault="00695964" w:rsidP="00695964">
      <w:pPr>
        <w:spacing w:line="480" w:lineRule="auto"/>
        <w:jc w:val="both"/>
        <w:rPr>
          <w:lang w:val="en-US"/>
        </w:rPr>
      </w:pPr>
      <w:r>
        <w:rPr>
          <w:lang w:val="en-US"/>
        </w:rPr>
        <w:t>Sample</w:t>
      </w:r>
    </w:p>
    <w:p w14:paraId="0481B6F0" w14:textId="77777777" w:rsidR="00695964" w:rsidRDefault="00695964" w:rsidP="00695964">
      <w:pPr>
        <w:spacing w:line="480" w:lineRule="auto"/>
        <w:jc w:val="both"/>
        <w:rPr>
          <w:lang w:val="en-US"/>
        </w:rPr>
      </w:pPr>
      <w:r>
        <w:rPr>
          <w:lang w:val="en-US"/>
        </w:rPr>
        <w:t xml:space="preserve">Overall, we collected data for 35 established parliamentary or semi-presidential democracies which are covered by the </w:t>
      </w:r>
      <w:proofErr w:type="spellStart"/>
      <w:r>
        <w:rPr>
          <w:lang w:val="en-US"/>
        </w:rPr>
        <w:t>Parlgov</w:t>
      </w:r>
      <w:proofErr w:type="spellEnd"/>
      <w:r>
        <w:rPr>
          <w:lang w:val="en-US"/>
        </w:rPr>
        <w:t xml:space="preserve"> Stable 15 dataset.</w:t>
      </w:r>
      <w:r>
        <w:rPr>
          <w:rStyle w:val="FootnoteReference"/>
          <w:lang w:val="en-US"/>
        </w:rPr>
        <w:footnoteReference w:id="1"/>
      </w:r>
      <w:r>
        <w:rPr>
          <w:lang w:val="en-US"/>
        </w:rPr>
        <w:t xml:space="preserve"> </w:t>
      </w:r>
    </w:p>
    <w:p w14:paraId="7F53D58D" w14:textId="77777777" w:rsidR="00695964" w:rsidRDefault="00695964" w:rsidP="00695964">
      <w:pPr>
        <w:spacing w:line="480" w:lineRule="auto"/>
        <w:jc w:val="both"/>
        <w:rPr>
          <w:lang w:val="en-US"/>
        </w:rPr>
      </w:pPr>
    </w:p>
    <w:p w14:paraId="4E34742E" w14:textId="77777777" w:rsidR="00695964" w:rsidRDefault="00695964" w:rsidP="00695964">
      <w:pPr>
        <w:spacing w:line="480" w:lineRule="auto"/>
        <w:jc w:val="both"/>
        <w:rPr>
          <w:lang w:val="en-US"/>
        </w:rPr>
      </w:pPr>
      <w:r>
        <w:rPr>
          <w:lang w:val="en-US"/>
        </w:rPr>
        <w:lastRenderedPageBreak/>
        <w:t xml:space="preserve">We used numerous sources to collect our data. Important sources include the European Journal of Political Research Yearbooks, election reports in scientific journals such as </w:t>
      </w:r>
      <w:r w:rsidRPr="00384C64">
        <w:rPr>
          <w:i/>
          <w:lang w:val="en-US"/>
        </w:rPr>
        <w:t>Electoral Studies</w:t>
      </w:r>
      <w:r>
        <w:rPr>
          <w:lang w:val="en-US"/>
        </w:rPr>
        <w:t xml:space="preserve">, </w:t>
      </w:r>
      <w:r w:rsidRPr="00384C64">
        <w:rPr>
          <w:i/>
          <w:lang w:val="en-US"/>
        </w:rPr>
        <w:t>West-European Politics</w:t>
      </w:r>
      <w:r>
        <w:rPr>
          <w:lang w:val="en-US"/>
        </w:rPr>
        <w:t xml:space="preserve">, </w:t>
      </w:r>
      <w:r w:rsidRPr="00384C64">
        <w:rPr>
          <w:i/>
          <w:lang w:val="en-US"/>
        </w:rPr>
        <w:t>Parliamentary Affairs</w:t>
      </w:r>
      <w:r>
        <w:rPr>
          <w:lang w:val="en-US"/>
        </w:rPr>
        <w:t xml:space="preserve">, </w:t>
      </w:r>
      <w:r w:rsidRPr="00CC504B">
        <w:rPr>
          <w:i/>
          <w:lang w:val="en-US"/>
        </w:rPr>
        <w:t>South European Society and Politics</w:t>
      </w:r>
      <w:r>
        <w:rPr>
          <w:i/>
          <w:lang w:val="en-US"/>
        </w:rPr>
        <w:t xml:space="preserve"> </w:t>
      </w:r>
      <w:r>
        <w:rPr>
          <w:lang w:val="en-US"/>
        </w:rPr>
        <w:t xml:space="preserve">and in databases such as IPU </w:t>
      </w:r>
      <w:proofErr w:type="spellStart"/>
      <w:r>
        <w:rPr>
          <w:lang w:val="en-US"/>
        </w:rPr>
        <w:t>Parline</w:t>
      </w:r>
      <w:proofErr w:type="spellEnd"/>
      <w:r>
        <w:rPr>
          <w:lang w:val="en-US"/>
        </w:rPr>
        <w:t xml:space="preserve">. </w:t>
      </w:r>
      <w:proofErr w:type="gramStart"/>
      <w:r>
        <w:rPr>
          <w:lang w:val="en-US"/>
        </w:rPr>
        <w:t>Moreover</w:t>
      </w:r>
      <w:proofErr w:type="gramEnd"/>
      <w:r>
        <w:rPr>
          <w:lang w:val="en-US"/>
        </w:rPr>
        <w:t xml:space="preserve"> we used country specific literature on party competition and coalition building. In some </w:t>
      </w:r>
      <w:proofErr w:type="gramStart"/>
      <w:r>
        <w:rPr>
          <w:lang w:val="en-US"/>
        </w:rPr>
        <w:t>instances</w:t>
      </w:r>
      <w:proofErr w:type="gramEnd"/>
      <w:r>
        <w:rPr>
          <w:lang w:val="en-US"/>
        </w:rPr>
        <w:t xml:space="preserve"> we used the </w:t>
      </w:r>
      <w:proofErr w:type="spellStart"/>
      <w:r>
        <w:rPr>
          <w:lang w:val="en-US"/>
        </w:rPr>
        <w:t>Proquest</w:t>
      </w:r>
      <w:proofErr w:type="spellEnd"/>
      <w:r>
        <w:rPr>
          <w:lang w:val="en-US"/>
        </w:rPr>
        <w:t xml:space="preserve"> Historical Newspaper Database. A number of student research assistants helped researching, reading and analyzing these documents. All coding decisions were made in collaboration of student assistants and researchers. Because the coding of cases is complex, from the very beginning on we put our focus on meticulously documenting our sources and coding decision. Each case of a </w:t>
      </w:r>
      <w:r w:rsidRPr="0068587F">
        <w:rPr>
          <w:i/>
          <w:lang w:val="en-US"/>
        </w:rPr>
        <w:t>presumed</w:t>
      </w:r>
      <w:r>
        <w:rPr>
          <w:lang w:val="en-US"/>
        </w:rPr>
        <w:t xml:space="preserve"> PEC is discussed in a </w:t>
      </w:r>
      <w:proofErr w:type="gramStart"/>
      <w:r>
        <w:rPr>
          <w:lang w:val="en-US"/>
        </w:rPr>
        <w:t>350 page</w:t>
      </w:r>
      <w:proofErr w:type="gramEnd"/>
      <w:r>
        <w:rPr>
          <w:lang w:val="en-US"/>
        </w:rPr>
        <w:t xml:space="preserve"> documentation that we publish alongside the dataset. The documentation helps understand our coding decision for </w:t>
      </w:r>
      <w:r w:rsidRPr="00CC504B">
        <w:rPr>
          <w:i/>
          <w:lang w:val="en-US"/>
        </w:rPr>
        <w:t>each PEC in the dataset</w:t>
      </w:r>
      <w:r>
        <w:rPr>
          <w:lang w:val="en-US"/>
        </w:rPr>
        <w:t>. This way our data is not only intersubjectively verifiable, but open to revision and expansion.</w:t>
      </w:r>
    </w:p>
    <w:p w14:paraId="5627A12F" w14:textId="77777777" w:rsidR="00695964" w:rsidRPr="00695964" w:rsidRDefault="00695964" w:rsidP="00695964">
      <w:pPr>
        <w:rPr>
          <w:lang w:val="en-US"/>
        </w:rPr>
      </w:pPr>
    </w:p>
    <w:p w14:paraId="323E82D1" w14:textId="0875110E" w:rsidR="00AA47C6" w:rsidRDefault="00504142" w:rsidP="00AB41C9">
      <w:pPr>
        <w:pStyle w:val="Heading1"/>
        <w:rPr>
          <w:lang w:val="en-US"/>
        </w:rPr>
      </w:pPr>
      <w:r>
        <w:rPr>
          <w:lang w:val="en-US"/>
        </w:rPr>
        <w:t>Illustration of the data</w:t>
      </w:r>
    </w:p>
    <w:p w14:paraId="63DFC85C" w14:textId="506B5926" w:rsidR="00AB41C9" w:rsidRDefault="00AB41C9" w:rsidP="00A3798A">
      <w:pPr>
        <w:spacing w:after="240" w:line="360" w:lineRule="auto"/>
        <w:rPr>
          <w:lang w:val="en-US"/>
        </w:rPr>
      </w:pPr>
      <w:r>
        <w:rPr>
          <w:lang w:val="en-US"/>
        </w:rPr>
        <w:t xml:space="preserve">Extant data on pre-electoral coalitions differ tremendously on temporal, spatial, and even political coverage. </w:t>
      </w:r>
      <w:r w:rsidR="00A75294">
        <w:rPr>
          <w:lang w:val="en-US"/>
        </w:rPr>
        <w:t xml:space="preserve">Sona Golder’s </w:t>
      </w:r>
      <w:r w:rsidR="00A75294">
        <w:rPr>
          <w:lang w:val="en-US"/>
        </w:rPr>
        <w:fldChar w:fldCharType="begin"/>
      </w:r>
      <w:r w:rsidR="00504DD7">
        <w:rPr>
          <w:lang w:val="en-US"/>
        </w:rPr>
        <w:instrText xml:space="preserve"> ADDIN ZOTERO_ITEM CSL_CITATION {"citationID":"2gO7tznB","properties":{"custom":"(2006, 15)","formattedCitation":"(2006, 15)","plainCitation":"(2006, 15)","noteIndex":0},"citationItems":[{"id":10923,"uris":["http://zotero.org/users/229193/items/U3PQHQZZ"],"uri":["http://zotero.org/users/229193/items/U3PQHQZZ"],"itemData":{"id":10923,"type":"book","title":"The Logic of Pre-Electoral Coalition Formation","publisher":"Ohio State University Press","publisher-place":"Columbus","event-place":"Columbus","author":[{"family":"Golder","given":"Sona Nadenichek"}],"issued":{"date-parts":[["2006",1,1]]}},"locator":"15","label":"page"}],"schema":"https://github.com/citation-style-language/schema/raw/master/csl-citation.json"} </w:instrText>
      </w:r>
      <w:r w:rsidR="00A75294">
        <w:rPr>
          <w:lang w:val="en-US"/>
        </w:rPr>
        <w:fldChar w:fldCharType="separate"/>
      </w:r>
      <w:r w:rsidR="00A75294">
        <w:rPr>
          <w:noProof/>
          <w:lang w:val="en-US"/>
        </w:rPr>
        <w:t>(2006, 15)</w:t>
      </w:r>
      <w:r w:rsidR="00A75294">
        <w:rPr>
          <w:lang w:val="en-US"/>
        </w:rPr>
        <w:fldChar w:fldCharType="end"/>
      </w:r>
      <w:r w:rsidR="00A75294">
        <w:rPr>
          <w:lang w:val="en-US"/>
        </w:rPr>
        <w:t xml:space="preserve"> seminal study covered </w:t>
      </w:r>
      <w:r w:rsidR="008B37ED">
        <w:rPr>
          <w:lang w:val="en-US"/>
        </w:rPr>
        <w:t xml:space="preserve">364 legislative elections in </w:t>
      </w:r>
      <w:r w:rsidR="00A75294">
        <w:rPr>
          <w:lang w:val="en-US"/>
        </w:rPr>
        <w:t xml:space="preserve">23 </w:t>
      </w:r>
      <w:r w:rsidR="008B37ED">
        <w:rPr>
          <w:lang w:val="en-US"/>
        </w:rPr>
        <w:t xml:space="preserve">parliamentary democracies. For the period from 1946 to 2002 </w:t>
      </w:r>
      <w:r w:rsidR="008D0BA3">
        <w:rPr>
          <w:lang w:val="en-US"/>
        </w:rPr>
        <w:t>Golder codes</w:t>
      </w:r>
      <w:r w:rsidR="008B37ED">
        <w:rPr>
          <w:lang w:val="en-US"/>
        </w:rPr>
        <w:t xml:space="preserve"> 240 pre-electoral coalitions. </w:t>
      </w:r>
      <w:r w:rsidR="006014FA">
        <w:rPr>
          <w:lang w:val="en-US"/>
        </w:rPr>
        <w:t xml:space="preserve">Related efforts by </w:t>
      </w:r>
      <w:proofErr w:type="spellStart"/>
      <w:r w:rsidR="006014FA">
        <w:rPr>
          <w:lang w:val="en-US"/>
        </w:rPr>
        <w:t>Bräuninger</w:t>
      </w:r>
      <w:proofErr w:type="spellEnd"/>
      <w:r w:rsidR="006014FA">
        <w:rPr>
          <w:lang w:val="en-US"/>
        </w:rPr>
        <w:t>, Debus, and others</w:t>
      </w:r>
      <w:r w:rsidR="001B2AC1">
        <w:rPr>
          <w:lang w:val="en-US"/>
        </w:rPr>
        <w:t xml:space="preserve"> [SOURCES]</w:t>
      </w:r>
      <w:r w:rsidR="006014FA">
        <w:rPr>
          <w:lang w:val="en-US"/>
        </w:rPr>
        <w:t xml:space="preserve">, analyze </w:t>
      </w:r>
      <w:r w:rsidR="00FC1D70">
        <w:rPr>
          <w:lang w:val="en-US"/>
        </w:rPr>
        <w:t xml:space="preserve">up to 79 German state-level elections </w:t>
      </w:r>
      <w:r w:rsidR="00504DD7">
        <w:rPr>
          <w:lang w:val="en-US"/>
        </w:rPr>
        <w:t>between 1990 and up to 2009</w:t>
      </w:r>
      <w:r w:rsidR="00FC1D70">
        <w:rPr>
          <w:lang w:val="en-US"/>
        </w:rPr>
        <w:t xml:space="preserve">, paying </w:t>
      </w:r>
      <w:r w:rsidR="00504DD7">
        <w:rPr>
          <w:lang w:val="en-US"/>
        </w:rPr>
        <w:t xml:space="preserve">systematic </w:t>
      </w:r>
      <w:r w:rsidR="006014FA">
        <w:rPr>
          <w:lang w:val="en-US"/>
        </w:rPr>
        <w:t xml:space="preserve">attention to </w:t>
      </w:r>
      <w:r w:rsidR="00504DD7">
        <w:rPr>
          <w:lang w:val="en-US"/>
        </w:rPr>
        <w:t xml:space="preserve">the influence of </w:t>
      </w:r>
      <w:r w:rsidR="006014FA">
        <w:rPr>
          <w:lang w:val="en-US"/>
        </w:rPr>
        <w:t>pre-electoral</w:t>
      </w:r>
      <w:r w:rsidR="00FC1D70">
        <w:rPr>
          <w:lang w:val="en-US"/>
        </w:rPr>
        <w:t xml:space="preserve"> </w:t>
      </w:r>
      <w:r w:rsidR="006014FA">
        <w:rPr>
          <w:lang w:val="en-US"/>
        </w:rPr>
        <w:t xml:space="preserve">statements of coalition </w:t>
      </w:r>
      <w:r w:rsidR="00FC1D70">
        <w:rPr>
          <w:lang w:val="en-US"/>
        </w:rPr>
        <w:t>on government formation</w:t>
      </w:r>
      <w:r w:rsidR="00504DD7">
        <w:rPr>
          <w:lang w:val="en-US"/>
        </w:rPr>
        <w:t xml:space="preserve">. More recently, </w:t>
      </w:r>
      <w:proofErr w:type="spellStart"/>
      <w:r w:rsidR="00504DD7">
        <w:rPr>
          <w:lang w:val="en-US"/>
        </w:rPr>
        <w:t>Ibenskas</w:t>
      </w:r>
      <w:proofErr w:type="spellEnd"/>
      <w:r w:rsidR="00504DD7">
        <w:rPr>
          <w:lang w:val="en-US"/>
        </w:rPr>
        <w:t xml:space="preserve"> </w:t>
      </w:r>
      <w:r w:rsidR="00504DD7">
        <w:rPr>
          <w:lang w:val="en-US"/>
        </w:rPr>
        <w:fldChar w:fldCharType="begin"/>
      </w:r>
      <w:r w:rsidR="00504DD7">
        <w:rPr>
          <w:lang w:val="en-US"/>
        </w:rPr>
        <w:instrText xml:space="preserve"> ADDIN ZOTERO_ITEM CSL_CITATION {"citationID":"4NiUVPji","properties":{"formattedCitation":"(2015)","plainCitation":"(2015)","noteIndex":0},"citationItems":[{"id":12729,"uris":["http://zotero.org/users/229193/items/RWI64B4E"],"uri":["http://zotero.org/users/229193/items/RWI64B4E"],"itemData":{"id":12729,"type":"article-journal","title":"Understanding Pre-electoral Coalitions in Central and Eastern Europe","container-title":"British Journal of Political Science","page":"743-761","volume":"46","issue":"4","source":"Crossref","DOI":"10.1017/S0007123414000544","ISSN":"0007-1234, 1469-2112","language":"en","author":[{"family":"Ibenskas","given":"Raimondas"}],"issued":{"date-parts":[["2015"]]}},"suppress-author":true}],"schema":"https://github.com/citation-style-language/schema/raw/master/csl-citation.json"} </w:instrText>
      </w:r>
      <w:r w:rsidR="00504DD7">
        <w:rPr>
          <w:lang w:val="en-US"/>
        </w:rPr>
        <w:fldChar w:fldCharType="separate"/>
      </w:r>
      <w:r w:rsidR="00504DD7">
        <w:rPr>
          <w:noProof/>
          <w:lang w:val="en-US"/>
        </w:rPr>
        <w:t>(2015)</w:t>
      </w:r>
      <w:r w:rsidR="00504DD7">
        <w:rPr>
          <w:lang w:val="en-US"/>
        </w:rPr>
        <w:fldChar w:fldCharType="end"/>
      </w:r>
      <w:r w:rsidR="00504DD7">
        <w:rPr>
          <w:lang w:val="en-US"/>
        </w:rPr>
        <w:t xml:space="preserve"> examined the formation of </w:t>
      </w:r>
      <w:r w:rsidR="00FC1D70">
        <w:rPr>
          <w:lang w:val="en-US"/>
        </w:rPr>
        <w:t>joint candidate lists in 11 Central and Eastern European countries (CEE). His data include 117 such pre-electoral coalitions in 48 parliamentary elections</w:t>
      </w:r>
      <w:r w:rsidR="00726B68">
        <w:rPr>
          <w:lang w:val="en-US"/>
        </w:rPr>
        <w:t xml:space="preserve"> between </w:t>
      </w:r>
      <w:r w:rsidR="00FC1D70">
        <w:rPr>
          <w:lang w:val="en-US"/>
        </w:rPr>
        <w:t>1990</w:t>
      </w:r>
      <w:r w:rsidR="00726B68">
        <w:rPr>
          <w:lang w:val="en-US"/>
        </w:rPr>
        <w:t xml:space="preserve"> and </w:t>
      </w:r>
      <w:r w:rsidR="00FC1D70">
        <w:rPr>
          <w:lang w:val="en-US"/>
        </w:rPr>
        <w:t xml:space="preserve">2012. </w:t>
      </w:r>
      <w:r w:rsidR="001B2AC1">
        <w:rPr>
          <w:lang w:val="en-US"/>
        </w:rPr>
        <w:t>Asking why political parties would support candidates from another party</w:t>
      </w:r>
      <w:r>
        <w:rPr>
          <w:lang w:val="en-US"/>
        </w:rPr>
        <w:t>,</w:t>
      </w:r>
      <w:r w:rsidR="001B2AC1">
        <w:rPr>
          <w:lang w:val="en-US"/>
        </w:rPr>
        <w:t xml:space="preserve"> Kellam </w:t>
      </w:r>
      <w:r w:rsidR="001B2AC1">
        <w:rPr>
          <w:lang w:val="en-US"/>
        </w:rPr>
        <w:fldChar w:fldCharType="begin"/>
      </w:r>
      <w:r>
        <w:rPr>
          <w:lang w:val="en-US"/>
        </w:rPr>
        <w:instrText xml:space="preserve"> ADDIN ZOTERO_ITEM CSL_CITATION {"citationID":"VHToR9ua","properties":{"formattedCitation":"(2015)","plainCitation":"(2015)","noteIndex":0},"citationItems":[{"id":12730,"uris":["http://zotero.org/users/229193/items/T3YG4NXD"],"uri":["http://zotero.org/users/229193/items/T3YG4NXD"],"itemData":{"id":12730,"type":"article-journal","title":"Why Pre-Electoral Coalitions in Presidential Systems?","container-title":"British Journal of Political Science","page":"391-411","volume":"47","issue":"2","source":"Crossref","DOI":"10.1017/S0007123415000198","ISSN":"0007-1234, 1469-2112","language":"en","author":[{"family":"Kellam","given":"Marisa"}],"issued":{"date-parts":[["2015"]]}},"suppress-author":true}],"schema":"https://github.com/citation-style-language/schema/raw/master/csl-citation.json"} </w:instrText>
      </w:r>
      <w:r w:rsidR="001B2AC1">
        <w:rPr>
          <w:lang w:val="en-US"/>
        </w:rPr>
        <w:fldChar w:fldCharType="separate"/>
      </w:r>
      <w:r>
        <w:rPr>
          <w:noProof/>
          <w:lang w:val="en-US"/>
        </w:rPr>
        <w:t>(2015)</w:t>
      </w:r>
      <w:r w:rsidR="001B2AC1">
        <w:rPr>
          <w:lang w:val="en-US"/>
        </w:rPr>
        <w:fldChar w:fldCharType="end"/>
      </w:r>
      <w:r w:rsidR="001B2AC1">
        <w:rPr>
          <w:lang w:val="en-US"/>
        </w:rPr>
        <w:t xml:space="preserve"> studies </w:t>
      </w:r>
      <w:r w:rsidR="004F47BD">
        <w:rPr>
          <w:lang w:val="en-US"/>
        </w:rPr>
        <w:t xml:space="preserve">pre-electoral coalitions in </w:t>
      </w:r>
      <w:r w:rsidR="001B2AC1">
        <w:rPr>
          <w:lang w:val="en-US"/>
        </w:rPr>
        <w:t xml:space="preserve">Latin-American presidential elections between 1963 and 2009. </w:t>
      </w:r>
      <w:r w:rsidR="00FC1D70">
        <w:rPr>
          <w:lang w:val="en-US"/>
        </w:rPr>
        <w:t xml:space="preserve">Tillman </w:t>
      </w:r>
      <w:r w:rsidR="00FC1D70">
        <w:rPr>
          <w:lang w:val="en-US"/>
        </w:rPr>
        <w:fldChar w:fldCharType="begin"/>
      </w:r>
      <w:r w:rsidR="00FC1D70">
        <w:rPr>
          <w:lang w:val="en-US"/>
        </w:rPr>
        <w:instrText xml:space="preserve"> ADDIN ZOTERO_ITEM CSL_CITATION {"citationID":"TKKPBou7","properties":{"formattedCitation":"(2015)","plainCitation":"(2015)","noteIndex":0},"citationItems":[{"id":12714,"uris":["http://zotero.org/users/229193/items/G466ZPB9"],"uri":["http://zotero.org/users/229193/items/G466ZPB9"],"itemData":{"id":12714,"type":"article-journal","title":"Pre-electoral coalitions and voter turnout","container-title":"Party Politics","page":"726-737","volume":"21","issue":"5","source":"Crossref","DOI":"10.1177/1354068813499868","ISSN":"1354-0688, 1460-3683","language":"en","author":[{"family":"Tillman","given":"Erik R"}],"issued":{"date-parts":[["2015",9]]}},"suppress-author":true}],"schema":"https://github.com/citation-style-language/schema/raw/master/csl-citation.json"} </w:instrText>
      </w:r>
      <w:r w:rsidR="00FC1D70">
        <w:rPr>
          <w:lang w:val="en-US"/>
        </w:rPr>
        <w:fldChar w:fldCharType="separate"/>
      </w:r>
      <w:r w:rsidR="00FC1D70">
        <w:rPr>
          <w:noProof/>
          <w:lang w:val="en-US"/>
        </w:rPr>
        <w:t>(2015)</w:t>
      </w:r>
      <w:r w:rsidR="00FC1D70">
        <w:rPr>
          <w:lang w:val="en-US"/>
        </w:rPr>
        <w:fldChar w:fldCharType="end"/>
      </w:r>
      <w:r w:rsidR="00FC1D70">
        <w:rPr>
          <w:lang w:val="en-US"/>
        </w:rPr>
        <w:t xml:space="preserve"> </w:t>
      </w:r>
      <w:r w:rsidR="001B2AC1">
        <w:rPr>
          <w:lang w:val="en-US"/>
        </w:rPr>
        <w:t xml:space="preserve">takes a stronger interest in the effects of PECs </w:t>
      </w:r>
      <w:r w:rsidR="00FC1D70">
        <w:rPr>
          <w:lang w:val="en-US"/>
        </w:rPr>
        <w:t xml:space="preserve">and relates </w:t>
      </w:r>
      <w:r w:rsidR="001B2AC1">
        <w:rPr>
          <w:lang w:val="en-US"/>
        </w:rPr>
        <w:t xml:space="preserve">them </w:t>
      </w:r>
      <w:r w:rsidR="00FC1D70">
        <w:rPr>
          <w:lang w:val="en-US"/>
        </w:rPr>
        <w:t>to turnout in 223 legislative elections held between 1970 and 2011 in 19 democracies.</w:t>
      </w:r>
      <w:r w:rsidRPr="00AB41C9">
        <w:rPr>
          <w:lang w:val="en-US"/>
        </w:rPr>
        <w:t xml:space="preserve"> </w:t>
      </w:r>
      <w:r>
        <w:rPr>
          <w:lang w:val="en-US"/>
        </w:rPr>
        <w:t xml:space="preserve">Finally, following empirical </w:t>
      </w:r>
      <w:r w:rsidRPr="00AB41C9">
        <w:rPr>
          <w:lang w:val="en-US"/>
        </w:rPr>
        <w:t xml:space="preserve">evidence </w:t>
      </w:r>
      <w:r>
        <w:rPr>
          <w:lang w:val="en-US"/>
        </w:rPr>
        <w:t xml:space="preserve">that highlights </w:t>
      </w:r>
      <w:r w:rsidRPr="00AB41C9">
        <w:rPr>
          <w:lang w:val="en-US"/>
        </w:rPr>
        <w:t>the importance of opposition coordination for democratization</w:t>
      </w:r>
      <w:r>
        <w:rPr>
          <w:lang w:val="en-US"/>
        </w:rPr>
        <w:t xml:space="preserve"> </w:t>
      </w:r>
      <w:r>
        <w:rPr>
          <w:lang w:val="en-US"/>
        </w:rPr>
        <w:lastRenderedPageBreak/>
        <w:t>processes</w:t>
      </w:r>
      <w:r w:rsidRPr="00AB41C9">
        <w:rPr>
          <w:lang w:val="en-US"/>
        </w:rPr>
        <w:t xml:space="preserve"> </w:t>
      </w:r>
      <w:r>
        <w:rPr>
          <w:lang w:val="en-US"/>
        </w:rPr>
        <w:fldChar w:fldCharType="begin"/>
      </w:r>
      <w:r>
        <w:rPr>
          <w:lang w:val="en-US"/>
        </w:rPr>
        <w:instrText xml:space="preserve"> ADDIN ZOTERO_ITEM CSL_CITATION {"citationID":"8xrmBcup","properties":{"formattedCitation":"(Howard und Roessler 2006)","plainCitation":"(Howard und Roessler 2006)","noteIndex":0},"citationItems":[{"id":11088,"uris":["http://zotero.org/users/229193/items/JQHGGTWC"],"uri":["http://zotero.org/users/229193/items/JQHGGTWC"],"itemData":{"id":11088,"type":"article-journal","title":"Liberalizing Electoral Outcomes in Competitive Authoritarian Regimes","container-title":"American Journal of Political Science","page":"365-381","volume":"50","issue":"2","abstract":"In the wake of the third wave of democratization, competitive authoritarianism has emerged as a prominent regime type. These regimes feature regular, competitive elections between a government and an opposition, but the incumbent leader or party typically resorts to coercion, intimidation, and fraud to attempt to ensure electoral victory. Despite the incumbent’s reliance on unfair practices to stay in power, such elections occasionally result in what we call a “liberalizing electoral outcome” (LEO), which often leads to a new government that is considerably less authoritarian than its predecessor. Using a “nested” research design that employs both cross-national statistical analysis and a case study of Kenya, we seek to explain how and why LEOs occur. Our findings highlight in particular the importance of the choices made by opposition elites to form a strategic coalition for the purpose of mounting a credible challenge to the ruling party or candidate in national elections.","DOI":"10.1111/j.1540-5907.2006.00189.x","ISSN":"0092-5853","author":[{"family":"Howard","given":"Marc Morje"},{"family":"Roessler","given":"Philip G."}],"issued":{"date-parts":[["2006",1,1]]}}}],"schema":"https://github.com/citation-style-language/schema/raw/master/csl-citation.json"} </w:instrText>
      </w:r>
      <w:r>
        <w:rPr>
          <w:lang w:val="en-US"/>
        </w:rPr>
        <w:fldChar w:fldCharType="separate"/>
      </w:r>
      <w:r>
        <w:rPr>
          <w:noProof/>
          <w:lang w:val="en-US"/>
        </w:rPr>
        <w:t>(Howard und Roessler 2006)</w:t>
      </w:r>
      <w:r>
        <w:rPr>
          <w:lang w:val="en-US"/>
        </w:rPr>
        <w:fldChar w:fldCharType="end"/>
      </w:r>
      <w:r w:rsidRPr="00AB41C9">
        <w:rPr>
          <w:lang w:val="en-US"/>
        </w:rPr>
        <w:t xml:space="preserve">, even scholars of electoral authoritarianism </w:t>
      </w:r>
      <w:r>
        <w:rPr>
          <w:lang w:val="en-US"/>
        </w:rPr>
        <w:t xml:space="preserve">have taken </w:t>
      </w:r>
      <w:r w:rsidRPr="00AB41C9">
        <w:rPr>
          <w:lang w:val="en-US"/>
        </w:rPr>
        <w:t xml:space="preserve">interest in pre-electoral coalitions </w:t>
      </w:r>
      <w:r>
        <w:rPr>
          <w:lang w:val="en-US"/>
        </w:rPr>
        <w:fldChar w:fldCharType="begin"/>
      </w:r>
      <w:r>
        <w:rPr>
          <w:lang w:val="en-US"/>
        </w:rPr>
        <w:instrText xml:space="preserve"> ADDIN ZOTERO_ITEM CSL_CITATION {"citationID":"yU6RAXBS","properties":{"formattedCitation":"(Wahman 2011; Gandhi und Reuter 2013)","plainCitation":"(Wahman 2011; Gandhi und Reuter 2013)","noteIndex":0},"citationItems":[{"id":12732,"uris":["http://zotero.org/users/229193/items/T5G5P9FB"],"uri":["http://zotero.org/users/229193/items/T5G5P9FB"],"itemData":{"id":12732,"type":"article-journal","title":"Offices and policies – Why do oppositional parties form pre-electoral coalitions in competitive authoritarian regimes?","container-title":"Electoral Studies","page":"642-657","volume":"30","issue":"4","source":"Crossref","DOI":"10.1016/j.electstud.2011.05.009","ISSN":"02613794","language":"en","author":[{"family":"Wahman","given":"Michael"}],"issued":{"date-parts":[["2011",12]]}}},{"id":12733,"uris":["http://zotero.org/users/229193/items/LMF3YEZZ"],"uri":["http://zotero.org/users/229193/items/LMF3YEZZ"],"itemData":{"id":12733,"type":"article-journal","title":"The incentives for pre-electoral coalitions in non-democratic elections","container-title":"Democratization","page":"137-159","volume":"20","issue":"1","source":"Crossref","DOI":"10.1080/13510347.2013.738865","ISSN":"1351-0347, 1743-890X","language":"en","author":[{"family":"Gandhi","given":"Jennifer"},{"family":"Reuter","given":"Ora John"}],"issued":{"date-parts":[["2013",1]]}}}],"schema":"https://github.com/citation-style-language/schema/raw/master/csl-citation.json"} </w:instrText>
      </w:r>
      <w:r>
        <w:rPr>
          <w:lang w:val="en-US"/>
        </w:rPr>
        <w:fldChar w:fldCharType="separate"/>
      </w:r>
      <w:r>
        <w:rPr>
          <w:noProof/>
          <w:lang w:val="en-US"/>
        </w:rPr>
        <w:t>(Wahman 2011; Gandhi und Reuter 2013)</w:t>
      </w:r>
      <w:r>
        <w:rPr>
          <w:lang w:val="en-US"/>
        </w:rPr>
        <w:fldChar w:fldCharType="end"/>
      </w:r>
      <w:r>
        <w:rPr>
          <w:lang w:val="en-US"/>
        </w:rPr>
        <w:t>.</w:t>
      </w:r>
    </w:p>
    <w:p w14:paraId="232D4FE4" w14:textId="4B56936A" w:rsidR="00037832" w:rsidRDefault="00A36012" w:rsidP="00A3798A">
      <w:pPr>
        <w:spacing w:after="240" w:line="360" w:lineRule="auto"/>
        <w:rPr>
          <w:lang w:val="en-US"/>
        </w:rPr>
      </w:pPr>
      <w:r>
        <w:rPr>
          <w:lang w:val="en-US"/>
        </w:rPr>
        <w:t xml:space="preserve">We </w:t>
      </w:r>
      <w:r w:rsidR="00AB41C9">
        <w:rPr>
          <w:lang w:val="en-US"/>
        </w:rPr>
        <w:t>build on those prior efforts</w:t>
      </w:r>
      <w:r w:rsidR="004F47BD">
        <w:rPr>
          <w:lang w:val="en-US"/>
        </w:rPr>
        <w:t xml:space="preserve"> and increase both</w:t>
      </w:r>
      <w:r w:rsidR="00AB41C9">
        <w:rPr>
          <w:lang w:val="en-US"/>
        </w:rPr>
        <w:t xml:space="preserve"> the coverage and granularity of data on pre-electoral coalitions in parliamentary democracies. More precisely, o</w:t>
      </w:r>
      <w:r w:rsidR="00037832">
        <w:rPr>
          <w:lang w:val="en-US"/>
        </w:rPr>
        <w:t xml:space="preserve">ur data </w:t>
      </w:r>
      <w:r w:rsidR="004F47BD">
        <w:rPr>
          <w:lang w:val="en-US"/>
        </w:rPr>
        <w:t xml:space="preserve">cover </w:t>
      </w:r>
      <w:r w:rsidR="00037832">
        <w:rPr>
          <w:lang w:val="en-US"/>
        </w:rPr>
        <w:t>562 parliamentary elections across 35 EU and OECD democracies</w:t>
      </w:r>
      <w:r w:rsidR="00726B68">
        <w:rPr>
          <w:lang w:val="en-US"/>
        </w:rPr>
        <w:t xml:space="preserve"> between 1945 and 2015</w:t>
      </w:r>
      <w:r w:rsidR="008B37ED">
        <w:rPr>
          <w:lang w:val="en-US"/>
        </w:rPr>
        <w:t>.</w:t>
      </w:r>
      <w:r w:rsidR="00726B68">
        <w:rPr>
          <w:lang w:val="en-US"/>
        </w:rPr>
        <w:t xml:space="preserve"> They</w:t>
      </w:r>
      <w:r w:rsidR="008D0BA3">
        <w:rPr>
          <w:lang w:val="en-US"/>
        </w:rPr>
        <w:t xml:space="preserve"> </w:t>
      </w:r>
      <w:r w:rsidR="008B37ED">
        <w:rPr>
          <w:lang w:val="en-US"/>
        </w:rPr>
        <w:t>identif</w:t>
      </w:r>
      <w:r w:rsidR="00AB52DE">
        <w:rPr>
          <w:lang w:val="en-US"/>
        </w:rPr>
        <w:t>y</w:t>
      </w:r>
      <w:r w:rsidR="008B37ED">
        <w:rPr>
          <w:lang w:val="en-US"/>
        </w:rPr>
        <w:t xml:space="preserve"> </w:t>
      </w:r>
      <w:r w:rsidR="00212417">
        <w:rPr>
          <w:lang w:val="en-US"/>
        </w:rPr>
        <w:t>493</w:t>
      </w:r>
      <w:r w:rsidR="008B37ED">
        <w:rPr>
          <w:lang w:val="en-US"/>
        </w:rPr>
        <w:t xml:space="preserve"> </w:t>
      </w:r>
      <w:r w:rsidR="00504142">
        <w:rPr>
          <w:lang w:val="en-US"/>
        </w:rPr>
        <w:t>pre-electoral coalitions</w:t>
      </w:r>
      <w:r w:rsidR="00726B68">
        <w:rPr>
          <w:lang w:val="en-US"/>
        </w:rPr>
        <w:t xml:space="preserve"> and additionally provide i</w:t>
      </w:r>
      <w:r w:rsidR="00504142">
        <w:rPr>
          <w:lang w:val="en-US"/>
        </w:rPr>
        <w:t xml:space="preserve">nformation on </w:t>
      </w:r>
      <w:r w:rsidR="00D25476">
        <w:rPr>
          <w:lang w:val="en-US"/>
        </w:rPr>
        <w:t xml:space="preserve">participating </w:t>
      </w:r>
      <w:bookmarkStart w:id="0" w:name="_GoBack"/>
      <w:bookmarkEnd w:id="0"/>
      <w:r w:rsidR="00D25476">
        <w:rPr>
          <w:lang w:val="en-US"/>
        </w:rPr>
        <w:t xml:space="preserve">parties, </w:t>
      </w:r>
      <w:r w:rsidR="00726B68">
        <w:rPr>
          <w:lang w:val="en-US"/>
        </w:rPr>
        <w:t xml:space="preserve">the </w:t>
      </w:r>
      <w:r w:rsidR="00504142">
        <w:rPr>
          <w:lang w:val="en-US"/>
        </w:rPr>
        <w:t>type</w:t>
      </w:r>
      <w:r w:rsidR="00726B68">
        <w:rPr>
          <w:lang w:val="en-US"/>
        </w:rPr>
        <w:t xml:space="preserve"> of PEC</w:t>
      </w:r>
      <w:r w:rsidR="004F47BD">
        <w:rPr>
          <w:lang w:val="en-US"/>
        </w:rPr>
        <w:t xml:space="preserve"> formed</w:t>
      </w:r>
      <w:r w:rsidR="00504142">
        <w:rPr>
          <w:lang w:val="en-US"/>
        </w:rPr>
        <w:t xml:space="preserve">, the existence of a joint program, and </w:t>
      </w:r>
      <w:r w:rsidR="00726B68">
        <w:rPr>
          <w:lang w:val="en-US"/>
        </w:rPr>
        <w:t xml:space="preserve">the </w:t>
      </w:r>
      <w:r w:rsidR="004F47BD">
        <w:rPr>
          <w:lang w:val="en-US"/>
        </w:rPr>
        <w:t>PEC</w:t>
      </w:r>
      <w:r w:rsidR="00726B68">
        <w:rPr>
          <w:lang w:val="en-US"/>
        </w:rPr>
        <w:t xml:space="preserve">’s </w:t>
      </w:r>
      <w:r w:rsidR="00504142">
        <w:rPr>
          <w:lang w:val="en-US"/>
        </w:rPr>
        <w:t>incumbency status</w:t>
      </w:r>
      <w:r w:rsidR="00726B68">
        <w:rPr>
          <w:lang w:val="en-US"/>
        </w:rPr>
        <w:t>.</w:t>
      </w:r>
      <w:r w:rsidR="00AB52DE">
        <w:rPr>
          <w:rStyle w:val="FootnoteReference"/>
          <w:lang w:val="en-US"/>
        </w:rPr>
        <w:footnoteReference w:id="2"/>
      </w:r>
      <w:r w:rsidR="00504142">
        <w:rPr>
          <w:lang w:val="en-US"/>
        </w:rPr>
        <w:t xml:space="preserve"> </w:t>
      </w:r>
      <w:r w:rsidR="004F47BD">
        <w:rPr>
          <w:lang w:val="en-US"/>
        </w:rPr>
        <w:t xml:space="preserve">Whereas extant empirical research was primarily concerned with the emergence of pre-electoral coalitions in different political contexts, our </w:t>
      </w:r>
      <w:r w:rsidR="00D80BED">
        <w:rPr>
          <w:lang w:val="en-US"/>
        </w:rPr>
        <w:t xml:space="preserve">data </w:t>
      </w:r>
      <w:r w:rsidR="004F47BD">
        <w:rPr>
          <w:lang w:val="en-US"/>
        </w:rPr>
        <w:t xml:space="preserve">raise additional </w:t>
      </w:r>
      <w:r w:rsidR="00D80BED">
        <w:rPr>
          <w:lang w:val="en-US"/>
        </w:rPr>
        <w:t>questions</w:t>
      </w:r>
      <w:r w:rsidR="004F47BD">
        <w:rPr>
          <w:lang w:val="en-US"/>
        </w:rPr>
        <w:t xml:space="preserve">: </w:t>
      </w:r>
      <w:r w:rsidR="00D25476">
        <w:rPr>
          <w:lang w:val="en-US"/>
        </w:rPr>
        <w:t>“W</w:t>
      </w:r>
      <w:r w:rsidR="00D80BED">
        <w:rPr>
          <w:lang w:val="en-US"/>
        </w:rPr>
        <w:t>hen do incumbent government</w:t>
      </w:r>
      <w:r w:rsidR="004F47BD">
        <w:rPr>
          <w:lang w:val="en-US"/>
        </w:rPr>
        <w:t>s</w:t>
      </w:r>
      <w:r w:rsidR="00D80BED">
        <w:rPr>
          <w:lang w:val="en-US"/>
        </w:rPr>
        <w:t xml:space="preserve"> form pre-electoral coalitions</w:t>
      </w:r>
      <w:r w:rsidR="00D25476">
        <w:rPr>
          <w:lang w:val="en-US"/>
        </w:rPr>
        <w:t>?”; “W</w:t>
      </w:r>
      <w:r w:rsidR="00212417">
        <w:rPr>
          <w:lang w:val="en-US"/>
        </w:rPr>
        <w:t>hy</w:t>
      </w:r>
      <w:r w:rsidR="00D80BED">
        <w:rPr>
          <w:lang w:val="en-US"/>
        </w:rPr>
        <w:t xml:space="preserve"> </w:t>
      </w:r>
      <w:r w:rsidR="00D25476">
        <w:rPr>
          <w:lang w:val="en-US"/>
        </w:rPr>
        <w:t xml:space="preserve">do </w:t>
      </w:r>
      <w:r w:rsidR="00D80BED">
        <w:rPr>
          <w:lang w:val="en-US"/>
        </w:rPr>
        <w:t xml:space="preserve">pre-electoral coalitions </w:t>
      </w:r>
      <w:r w:rsidR="00212417">
        <w:rPr>
          <w:lang w:val="en-US"/>
        </w:rPr>
        <w:t>put forward</w:t>
      </w:r>
      <w:r w:rsidR="00D80BED">
        <w:rPr>
          <w:lang w:val="en-US"/>
        </w:rPr>
        <w:t xml:space="preserve"> joint programs and</w:t>
      </w:r>
      <w:r w:rsidR="004F47BD">
        <w:rPr>
          <w:lang w:val="en-US"/>
        </w:rPr>
        <w:t>, if so,</w:t>
      </w:r>
      <w:r w:rsidR="00D80BED">
        <w:rPr>
          <w:lang w:val="en-US"/>
        </w:rPr>
        <w:t xml:space="preserve"> to what effect?</w:t>
      </w:r>
      <w:r w:rsidR="00D25476">
        <w:rPr>
          <w:lang w:val="en-US"/>
        </w:rPr>
        <w:t>”; or “Do all parties benefit equally from membership in pre-electoral coalitions?”.</w:t>
      </w:r>
    </w:p>
    <w:p w14:paraId="027AE2A9" w14:textId="1AD235BC" w:rsidR="00D43AA7" w:rsidRDefault="008D0BA3" w:rsidP="00A3798A">
      <w:pPr>
        <w:spacing w:after="240" w:line="360" w:lineRule="auto"/>
        <w:jc w:val="center"/>
        <w:rPr>
          <w:lang w:val="en-US"/>
        </w:rPr>
      </w:pPr>
      <w:r>
        <w:rPr>
          <w:lang w:val="en-US"/>
        </w:rPr>
        <w:t xml:space="preserve">-- </w:t>
      </w:r>
      <w:r w:rsidR="00D43AA7">
        <w:rPr>
          <w:lang w:val="en-US"/>
        </w:rPr>
        <w:fldChar w:fldCharType="begin"/>
      </w:r>
      <w:r w:rsidR="00D43AA7">
        <w:rPr>
          <w:lang w:val="en-US"/>
        </w:rPr>
        <w:instrText xml:space="preserve"> REF _Ref14691014 \h </w:instrText>
      </w:r>
      <w:r w:rsidR="00A3798A">
        <w:rPr>
          <w:lang w:val="en-US"/>
        </w:rPr>
        <w:instrText xml:space="preserve"> \* MERGEFORMAT </w:instrText>
      </w:r>
      <w:r w:rsidR="00D43AA7">
        <w:rPr>
          <w:lang w:val="en-US"/>
        </w:rPr>
      </w:r>
      <w:r w:rsidR="00D43AA7">
        <w:rPr>
          <w:lang w:val="en-US"/>
        </w:rPr>
        <w:fldChar w:fldCharType="separate"/>
      </w:r>
      <w:r w:rsidR="00AB41C9" w:rsidRPr="008C6494">
        <w:rPr>
          <w:lang w:val="en-US"/>
        </w:rPr>
        <w:t xml:space="preserve">Table </w:t>
      </w:r>
      <w:r w:rsidR="00AB41C9">
        <w:rPr>
          <w:noProof/>
          <w:lang w:val="en-US"/>
        </w:rPr>
        <w:t>1</w:t>
      </w:r>
      <w:r w:rsidR="00D43AA7">
        <w:rPr>
          <w:lang w:val="en-US"/>
        </w:rPr>
        <w:fldChar w:fldCharType="end"/>
      </w:r>
      <w:r w:rsidR="00D43AA7">
        <w:rPr>
          <w:lang w:val="en-US"/>
        </w:rPr>
        <w:t xml:space="preserve"> about here</w:t>
      </w:r>
      <w:r>
        <w:rPr>
          <w:lang w:val="en-US"/>
        </w:rPr>
        <w:t xml:space="preserve"> --</w:t>
      </w:r>
    </w:p>
    <w:p w14:paraId="0AF899EE" w14:textId="6BB3B330" w:rsidR="00D43AA7" w:rsidRDefault="004F47BD" w:rsidP="00A3798A">
      <w:pPr>
        <w:spacing w:after="240" w:line="360" w:lineRule="auto"/>
        <w:rPr>
          <w:lang w:val="en-US"/>
        </w:rPr>
      </w:pPr>
      <w:r>
        <w:rPr>
          <w:lang w:val="en-US"/>
        </w:rPr>
        <w:t xml:space="preserve">Countries in our data differ markedly on their experience with pre-electoral </w:t>
      </w:r>
      <w:proofErr w:type="spellStart"/>
      <w:r>
        <w:rPr>
          <w:lang w:val="en-US"/>
        </w:rPr>
        <w:t>coaltions</w:t>
      </w:r>
      <w:proofErr w:type="spellEnd"/>
      <w:r>
        <w:rPr>
          <w:lang w:val="en-US"/>
        </w:rPr>
        <w:t>, as can be seen from</w:t>
      </w:r>
      <w:r w:rsidR="002C41D0">
        <w:rPr>
          <w:lang w:val="en-US"/>
        </w:rPr>
        <w:t xml:space="preserve"> </w:t>
      </w:r>
      <w:r w:rsidR="008C6494">
        <w:rPr>
          <w:lang w:val="en-US"/>
        </w:rPr>
        <w:fldChar w:fldCharType="begin"/>
      </w:r>
      <w:r w:rsidR="008C6494">
        <w:rPr>
          <w:lang w:val="en-US"/>
        </w:rPr>
        <w:instrText xml:space="preserve"> REF _Ref14691014 \h </w:instrText>
      </w:r>
      <w:r w:rsidR="00A3798A">
        <w:rPr>
          <w:lang w:val="en-US"/>
        </w:rPr>
        <w:instrText xml:space="preserve"> \* MERGEFORMAT </w:instrText>
      </w:r>
      <w:r w:rsidR="008C6494">
        <w:rPr>
          <w:lang w:val="en-US"/>
        </w:rPr>
      </w:r>
      <w:r w:rsidR="008C6494">
        <w:rPr>
          <w:lang w:val="en-US"/>
        </w:rPr>
        <w:fldChar w:fldCharType="separate"/>
      </w:r>
      <w:r w:rsidR="00AB41C9" w:rsidRPr="008C6494">
        <w:rPr>
          <w:lang w:val="en-US"/>
        </w:rPr>
        <w:t xml:space="preserve">Table </w:t>
      </w:r>
      <w:r w:rsidR="00AB41C9">
        <w:rPr>
          <w:noProof/>
          <w:lang w:val="en-US"/>
        </w:rPr>
        <w:t>1</w:t>
      </w:r>
      <w:r w:rsidR="008C6494">
        <w:rPr>
          <w:lang w:val="en-US"/>
        </w:rPr>
        <w:fldChar w:fldCharType="end"/>
      </w:r>
      <w:r w:rsidR="00D43AA7" w:rsidRPr="00D43AA7">
        <w:rPr>
          <w:lang w:val="en-US"/>
        </w:rPr>
        <w:t xml:space="preserve">. </w:t>
      </w:r>
      <w:r w:rsidR="00DC1F86" w:rsidRPr="00DC1F86">
        <w:rPr>
          <w:lang w:val="en-US"/>
        </w:rPr>
        <w:t>In some instances, e.g., Australia, Germany, and France, the number of PECs outranks the number of elections held since 1945. Pre-</w:t>
      </w:r>
      <w:r w:rsidR="00D25476">
        <w:rPr>
          <w:lang w:val="en-US"/>
        </w:rPr>
        <w:t>e</w:t>
      </w:r>
      <w:r w:rsidR="00DC1F86" w:rsidRPr="00DC1F86">
        <w:rPr>
          <w:lang w:val="en-US"/>
        </w:rPr>
        <w:t>lectoral coalitions competed in all post-1945 German and Australian parliamentary elections and on average they accounted for 48 to 64 percent of the vote. In contrast, pre-electoral coalitions never formed in Canada, Malta</w:t>
      </w:r>
      <w:r w:rsidR="00D25476">
        <w:rPr>
          <w:lang w:val="en-US"/>
        </w:rPr>
        <w:t xml:space="preserve"> or </w:t>
      </w:r>
      <w:r w:rsidR="00DC1F86" w:rsidRPr="00DC1F86">
        <w:rPr>
          <w:lang w:val="en-US"/>
        </w:rPr>
        <w:t>Switzerland. Pre-electoral coalitions in Central and Eastern Europe rank anywhere in between these extremes. PECs formed in 80 percent of all Bulgarian elections and accounted for 54 percent of the popular vote on average</w:t>
      </w:r>
      <w:r w:rsidR="00D25476">
        <w:rPr>
          <w:lang w:val="en-US"/>
        </w:rPr>
        <w:t xml:space="preserve">. </w:t>
      </w:r>
      <w:r w:rsidR="002C41D0">
        <w:rPr>
          <w:lang w:val="en-US"/>
        </w:rPr>
        <w:t>In the Czech Republic, in contrast, t</w:t>
      </w:r>
      <w:r w:rsidR="00DC1F86" w:rsidRPr="00DC1F86">
        <w:rPr>
          <w:lang w:val="en-US"/>
        </w:rPr>
        <w:t xml:space="preserve">hese figures drop to 38 </w:t>
      </w:r>
      <w:r w:rsidR="002C41D0">
        <w:rPr>
          <w:lang w:val="en-US"/>
        </w:rPr>
        <w:t>respectively</w:t>
      </w:r>
      <w:r w:rsidR="00DC1F86" w:rsidRPr="00DC1F86">
        <w:rPr>
          <w:lang w:val="en-US"/>
        </w:rPr>
        <w:t xml:space="preserve"> 10 percent. Moreover, our data show considerable variation in both, the probability to which incumbent governments form pre-electoral coalitions and the likelihood of joint programs. On these accounts, the </w:t>
      </w:r>
      <w:r w:rsidR="0053490B">
        <w:rPr>
          <w:lang w:val="en-US"/>
        </w:rPr>
        <w:t>Romanian</w:t>
      </w:r>
      <w:r w:rsidR="00DC1F86" w:rsidRPr="00DC1F86">
        <w:rPr>
          <w:lang w:val="en-US"/>
        </w:rPr>
        <w:t xml:space="preserve"> experience contrasts markedly with the Danish case. </w:t>
      </w:r>
      <w:commentRangeStart w:id="1"/>
      <w:r w:rsidR="00DC1F86" w:rsidRPr="00DC1F86">
        <w:rPr>
          <w:lang w:val="en-US"/>
        </w:rPr>
        <w:t xml:space="preserve">In both countries, pre-electoral coalitions competed in about 80 percent of all legislative elections. Remarkably, </w:t>
      </w:r>
      <w:r w:rsidR="0053490B">
        <w:rPr>
          <w:lang w:val="en-US"/>
        </w:rPr>
        <w:t xml:space="preserve">Romanian </w:t>
      </w:r>
      <w:r w:rsidR="00DC1F86" w:rsidRPr="00DC1F86">
        <w:rPr>
          <w:lang w:val="en-US"/>
        </w:rPr>
        <w:t xml:space="preserve">governments </w:t>
      </w:r>
      <w:r w:rsidR="0053490B">
        <w:rPr>
          <w:lang w:val="en-US"/>
        </w:rPr>
        <w:t xml:space="preserve">rarely </w:t>
      </w:r>
      <w:r w:rsidR="00DC1F86" w:rsidRPr="00DC1F86">
        <w:rPr>
          <w:lang w:val="en-US"/>
        </w:rPr>
        <w:t xml:space="preserve">formed PECs, but 92 percent of all </w:t>
      </w:r>
      <w:r w:rsidR="0053490B">
        <w:rPr>
          <w:lang w:val="en-US"/>
        </w:rPr>
        <w:t xml:space="preserve">Romanian </w:t>
      </w:r>
      <w:r w:rsidR="00DC1F86" w:rsidRPr="00DC1F86">
        <w:rPr>
          <w:lang w:val="en-US"/>
        </w:rPr>
        <w:t xml:space="preserve">PECs agreed on a shared </w:t>
      </w:r>
      <w:r w:rsidR="00DC1F86" w:rsidRPr="00DC1F86">
        <w:rPr>
          <w:lang w:val="en-US"/>
        </w:rPr>
        <w:lastRenderedPageBreak/>
        <w:t xml:space="preserve">platform. In contrast, about one-third of Danish governments formed a pre-electoral coalition, but PECs </w:t>
      </w:r>
      <w:r w:rsidR="00E9322B">
        <w:rPr>
          <w:lang w:val="en-US"/>
        </w:rPr>
        <w:t>rarely</w:t>
      </w:r>
      <w:r w:rsidR="00DC1F86" w:rsidRPr="00DC1F86">
        <w:rPr>
          <w:lang w:val="en-US"/>
        </w:rPr>
        <w:t xml:space="preserve"> </w:t>
      </w:r>
      <w:r w:rsidR="002C41D0">
        <w:rPr>
          <w:lang w:val="en-US"/>
        </w:rPr>
        <w:t xml:space="preserve">invest in building a common electoral </w:t>
      </w:r>
      <w:r w:rsidR="00DC1F86" w:rsidRPr="00DC1F86">
        <w:rPr>
          <w:lang w:val="en-US"/>
        </w:rPr>
        <w:t>platform.</w:t>
      </w:r>
      <w:commentRangeEnd w:id="1"/>
      <w:r w:rsidR="0053490B">
        <w:rPr>
          <w:rStyle w:val="CommentReference"/>
        </w:rPr>
        <w:commentReference w:id="1"/>
      </w:r>
    </w:p>
    <w:p w14:paraId="4B97FEDA" w14:textId="55372612" w:rsidR="008D0BA3" w:rsidRDefault="008D0BA3" w:rsidP="00A3798A">
      <w:pPr>
        <w:spacing w:after="240" w:line="360" w:lineRule="auto"/>
        <w:jc w:val="center"/>
        <w:rPr>
          <w:lang w:val="en-US"/>
        </w:rPr>
      </w:pPr>
      <w:r>
        <w:rPr>
          <w:lang w:val="en-US"/>
        </w:rPr>
        <w:t xml:space="preserve">-- </w:t>
      </w:r>
      <w:r>
        <w:rPr>
          <w:lang w:val="en-US"/>
        </w:rPr>
        <w:fldChar w:fldCharType="begin"/>
      </w:r>
      <w:r>
        <w:rPr>
          <w:lang w:val="en-US"/>
        </w:rPr>
        <w:instrText xml:space="preserve"> REF _Ref15034520 \h </w:instrText>
      </w:r>
      <w:r w:rsidR="00A3798A">
        <w:rPr>
          <w:lang w:val="en-US"/>
        </w:rPr>
        <w:instrText xml:space="preserve"> \* MERGEFORMAT </w:instrText>
      </w:r>
      <w:r>
        <w:rPr>
          <w:lang w:val="en-US"/>
        </w:rPr>
      </w:r>
      <w:r>
        <w:rPr>
          <w:lang w:val="en-US"/>
        </w:rPr>
        <w:fldChar w:fldCharType="separate"/>
      </w:r>
      <w:r w:rsidR="00AB41C9" w:rsidRPr="008C6494">
        <w:rPr>
          <w:lang w:val="en-US"/>
        </w:rPr>
        <w:t xml:space="preserve">Figure </w:t>
      </w:r>
      <w:r w:rsidR="00AB41C9">
        <w:rPr>
          <w:noProof/>
          <w:lang w:val="en-US"/>
        </w:rPr>
        <w:t>1</w:t>
      </w:r>
      <w:r>
        <w:rPr>
          <w:lang w:val="en-US"/>
        </w:rPr>
        <w:fldChar w:fldCharType="end"/>
      </w:r>
      <w:r>
        <w:rPr>
          <w:lang w:val="en-US"/>
        </w:rPr>
        <w:t xml:space="preserve"> about here –</w:t>
      </w:r>
    </w:p>
    <w:p w14:paraId="6AA839F3" w14:textId="51C87A5A" w:rsidR="00E06906" w:rsidRDefault="00E9322B" w:rsidP="00A3798A">
      <w:pPr>
        <w:spacing w:after="240" w:line="360" w:lineRule="auto"/>
        <w:rPr>
          <w:lang w:val="en-US"/>
        </w:rPr>
      </w:pPr>
      <w:r>
        <w:rPr>
          <w:lang w:val="en-US"/>
        </w:rPr>
        <w:t xml:space="preserve">Moving on to more dynamic aspects of our data, </w:t>
      </w:r>
      <w:r>
        <w:rPr>
          <w:lang w:val="en-US"/>
        </w:rPr>
        <w:fldChar w:fldCharType="begin"/>
      </w:r>
      <w:r>
        <w:rPr>
          <w:lang w:val="en-US"/>
        </w:rPr>
        <w:instrText xml:space="preserve"> REF _Ref15034520 \h </w:instrText>
      </w:r>
      <w:r w:rsidR="00A3798A">
        <w:rPr>
          <w:lang w:val="en-US"/>
        </w:rPr>
        <w:instrText xml:space="preserve"> \* MERGEFORMAT </w:instrText>
      </w:r>
      <w:r>
        <w:rPr>
          <w:lang w:val="en-US"/>
        </w:rPr>
      </w:r>
      <w:r>
        <w:rPr>
          <w:lang w:val="en-US"/>
        </w:rPr>
        <w:fldChar w:fldCharType="separate"/>
      </w:r>
      <w:r w:rsidR="00AB41C9" w:rsidRPr="008C6494">
        <w:rPr>
          <w:lang w:val="en-US"/>
        </w:rPr>
        <w:t xml:space="preserve">Figure </w:t>
      </w:r>
      <w:r w:rsidR="00AB41C9">
        <w:rPr>
          <w:noProof/>
          <w:lang w:val="en-US"/>
        </w:rPr>
        <w:t>1</w:t>
      </w:r>
      <w:r>
        <w:rPr>
          <w:lang w:val="en-US"/>
        </w:rPr>
        <w:fldChar w:fldCharType="end"/>
      </w:r>
      <w:r>
        <w:rPr>
          <w:lang w:val="en-US"/>
        </w:rPr>
        <w:t xml:space="preserve"> plots the absolute frequencies of coalition type, incumbency, and joint program over time </w:t>
      </w:r>
      <w:r w:rsidR="00B34E34">
        <w:rPr>
          <w:lang w:val="en-US"/>
        </w:rPr>
        <w:t>singling out CEE</w:t>
      </w:r>
      <w:r>
        <w:rPr>
          <w:lang w:val="en-US"/>
        </w:rPr>
        <w:t xml:space="preserve"> </w:t>
      </w:r>
      <w:r w:rsidR="00B34E34">
        <w:rPr>
          <w:lang w:val="en-US"/>
        </w:rPr>
        <w:t>countries</w:t>
      </w:r>
      <w:r>
        <w:rPr>
          <w:lang w:val="en-US"/>
        </w:rPr>
        <w:t>.</w:t>
      </w:r>
      <w:r w:rsidR="00726B68">
        <w:rPr>
          <w:rStyle w:val="FootnoteReference"/>
          <w:lang w:val="en-US"/>
        </w:rPr>
        <w:footnoteReference w:id="3"/>
      </w:r>
      <w:r w:rsidR="00B34E34">
        <w:rPr>
          <w:lang w:val="en-US"/>
        </w:rPr>
        <w:t xml:space="preserve"> </w:t>
      </w:r>
      <w:r w:rsidR="002D4F31">
        <w:rPr>
          <w:lang w:val="en-US"/>
        </w:rPr>
        <w:t>Several patterns stand out</w:t>
      </w:r>
      <w:r w:rsidR="0053490B">
        <w:rPr>
          <w:lang w:val="en-US"/>
        </w:rPr>
        <w:t xml:space="preserve"> from the graph. </w:t>
      </w:r>
      <w:r w:rsidR="00B34E34">
        <w:rPr>
          <w:lang w:val="en-US"/>
        </w:rPr>
        <w:t xml:space="preserve">First, </w:t>
      </w:r>
      <w:r w:rsidR="008368BF">
        <w:rPr>
          <w:lang w:val="en-US"/>
        </w:rPr>
        <w:t xml:space="preserve">as can be seen from the left column, </w:t>
      </w:r>
      <w:r w:rsidR="00B34E34">
        <w:rPr>
          <w:lang w:val="en-US"/>
        </w:rPr>
        <w:t xml:space="preserve">pre-electoral </w:t>
      </w:r>
      <w:r w:rsidR="00D25476">
        <w:rPr>
          <w:lang w:val="en-US"/>
        </w:rPr>
        <w:t xml:space="preserve">coalitions </w:t>
      </w:r>
      <w:r w:rsidR="00B34E34">
        <w:rPr>
          <w:lang w:val="en-US"/>
        </w:rPr>
        <w:t xml:space="preserve">have become more frequent </w:t>
      </w:r>
      <w:r w:rsidR="0053490B">
        <w:rPr>
          <w:lang w:val="en-US"/>
        </w:rPr>
        <w:t xml:space="preserve">in </w:t>
      </w:r>
      <w:r w:rsidR="00B34E34">
        <w:rPr>
          <w:lang w:val="en-US"/>
        </w:rPr>
        <w:t xml:space="preserve">parliamentary democracies </w:t>
      </w:r>
      <w:r w:rsidR="0053490B">
        <w:rPr>
          <w:lang w:val="en-US"/>
        </w:rPr>
        <w:t>outside the CEE region</w:t>
      </w:r>
      <w:r w:rsidR="00DC5218">
        <w:rPr>
          <w:lang w:val="en-US"/>
        </w:rPr>
        <w:t xml:space="preserve">. Starting from 2 </w:t>
      </w:r>
      <w:r w:rsidR="0053490B">
        <w:rPr>
          <w:lang w:val="en-US"/>
        </w:rPr>
        <w:t>PECs</w:t>
      </w:r>
      <w:r w:rsidR="00DC5218">
        <w:rPr>
          <w:lang w:val="en-US"/>
        </w:rPr>
        <w:t xml:space="preserve"> in 1945 </w:t>
      </w:r>
      <w:r w:rsidR="0053490B">
        <w:rPr>
          <w:lang w:val="en-US"/>
        </w:rPr>
        <w:t xml:space="preserve">their number </w:t>
      </w:r>
      <w:r w:rsidR="00DC5218">
        <w:rPr>
          <w:lang w:val="en-US"/>
        </w:rPr>
        <w:t xml:space="preserve">hits an all-time high at 15 </w:t>
      </w:r>
      <w:r w:rsidR="0053490B">
        <w:rPr>
          <w:lang w:val="en-US"/>
        </w:rPr>
        <w:t xml:space="preserve">coalitions </w:t>
      </w:r>
      <w:r w:rsidR="00DC5218">
        <w:rPr>
          <w:lang w:val="en-US"/>
        </w:rPr>
        <w:t xml:space="preserve">in 2013. CEE countries, in contrast, </w:t>
      </w:r>
      <w:r w:rsidR="0053490B">
        <w:rPr>
          <w:lang w:val="en-US"/>
        </w:rPr>
        <w:t xml:space="preserve">exhibit </w:t>
      </w:r>
      <w:r w:rsidR="00DC5218">
        <w:rPr>
          <w:lang w:val="en-US"/>
        </w:rPr>
        <w:t xml:space="preserve">the opposite development. When they were still </w:t>
      </w:r>
      <w:r w:rsidR="002C41D0">
        <w:rPr>
          <w:lang w:val="en-US"/>
        </w:rPr>
        <w:t xml:space="preserve">very </w:t>
      </w:r>
      <w:r w:rsidR="00DC5218">
        <w:rPr>
          <w:lang w:val="en-US"/>
        </w:rPr>
        <w:t>young, pre-electoral coalitions frequently formed in these democracies meeting an all-time high at 13 PECs in 1992. As the CEE democracies and their party systems</w:t>
      </w:r>
      <w:r w:rsidR="0053490B">
        <w:rPr>
          <w:lang w:val="en-US"/>
        </w:rPr>
        <w:t xml:space="preserve">, </w:t>
      </w:r>
      <w:r w:rsidR="00DC5218">
        <w:rPr>
          <w:lang w:val="en-US"/>
        </w:rPr>
        <w:t xml:space="preserve">consolidated, however, PECs lost their attractiveness </w:t>
      </w:r>
      <w:r w:rsidR="0053490B">
        <w:rPr>
          <w:lang w:val="en-US"/>
        </w:rPr>
        <w:t xml:space="preserve">and largely disappeared until </w:t>
      </w:r>
      <w:r w:rsidR="002D4F31">
        <w:rPr>
          <w:lang w:val="en-US"/>
        </w:rPr>
        <w:t>201</w:t>
      </w:r>
      <w:r w:rsidR="0053490B">
        <w:rPr>
          <w:lang w:val="en-US"/>
        </w:rPr>
        <w:t>5</w:t>
      </w:r>
      <w:r w:rsidR="002C41D0">
        <w:rPr>
          <w:lang w:val="en-US"/>
        </w:rPr>
        <w:t xml:space="preserve"> </w:t>
      </w:r>
      <w:r w:rsidR="002C41D0">
        <w:rPr>
          <w:lang w:val="en-US"/>
        </w:rPr>
        <w:fldChar w:fldCharType="begin"/>
      </w:r>
      <w:r w:rsidR="002C41D0">
        <w:rPr>
          <w:lang w:val="en-US"/>
        </w:rPr>
        <w:instrText xml:space="preserve"> ADDIN ZOTERO_ITEM CSL_CITATION {"citationID":"3h5tHyGi","properties":{"formattedCitation":"(see Ibenskas 2015)","plainCitation":"(see Ibenskas 2015)","noteIndex":0},"citationItems":[{"id":12729,"uris":["http://zotero.org/users/229193/items/RWI64B4E"],"uri":["http://zotero.org/users/229193/items/RWI64B4E"],"itemData":{"id":12729,"type":"article-journal","title":"Understanding Pre-electoral Coalitions in Central and Eastern Europe","container-title":"British Journal of Political Science","page":"743-761","volume":"46","issue":"4","source":"Crossref","DOI":"10.1017/S0007123414000544","ISSN":"0007-1234, 1469-2112","language":"en","author":[{"family":"Ibenskas","given":"Raimondas"}],"issued":{"date-parts":[["2015"]]}},"prefix":"see"}],"schema":"https://github.com/citation-style-language/schema/raw/master/csl-citation.json"} </w:instrText>
      </w:r>
      <w:r w:rsidR="002C41D0">
        <w:rPr>
          <w:lang w:val="en-US"/>
        </w:rPr>
        <w:fldChar w:fldCharType="separate"/>
      </w:r>
      <w:r w:rsidR="002C41D0">
        <w:rPr>
          <w:noProof/>
          <w:lang w:val="en-US"/>
        </w:rPr>
        <w:t>(see Ibenskas 2015)</w:t>
      </w:r>
      <w:r w:rsidR="002C41D0">
        <w:rPr>
          <w:lang w:val="en-US"/>
        </w:rPr>
        <w:fldChar w:fldCharType="end"/>
      </w:r>
      <w:r w:rsidR="002D4F31">
        <w:rPr>
          <w:lang w:val="en-US"/>
        </w:rPr>
        <w:t>.</w:t>
      </w:r>
      <w:r w:rsidR="0053490B">
        <w:rPr>
          <w:lang w:val="en-US"/>
        </w:rPr>
        <w:t xml:space="preserve"> </w:t>
      </w:r>
      <w:r w:rsidR="008368BF">
        <w:rPr>
          <w:lang w:val="en-US"/>
        </w:rPr>
        <w:t>Second</w:t>
      </w:r>
      <w:r w:rsidR="00E06906">
        <w:rPr>
          <w:lang w:val="en-US"/>
        </w:rPr>
        <w:t xml:space="preserve">, incumbent governments rarely form pre-electoral coalitions regardless of geographical region. </w:t>
      </w:r>
      <w:r w:rsidR="008368BF">
        <w:rPr>
          <w:lang w:val="en-US"/>
        </w:rPr>
        <w:t>The numbers oscillate around 2 incumbent PECs each year</w:t>
      </w:r>
      <w:r w:rsidR="00E06906">
        <w:rPr>
          <w:lang w:val="en-US"/>
        </w:rPr>
        <w:t>.</w:t>
      </w:r>
      <w:r w:rsidR="008368BF">
        <w:rPr>
          <w:lang w:val="en-US"/>
        </w:rPr>
        <w:t xml:space="preserve"> Third</w:t>
      </w:r>
      <w:r w:rsidR="00E06906">
        <w:rPr>
          <w:lang w:val="en-US"/>
        </w:rPr>
        <w:t xml:space="preserve">, PECs outside of </w:t>
      </w:r>
      <w:r w:rsidR="008368BF">
        <w:rPr>
          <w:lang w:val="en-US"/>
        </w:rPr>
        <w:t xml:space="preserve">Central and Eastern Europe tend </w:t>
      </w:r>
      <w:r w:rsidR="00E06906">
        <w:rPr>
          <w:lang w:val="en-US"/>
        </w:rPr>
        <w:t xml:space="preserve">to agree more frequently on joint programs in later </w:t>
      </w:r>
      <w:r w:rsidR="008368BF">
        <w:rPr>
          <w:lang w:val="en-US"/>
        </w:rPr>
        <w:t xml:space="preserve">observation </w:t>
      </w:r>
      <w:r w:rsidR="00E06906">
        <w:rPr>
          <w:lang w:val="en-US"/>
        </w:rPr>
        <w:t>year</w:t>
      </w:r>
      <w:r w:rsidR="008368BF">
        <w:rPr>
          <w:lang w:val="en-US"/>
        </w:rPr>
        <w:t xml:space="preserve">s, but </w:t>
      </w:r>
      <w:r w:rsidR="00E06906">
        <w:rPr>
          <w:lang w:val="en-US"/>
        </w:rPr>
        <w:t xml:space="preserve">PECs inside </w:t>
      </w:r>
      <w:r w:rsidR="008368BF">
        <w:rPr>
          <w:lang w:val="en-US"/>
        </w:rPr>
        <w:t xml:space="preserve">this region </w:t>
      </w:r>
      <w:r w:rsidR="00E06906">
        <w:rPr>
          <w:lang w:val="en-US"/>
        </w:rPr>
        <w:t>demonstrate the opposite development.</w:t>
      </w:r>
      <w:r w:rsidR="008368BF">
        <w:rPr>
          <w:lang w:val="en-US"/>
        </w:rPr>
        <w:t xml:space="preserve"> Finally, parties in CEE countries almost exclusively form joint lists whereas PECs outside of this region take every possible type at any given time.</w:t>
      </w:r>
    </w:p>
    <w:p w14:paraId="5E222A11" w14:textId="0BE30F82" w:rsidR="00A843CD" w:rsidRDefault="008368BF" w:rsidP="00A3798A">
      <w:pPr>
        <w:spacing w:after="240" w:line="360" w:lineRule="auto"/>
        <w:rPr>
          <w:lang w:val="en-US"/>
        </w:rPr>
      </w:pPr>
      <w:r>
        <w:rPr>
          <w:lang w:val="en-US"/>
        </w:rPr>
        <w:t>This latter pattern hints to the influence of electoral systems</w:t>
      </w:r>
      <w:r w:rsidR="00A843CD">
        <w:rPr>
          <w:lang w:val="en-US"/>
        </w:rPr>
        <w:t xml:space="preserve"> as anticipated by</w:t>
      </w:r>
      <w:r w:rsidR="00D25476">
        <w:rPr>
          <w:lang w:val="en-US"/>
        </w:rPr>
        <w:t xml:space="preserve"> Golder</w:t>
      </w:r>
      <w:r w:rsidR="00A843CD">
        <w:rPr>
          <w:lang w:val="en-US"/>
        </w:rPr>
        <w:t xml:space="preserve"> </w:t>
      </w:r>
      <w:r w:rsidR="00A843CD">
        <w:rPr>
          <w:lang w:val="en-US"/>
        </w:rPr>
        <w:fldChar w:fldCharType="begin"/>
      </w:r>
      <w:r w:rsidR="00504DD7">
        <w:rPr>
          <w:lang w:val="en-US"/>
        </w:rPr>
        <w:instrText xml:space="preserve"> ADDIN ZOTERO_ITEM CSL_CITATION {"citationID":"eNxJDjj3","properties":{"formattedCitation":"(2006, 17)","plainCitation":"(2006, 17)","noteIndex":0},"citationItems":[{"id":10923,"uris":["http://zotero.org/users/229193/items/U3PQHQZZ"],"uri":["http://zotero.org/users/229193/items/U3PQHQZZ"],"itemData":{"id":10923,"type":"book","title":"The Logic of Pre-Electoral Coalition Formation","publisher":"Ohio State University Press","publisher-place":"Columbus","event-place":"Columbus","author":[{"family":"Golder","given":"Sona Nadenichek"}],"issued":{"date-parts":[["2006",1,1]]}},"locator":"17","suppress-author":true}],"schema":"https://github.com/citation-style-language/schema/raw/master/csl-citation.json"} </w:instrText>
      </w:r>
      <w:r w:rsidR="00A843CD">
        <w:rPr>
          <w:lang w:val="en-US"/>
        </w:rPr>
        <w:fldChar w:fldCharType="separate"/>
      </w:r>
      <w:r w:rsidR="00D25476">
        <w:rPr>
          <w:noProof/>
          <w:lang w:val="en-US"/>
        </w:rPr>
        <w:t>(2006, 17)</w:t>
      </w:r>
      <w:r w:rsidR="00A843CD">
        <w:rPr>
          <w:lang w:val="en-US"/>
        </w:rPr>
        <w:fldChar w:fldCharType="end"/>
      </w:r>
      <w:r w:rsidR="002C41D0">
        <w:rPr>
          <w:lang w:val="en-US"/>
        </w:rPr>
        <w:t xml:space="preserve"> and </w:t>
      </w:r>
      <w:proofErr w:type="spellStart"/>
      <w:r w:rsidR="002C41D0">
        <w:rPr>
          <w:lang w:val="en-US"/>
        </w:rPr>
        <w:t>Ibenskas</w:t>
      </w:r>
      <w:proofErr w:type="spellEnd"/>
      <w:r w:rsidR="002C41D0">
        <w:rPr>
          <w:lang w:val="en-US"/>
        </w:rPr>
        <w:t xml:space="preserve"> </w:t>
      </w:r>
      <w:r w:rsidR="002C41D0">
        <w:rPr>
          <w:lang w:val="en-US"/>
        </w:rPr>
        <w:fldChar w:fldCharType="begin"/>
      </w:r>
      <w:r w:rsidR="002C41D0">
        <w:rPr>
          <w:lang w:val="en-US"/>
        </w:rPr>
        <w:instrText xml:space="preserve"> ADDIN ZOTERO_ITEM CSL_CITATION {"citationID":"NuSRMAzJ","properties":{"formattedCitation":"(2015, 747)","plainCitation":"(2015, 747)","noteIndex":0},"citationItems":[{"id":12729,"uris":["http://zotero.org/users/229193/items/RWI64B4E"],"uri":["http://zotero.org/users/229193/items/RWI64B4E"],"itemData":{"id":12729,"type":"article-journal","title":"Understanding Pre-electoral Coalitions in Central and Eastern Europe","container-title":"British Journal of Political Science","page":"743-761","volume":"46","issue":"4","source":"Crossref","DOI":"10.1017/S0007123414000544","ISSN":"0007-1234, 1469-2112","language":"en","author":[{"family":"Ibenskas","given":"Raimondas"}],"issued":{"date-parts":[["2015"]]}},"locator":"747","suppress-author":true}],"schema":"https://github.com/citation-style-language/schema/raw/master/csl-citation.json"} </w:instrText>
      </w:r>
      <w:r w:rsidR="002C41D0">
        <w:rPr>
          <w:lang w:val="en-US"/>
        </w:rPr>
        <w:fldChar w:fldCharType="separate"/>
      </w:r>
      <w:r w:rsidR="002C41D0">
        <w:rPr>
          <w:noProof/>
          <w:lang w:val="en-US"/>
        </w:rPr>
        <w:t>(2015, 747)</w:t>
      </w:r>
      <w:r w:rsidR="002C41D0">
        <w:rPr>
          <w:lang w:val="en-US"/>
        </w:rPr>
        <w:fldChar w:fldCharType="end"/>
      </w:r>
      <w:r>
        <w:rPr>
          <w:lang w:val="en-US"/>
        </w:rPr>
        <w:t>.</w:t>
      </w:r>
      <w:r w:rsidR="002C41D0">
        <w:rPr>
          <w:lang w:val="en-US"/>
        </w:rPr>
        <w:t xml:space="preserve"> Accordingly, p</w:t>
      </w:r>
      <w:r w:rsidR="00540DC1">
        <w:rPr>
          <w:lang w:val="en-US"/>
        </w:rPr>
        <w:t>olitical</w:t>
      </w:r>
      <w:r>
        <w:rPr>
          <w:lang w:val="en-US"/>
        </w:rPr>
        <w:t xml:space="preserve"> parties tailor </w:t>
      </w:r>
      <w:r w:rsidR="002C41D0">
        <w:rPr>
          <w:lang w:val="en-US"/>
        </w:rPr>
        <w:t xml:space="preserve">their </w:t>
      </w:r>
      <w:r>
        <w:rPr>
          <w:lang w:val="en-US"/>
        </w:rPr>
        <w:t>pre-electoral coalition</w:t>
      </w:r>
      <w:r w:rsidR="00D25476">
        <w:rPr>
          <w:lang w:val="en-US"/>
        </w:rPr>
        <w:t>s</w:t>
      </w:r>
      <w:r>
        <w:rPr>
          <w:lang w:val="en-US"/>
        </w:rPr>
        <w:t xml:space="preserve"> to fit their institutional environment.</w:t>
      </w:r>
      <w:r w:rsidR="00A843CD">
        <w:rPr>
          <w:lang w:val="en-US"/>
        </w:rPr>
        <w:t xml:space="preserve"> Our data </w:t>
      </w:r>
      <w:r w:rsidR="00085946">
        <w:rPr>
          <w:lang w:val="en-US"/>
        </w:rPr>
        <w:t xml:space="preserve">allow easy </w:t>
      </w:r>
      <w:r w:rsidR="00A843CD">
        <w:rPr>
          <w:lang w:val="en-US"/>
        </w:rPr>
        <w:t xml:space="preserve">follow up </w:t>
      </w:r>
      <w:r w:rsidR="00085946">
        <w:rPr>
          <w:lang w:val="en-US"/>
        </w:rPr>
        <w:t xml:space="preserve">of </w:t>
      </w:r>
      <w:r w:rsidR="002C41D0">
        <w:rPr>
          <w:lang w:val="en-US"/>
        </w:rPr>
        <w:t xml:space="preserve">this </w:t>
      </w:r>
      <w:r w:rsidR="00A843CD">
        <w:rPr>
          <w:lang w:val="en-US"/>
        </w:rPr>
        <w:t>intuition:</w:t>
      </w:r>
      <w:r>
        <w:rPr>
          <w:lang w:val="en-US"/>
        </w:rPr>
        <w:t xml:space="preserve"> </w:t>
      </w:r>
      <w:r w:rsidR="00A843CD">
        <w:rPr>
          <w:lang w:val="en-US"/>
        </w:rPr>
        <w:fldChar w:fldCharType="begin"/>
      </w:r>
      <w:r w:rsidR="00A843CD">
        <w:rPr>
          <w:lang w:val="en-US"/>
        </w:rPr>
        <w:instrText xml:space="preserve"> REF _Ref15043562 \h </w:instrText>
      </w:r>
      <w:r w:rsidR="00A3798A">
        <w:rPr>
          <w:lang w:val="en-US"/>
        </w:rPr>
        <w:instrText xml:space="preserve"> \* MERGEFORMAT </w:instrText>
      </w:r>
      <w:r w:rsidR="00A843CD">
        <w:rPr>
          <w:lang w:val="en-US"/>
        </w:rPr>
      </w:r>
      <w:r w:rsidR="00A843CD">
        <w:rPr>
          <w:lang w:val="en-US"/>
        </w:rPr>
        <w:fldChar w:fldCharType="separate"/>
      </w:r>
      <w:r w:rsidR="00AB41C9" w:rsidRPr="00930166">
        <w:rPr>
          <w:lang w:val="en-US"/>
        </w:rPr>
        <w:t xml:space="preserve">Table </w:t>
      </w:r>
      <w:r w:rsidR="00AB41C9">
        <w:rPr>
          <w:noProof/>
          <w:lang w:val="en-US"/>
        </w:rPr>
        <w:t>2</w:t>
      </w:r>
      <w:r w:rsidR="00A843CD">
        <w:rPr>
          <w:lang w:val="en-US"/>
        </w:rPr>
        <w:fldChar w:fldCharType="end"/>
      </w:r>
      <w:r w:rsidR="00A843CD">
        <w:rPr>
          <w:lang w:val="en-US"/>
        </w:rPr>
        <w:t xml:space="preserve"> reports the marginal distributions of PEC type, incumbency status, and the existence of a joint program </w:t>
      </w:r>
      <w:r w:rsidR="00085946">
        <w:rPr>
          <w:lang w:val="en-US"/>
        </w:rPr>
        <w:t>together</w:t>
      </w:r>
      <w:r w:rsidR="00A843CD">
        <w:rPr>
          <w:lang w:val="en-US"/>
        </w:rPr>
        <w:t xml:space="preserve"> with elementary information on the electoral system</w:t>
      </w:r>
      <w:r w:rsidR="003D52F7">
        <w:rPr>
          <w:lang w:val="en-US"/>
        </w:rPr>
        <w:t xml:space="preserve">. </w:t>
      </w:r>
      <w:r w:rsidR="002C41D0">
        <w:rPr>
          <w:lang w:val="en-US"/>
        </w:rPr>
        <w:t xml:space="preserve">The </w:t>
      </w:r>
      <w:r w:rsidR="003D52F7">
        <w:rPr>
          <w:lang w:val="en-US"/>
        </w:rPr>
        <w:t>median</w:t>
      </w:r>
      <w:r w:rsidR="002C41D0">
        <w:rPr>
          <w:lang w:val="en-US"/>
        </w:rPr>
        <w:t>s of</w:t>
      </w:r>
      <w:r w:rsidR="00085946">
        <w:rPr>
          <w:lang w:val="en-US"/>
        </w:rPr>
        <w:t xml:space="preserve"> </w:t>
      </w:r>
      <w:r w:rsidR="003D52F7">
        <w:rPr>
          <w:lang w:val="en-US"/>
        </w:rPr>
        <w:t>district magnitude</w:t>
      </w:r>
      <w:r w:rsidR="00085946">
        <w:rPr>
          <w:lang w:val="en-US"/>
        </w:rPr>
        <w:t xml:space="preserve"> (DM)</w:t>
      </w:r>
      <w:r w:rsidR="003D52F7">
        <w:rPr>
          <w:lang w:val="en-US"/>
        </w:rPr>
        <w:t>, disproportionality</w:t>
      </w:r>
      <w:r w:rsidR="00085946">
        <w:rPr>
          <w:lang w:val="en-US"/>
        </w:rPr>
        <w:t xml:space="preserve"> (</w:t>
      </w:r>
      <w:proofErr w:type="spellStart"/>
      <w:r w:rsidR="00085946">
        <w:rPr>
          <w:lang w:val="en-US"/>
        </w:rPr>
        <w:t>Disprop</w:t>
      </w:r>
      <w:proofErr w:type="spellEnd"/>
      <w:r w:rsidR="00085946">
        <w:rPr>
          <w:lang w:val="en-US"/>
        </w:rPr>
        <w:t>.)</w:t>
      </w:r>
      <w:r w:rsidR="003D52F7">
        <w:rPr>
          <w:lang w:val="en-US"/>
        </w:rPr>
        <w:t xml:space="preserve">, </w:t>
      </w:r>
      <w:r w:rsidR="00085946">
        <w:rPr>
          <w:lang w:val="en-US"/>
        </w:rPr>
        <w:t xml:space="preserve">and </w:t>
      </w:r>
      <w:r w:rsidR="003D52F7">
        <w:rPr>
          <w:lang w:val="en-US"/>
        </w:rPr>
        <w:t xml:space="preserve">effective number of electoral parties </w:t>
      </w:r>
      <w:r w:rsidR="00085946">
        <w:rPr>
          <w:lang w:val="en-US"/>
        </w:rPr>
        <w:t xml:space="preserve">(Parties) are reported </w:t>
      </w:r>
      <w:r w:rsidR="003D52F7">
        <w:rPr>
          <w:lang w:val="en-US"/>
        </w:rPr>
        <w:t xml:space="preserve">for each variant of pre-electoral coalition. </w:t>
      </w:r>
      <w:r w:rsidR="00085946">
        <w:rPr>
          <w:lang w:val="en-US"/>
        </w:rPr>
        <w:t xml:space="preserve">As implied by the table, highly proportional electoral systems </w:t>
      </w:r>
      <w:r w:rsidR="00540DC1">
        <w:rPr>
          <w:lang w:val="en-US"/>
        </w:rPr>
        <w:t xml:space="preserve">give </w:t>
      </w:r>
      <w:r w:rsidR="00085946">
        <w:rPr>
          <w:lang w:val="en-US"/>
        </w:rPr>
        <w:t xml:space="preserve">political parties </w:t>
      </w:r>
      <w:r w:rsidR="00540DC1">
        <w:rPr>
          <w:lang w:val="en-US"/>
        </w:rPr>
        <w:t>little</w:t>
      </w:r>
      <w:r w:rsidR="00085946">
        <w:rPr>
          <w:lang w:val="en-US"/>
        </w:rPr>
        <w:t xml:space="preserve"> incentive to increase their coordination efforts beyond public announcements. As the proportionality</w:t>
      </w:r>
      <w:r w:rsidR="00540DC1">
        <w:rPr>
          <w:lang w:val="en-US"/>
        </w:rPr>
        <w:t xml:space="preserve"> of the electoral system </w:t>
      </w:r>
      <w:r w:rsidR="00085946">
        <w:rPr>
          <w:lang w:val="en-US"/>
        </w:rPr>
        <w:t>decreases</w:t>
      </w:r>
      <w:r w:rsidR="00540DC1">
        <w:rPr>
          <w:lang w:val="en-US"/>
        </w:rPr>
        <w:t>, however,</w:t>
      </w:r>
      <w:r w:rsidR="00085946">
        <w:rPr>
          <w:lang w:val="en-US"/>
        </w:rPr>
        <w:t xml:space="preserve"> PECs take the form of either joint lists and dual-ballot instructions or </w:t>
      </w:r>
      <w:r w:rsidR="00540DC1">
        <w:rPr>
          <w:lang w:val="en-US"/>
        </w:rPr>
        <w:t xml:space="preserve">nomination agreements and vote transfer instructions. Interestingly though, </w:t>
      </w:r>
      <w:r w:rsidR="00540DC1">
        <w:rPr>
          <w:lang w:val="en-US"/>
        </w:rPr>
        <w:lastRenderedPageBreak/>
        <w:t>the more political aspects to electoral coordination within pre-electoral coalitions, incumbents and PECs with joint programs, do note visibly respond to the electoral system</w:t>
      </w:r>
      <w:r w:rsidR="00CF695B">
        <w:rPr>
          <w:lang w:val="en-US"/>
        </w:rPr>
        <w:t>. The medians of district magnitude, disproportionality, and of the effective number of electoral parties is roughly identical across all groups, begging the question of what explains those coordination forms.</w:t>
      </w:r>
    </w:p>
    <w:p w14:paraId="62B24953" w14:textId="4DBE599A" w:rsidR="00A3798A" w:rsidRDefault="00A3798A" w:rsidP="00A3798A">
      <w:pPr>
        <w:spacing w:after="240" w:line="360" w:lineRule="auto"/>
        <w:jc w:val="center"/>
        <w:rPr>
          <w:lang w:val="en-US"/>
        </w:rPr>
      </w:pPr>
      <w:r>
        <w:rPr>
          <w:lang w:val="en-US"/>
        </w:rPr>
        <w:t xml:space="preserve">-- </w:t>
      </w:r>
      <w:r>
        <w:rPr>
          <w:lang w:val="en-US"/>
        </w:rPr>
        <w:fldChar w:fldCharType="begin"/>
      </w:r>
      <w:r>
        <w:rPr>
          <w:lang w:val="en-US"/>
        </w:rPr>
        <w:instrText xml:space="preserve"> REF _Ref15043562 \h </w:instrText>
      </w:r>
      <w:r>
        <w:rPr>
          <w:lang w:val="en-US"/>
        </w:rPr>
      </w:r>
      <w:r>
        <w:rPr>
          <w:lang w:val="en-US"/>
        </w:rPr>
        <w:fldChar w:fldCharType="separate"/>
      </w:r>
      <w:r w:rsidR="00AB41C9" w:rsidRPr="00930166">
        <w:rPr>
          <w:lang w:val="en-US"/>
        </w:rPr>
        <w:t xml:space="preserve">Table </w:t>
      </w:r>
      <w:r w:rsidR="00AB41C9">
        <w:rPr>
          <w:noProof/>
          <w:lang w:val="en-US"/>
        </w:rPr>
        <w:t>2</w:t>
      </w:r>
      <w:r>
        <w:rPr>
          <w:lang w:val="en-US"/>
        </w:rPr>
        <w:fldChar w:fldCharType="end"/>
      </w:r>
      <w:r>
        <w:rPr>
          <w:lang w:val="en-US"/>
        </w:rPr>
        <w:t xml:space="preserve"> about here --</w:t>
      </w:r>
    </w:p>
    <w:p w14:paraId="03F222C0" w14:textId="30722658" w:rsidR="008D0BA3" w:rsidRDefault="008D0BA3" w:rsidP="008D0BA3">
      <w:pPr>
        <w:pStyle w:val="Heading1"/>
        <w:rPr>
          <w:lang w:val="en-US"/>
        </w:rPr>
      </w:pPr>
      <w:r>
        <w:rPr>
          <w:lang w:val="en-US"/>
        </w:rPr>
        <w:t>Conclusion and implications</w:t>
      </w:r>
    </w:p>
    <w:p w14:paraId="2D07B618" w14:textId="0867A383" w:rsidR="008C6494" w:rsidRDefault="008C6494" w:rsidP="000265D9">
      <w:pPr>
        <w:spacing w:line="480" w:lineRule="auto"/>
        <w:rPr>
          <w:lang w:val="en-US"/>
        </w:rPr>
      </w:pPr>
    </w:p>
    <w:p w14:paraId="458EC4FB" w14:textId="77777777" w:rsidR="00930166" w:rsidRDefault="00930166">
      <w:pPr>
        <w:rPr>
          <w:lang w:val="en-US"/>
        </w:rPr>
        <w:sectPr w:rsidR="00930166" w:rsidSect="00930166">
          <w:pgSz w:w="11900" w:h="16840"/>
          <w:pgMar w:top="1417" w:right="1417" w:bottom="1134" w:left="1417" w:header="708" w:footer="708" w:gutter="0"/>
          <w:cols w:space="708"/>
          <w:docGrid w:linePitch="360"/>
        </w:sectPr>
      </w:pPr>
    </w:p>
    <w:p w14:paraId="71DC3291" w14:textId="77777777" w:rsidR="00930166" w:rsidRDefault="00930166">
      <w:pPr>
        <w:rPr>
          <w:lang w:val="en-US"/>
        </w:rPr>
      </w:pPr>
    </w:p>
    <w:p w14:paraId="0EF33432" w14:textId="4501D770" w:rsidR="008C6494" w:rsidRPr="008C6494" w:rsidRDefault="008C6494" w:rsidP="008C6494">
      <w:pPr>
        <w:pStyle w:val="Caption"/>
        <w:keepNext/>
        <w:rPr>
          <w:lang w:val="en-US"/>
        </w:rPr>
      </w:pPr>
      <w:bookmarkStart w:id="2" w:name="_Ref14691014"/>
      <w:r w:rsidRPr="008C6494">
        <w:rPr>
          <w:lang w:val="en-US"/>
        </w:rPr>
        <w:t xml:space="preserve">Table </w:t>
      </w:r>
      <w:r>
        <w:fldChar w:fldCharType="begin"/>
      </w:r>
      <w:r w:rsidRPr="008C6494">
        <w:rPr>
          <w:lang w:val="en-US"/>
        </w:rPr>
        <w:instrText xml:space="preserve"> SEQ Table \* ARABIC </w:instrText>
      </w:r>
      <w:r>
        <w:fldChar w:fldCharType="separate"/>
      </w:r>
      <w:r w:rsidR="00AB41C9">
        <w:rPr>
          <w:noProof/>
          <w:lang w:val="en-US"/>
        </w:rPr>
        <w:t>1</w:t>
      </w:r>
      <w:r>
        <w:fldChar w:fldCharType="end"/>
      </w:r>
      <w:bookmarkEnd w:id="2"/>
      <w:r w:rsidR="00D43AA7" w:rsidRPr="0059438B">
        <w:rPr>
          <w:lang w:val="en-US"/>
        </w:rPr>
        <w:t>:</w:t>
      </w:r>
      <w:r w:rsidRPr="008C6494">
        <w:rPr>
          <w:lang w:val="en-US"/>
        </w:rPr>
        <w:t xml:space="preserve"> Descriptive data about pre-electoral coalitions (PECs) by country</w:t>
      </w:r>
    </w:p>
    <w:tbl>
      <w:tblPr>
        <w:tblW w:w="0" w:type="auto"/>
        <w:tblLayout w:type="fixed"/>
        <w:tblLook w:val="04A0" w:firstRow="1" w:lastRow="0" w:firstColumn="1" w:lastColumn="0" w:noHBand="0" w:noVBand="1"/>
      </w:tblPr>
      <w:tblGrid>
        <w:gridCol w:w="1532"/>
        <w:gridCol w:w="736"/>
        <w:gridCol w:w="709"/>
        <w:gridCol w:w="1134"/>
        <w:gridCol w:w="851"/>
        <w:gridCol w:w="1984"/>
        <w:gridCol w:w="1843"/>
        <w:gridCol w:w="1701"/>
        <w:gridCol w:w="1801"/>
        <w:gridCol w:w="1605"/>
        <w:gridCol w:w="44"/>
      </w:tblGrid>
      <w:tr w:rsidR="00E44119" w:rsidRPr="00555058" w14:paraId="4BB3E9D6" w14:textId="77777777" w:rsidTr="001D64DC">
        <w:trPr>
          <w:trHeight w:val="320"/>
          <w:tblHeader/>
        </w:trPr>
        <w:tc>
          <w:tcPr>
            <w:tcW w:w="1532" w:type="dxa"/>
            <w:tcBorders>
              <w:top w:val="single" w:sz="8" w:space="0" w:color="auto"/>
              <w:left w:val="nil"/>
              <w:bottom w:val="single" w:sz="4" w:space="0" w:color="auto"/>
              <w:right w:val="nil"/>
            </w:tcBorders>
            <w:shd w:val="clear" w:color="auto" w:fill="auto"/>
            <w:noWrap/>
            <w:vAlign w:val="center"/>
            <w:hideMark/>
          </w:tcPr>
          <w:p w14:paraId="369A721C" w14:textId="77777777" w:rsidR="00E44119" w:rsidRPr="00555058" w:rsidRDefault="00E44119" w:rsidP="00E44119">
            <w:pPr>
              <w:rPr>
                <w:sz w:val="20"/>
                <w:szCs w:val="20"/>
                <w:lang w:eastAsia="en-GB"/>
              </w:rPr>
            </w:pPr>
            <w:r w:rsidRPr="00555058">
              <w:rPr>
                <w:sz w:val="20"/>
                <w:szCs w:val="20"/>
                <w:lang w:eastAsia="en-GB"/>
              </w:rPr>
              <w:t>Country</w:t>
            </w:r>
          </w:p>
        </w:tc>
        <w:tc>
          <w:tcPr>
            <w:tcW w:w="736" w:type="dxa"/>
            <w:tcBorders>
              <w:top w:val="single" w:sz="8" w:space="0" w:color="auto"/>
              <w:left w:val="nil"/>
              <w:bottom w:val="single" w:sz="4" w:space="0" w:color="auto"/>
              <w:right w:val="nil"/>
            </w:tcBorders>
            <w:shd w:val="clear" w:color="auto" w:fill="auto"/>
            <w:noWrap/>
            <w:vAlign w:val="center"/>
            <w:hideMark/>
          </w:tcPr>
          <w:p w14:paraId="5E18745C" w14:textId="19D1A643" w:rsidR="00E44119" w:rsidRPr="00555058" w:rsidRDefault="00E44119" w:rsidP="00E44119">
            <w:pPr>
              <w:jc w:val="center"/>
              <w:rPr>
                <w:sz w:val="20"/>
                <w:szCs w:val="20"/>
                <w:lang w:eastAsia="en-GB"/>
              </w:rPr>
            </w:pPr>
            <w:r w:rsidRPr="00555058">
              <w:rPr>
                <w:sz w:val="20"/>
                <w:szCs w:val="20"/>
                <w:lang w:eastAsia="en-GB"/>
              </w:rPr>
              <w:t>First</w:t>
            </w:r>
          </w:p>
        </w:tc>
        <w:tc>
          <w:tcPr>
            <w:tcW w:w="709" w:type="dxa"/>
            <w:tcBorders>
              <w:top w:val="single" w:sz="8" w:space="0" w:color="auto"/>
              <w:left w:val="nil"/>
              <w:bottom w:val="single" w:sz="4" w:space="0" w:color="auto"/>
              <w:right w:val="nil"/>
            </w:tcBorders>
            <w:shd w:val="clear" w:color="auto" w:fill="auto"/>
            <w:noWrap/>
            <w:vAlign w:val="center"/>
            <w:hideMark/>
          </w:tcPr>
          <w:p w14:paraId="6B34E59B" w14:textId="3AA31738" w:rsidR="00E44119" w:rsidRPr="00555058" w:rsidRDefault="00E44119" w:rsidP="00E44119">
            <w:pPr>
              <w:jc w:val="center"/>
              <w:rPr>
                <w:sz w:val="20"/>
                <w:szCs w:val="20"/>
                <w:lang w:eastAsia="en-GB"/>
              </w:rPr>
            </w:pPr>
            <w:r w:rsidRPr="00555058">
              <w:rPr>
                <w:sz w:val="20"/>
                <w:szCs w:val="20"/>
                <w:lang w:eastAsia="en-GB"/>
              </w:rPr>
              <w:t>Last</w:t>
            </w:r>
          </w:p>
        </w:tc>
        <w:tc>
          <w:tcPr>
            <w:tcW w:w="1134" w:type="dxa"/>
            <w:tcBorders>
              <w:top w:val="single" w:sz="8" w:space="0" w:color="auto"/>
              <w:left w:val="nil"/>
              <w:bottom w:val="single" w:sz="4" w:space="0" w:color="auto"/>
              <w:right w:val="nil"/>
            </w:tcBorders>
            <w:shd w:val="clear" w:color="auto" w:fill="auto"/>
            <w:noWrap/>
            <w:vAlign w:val="center"/>
            <w:hideMark/>
          </w:tcPr>
          <w:p w14:paraId="675952A2" w14:textId="77777777" w:rsidR="00E44119" w:rsidRPr="00555058" w:rsidRDefault="00E44119" w:rsidP="00E44119">
            <w:pPr>
              <w:jc w:val="center"/>
              <w:rPr>
                <w:sz w:val="20"/>
                <w:szCs w:val="20"/>
                <w:lang w:eastAsia="en-GB"/>
              </w:rPr>
            </w:pPr>
            <w:r w:rsidRPr="00555058">
              <w:rPr>
                <w:sz w:val="20"/>
                <w:szCs w:val="20"/>
                <w:lang w:eastAsia="en-GB"/>
              </w:rPr>
              <w:t xml:space="preserve"># </w:t>
            </w:r>
            <w:proofErr w:type="spellStart"/>
            <w:r w:rsidRPr="00555058">
              <w:rPr>
                <w:sz w:val="20"/>
                <w:szCs w:val="20"/>
                <w:lang w:eastAsia="en-GB"/>
              </w:rPr>
              <w:t>Elections</w:t>
            </w:r>
            <w:proofErr w:type="spellEnd"/>
          </w:p>
        </w:tc>
        <w:tc>
          <w:tcPr>
            <w:tcW w:w="851" w:type="dxa"/>
            <w:tcBorders>
              <w:top w:val="single" w:sz="8" w:space="0" w:color="auto"/>
              <w:left w:val="nil"/>
              <w:bottom w:val="single" w:sz="4" w:space="0" w:color="auto"/>
              <w:right w:val="nil"/>
            </w:tcBorders>
            <w:shd w:val="clear" w:color="auto" w:fill="auto"/>
            <w:noWrap/>
            <w:vAlign w:val="center"/>
            <w:hideMark/>
          </w:tcPr>
          <w:p w14:paraId="68C3FD45" w14:textId="77777777" w:rsidR="00E44119" w:rsidRPr="00555058" w:rsidRDefault="00E44119" w:rsidP="00E44119">
            <w:pPr>
              <w:jc w:val="center"/>
              <w:rPr>
                <w:sz w:val="20"/>
                <w:szCs w:val="20"/>
                <w:lang w:eastAsia="en-GB"/>
              </w:rPr>
            </w:pPr>
            <w:r w:rsidRPr="00555058">
              <w:rPr>
                <w:sz w:val="20"/>
                <w:szCs w:val="20"/>
                <w:lang w:eastAsia="en-GB"/>
              </w:rPr>
              <w:t># PECs</w:t>
            </w:r>
          </w:p>
        </w:tc>
        <w:tc>
          <w:tcPr>
            <w:tcW w:w="1984" w:type="dxa"/>
            <w:tcBorders>
              <w:top w:val="single" w:sz="8" w:space="0" w:color="auto"/>
              <w:left w:val="nil"/>
              <w:bottom w:val="single" w:sz="4" w:space="0" w:color="auto"/>
              <w:right w:val="nil"/>
            </w:tcBorders>
            <w:shd w:val="clear" w:color="auto" w:fill="auto"/>
            <w:noWrap/>
            <w:vAlign w:val="center"/>
            <w:hideMark/>
          </w:tcPr>
          <w:p w14:paraId="41D839E6" w14:textId="77777777" w:rsidR="00E44119" w:rsidRPr="00555058" w:rsidRDefault="00E44119" w:rsidP="00E44119">
            <w:pPr>
              <w:jc w:val="center"/>
              <w:rPr>
                <w:sz w:val="20"/>
                <w:szCs w:val="20"/>
                <w:lang w:val="en-US" w:eastAsia="en-GB"/>
              </w:rPr>
            </w:pPr>
            <w:r w:rsidRPr="00555058">
              <w:rPr>
                <w:sz w:val="20"/>
                <w:szCs w:val="20"/>
                <w:lang w:val="en-US" w:eastAsia="en-GB"/>
              </w:rPr>
              <w:t>% Elections w/</w:t>
            </w:r>
            <w:proofErr w:type="spellStart"/>
            <w:r w:rsidRPr="00555058">
              <w:rPr>
                <w:sz w:val="20"/>
                <w:szCs w:val="20"/>
                <w:lang w:val="en-US" w:eastAsia="en-GB"/>
              </w:rPr>
              <w:t>i</w:t>
            </w:r>
            <w:proofErr w:type="spellEnd"/>
            <w:r w:rsidRPr="00555058">
              <w:rPr>
                <w:sz w:val="20"/>
                <w:szCs w:val="20"/>
                <w:lang w:val="en-US" w:eastAsia="en-GB"/>
              </w:rPr>
              <w:t xml:space="preserve"> PECs</w:t>
            </w:r>
          </w:p>
        </w:tc>
        <w:tc>
          <w:tcPr>
            <w:tcW w:w="1843" w:type="dxa"/>
            <w:tcBorders>
              <w:top w:val="single" w:sz="8" w:space="0" w:color="auto"/>
              <w:left w:val="nil"/>
              <w:bottom w:val="single" w:sz="4" w:space="0" w:color="auto"/>
              <w:right w:val="nil"/>
            </w:tcBorders>
            <w:shd w:val="clear" w:color="auto" w:fill="auto"/>
            <w:noWrap/>
            <w:vAlign w:val="center"/>
            <w:hideMark/>
          </w:tcPr>
          <w:p w14:paraId="1F3213BC" w14:textId="40901BD6" w:rsidR="00E44119" w:rsidRPr="00555058" w:rsidRDefault="00E44119" w:rsidP="00E44119">
            <w:pPr>
              <w:jc w:val="center"/>
              <w:rPr>
                <w:sz w:val="20"/>
                <w:szCs w:val="20"/>
                <w:lang w:val="en-US" w:eastAsia="en-GB"/>
              </w:rPr>
            </w:pPr>
            <w:r w:rsidRPr="00555058">
              <w:rPr>
                <w:sz w:val="20"/>
                <w:szCs w:val="20"/>
                <w:lang w:val="en-US" w:eastAsia="en-GB"/>
              </w:rPr>
              <w:t>PEC</w:t>
            </w:r>
            <w:r>
              <w:rPr>
                <w:sz w:val="20"/>
                <w:szCs w:val="20"/>
                <w:lang w:val="en-US" w:eastAsia="en-GB"/>
              </w:rPr>
              <w:t xml:space="preserve"> </w:t>
            </w:r>
            <w:proofErr w:type="spellStart"/>
            <w:r>
              <w:rPr>
                <w:sz w:val="20"/>
                <w:szCs w:val="20"/>
                <w:lang w:val="en-US" w:eastAsia="en-GB"/>
              </w:rPr>
              <w:t>a</w:t>
            </w:r>
            <w:r w:rsidRPr="00555058">
              <w:rPr>
                <w:sz w:val="20"/>
                <w:szCs w:val="20"/>
                <w:lang w:val="en-US" w:eastAsia="en-GB"/>
              </w:rPr>
              <w:t>ve.</w:t>
            </w:r>
            <w:proofErr w:type="spellEnd"/>
            <w:r w:rsidRPr="00555058">
              <w:rPr>
                <w:sz w:val="20"/>
                <w:szCs w:val="20"/>
                <w:lang w:val="en-US" w:eastAsia="en-GB"/>
              </w:rPr>
              <w:t xml:space="preserve"> </w:t>
            </w:r>
            <w:r w:rsidR="00967926">
              <w:rPr>
                <w:sz w:val="20"/>
                <w:szCs w:val="20"/>
                <w:lang w:val="en-US" w:eastAsia="en-GB"/>
              </w:rPr>
              <w:t>vote share</w:t>
            </w:r>
          </w:p>
        </w:tc>
        <w:tc>
          <w:tcPr>
            <w:tcW w:w="1701" w:type="dxa"/>
            <w:tcBorders>
              <w:top w:val="single" w:sz="8" w:space="0" w:color="auto"/>
              <w:left w:val="nil"/>
              <w:bottom w:val="single" w:sz="4" w:space="0" w:color="auto"/>
              <w:right w:val="nil"/>
            </w:tcBorders>
            <w:vAlign w:val="center"/>
          </w:tcPr>
          <w:p w14:paraId="564C221E" w14:textId="2604AD55" w:rsidR="00E44119" w:rsidRPr="00555058" w:rsidRDefault="00E44119" w:rsidP="00E44119">
            <w:pPr>
              <w:jc w:val="center"/>
              <w:rPr>
                <w:sz w:val="20"/>
                <w:szCs w:val="20"/>
                <w:lang w:eastAsia="en-GB"/>
              </w:rPr>
            </w:pPr>
            <w:r w:rsidRPr="00555058">
              <w:rPr>
                <w:sz w:val="20"/>
                <w:szCs w:val="20"/>
                <w:lang w:eastAsia="en-GB"/>
              </w:rPr>
              <w:t>Modal</w:t>
            </w:r>
            <w:r>
              <w:rPr>
                <w:sz w:val="20"/>
                <w:szCs w:val="20"/>
                <w:lang w:eastAsia="en-GB"/>
              </w:rPr>
              <w:t xml:space="preserve"> </w:t>
            </w:r>
            <w:r w:rsidRPr="00555058">
              <w:rPr>
                <w:sz w:val="20"/>
                <w:szCs w:val="20"/>
                <w:lang w:eastAsia="en-GB"/>
              </w:rPr>
              <w:t xml:space="preserve">PEC </w:t>
            </w:r>
            <w:proofErr w:type="spellStart"/>
            <w:r w:rsidRPr="00555058">
              <w:rPr>
                <w:sz w:val="20"/>
                <w:szCs w:val="20"/>
                <w:lang w:eastAsia="en-GB"/>
              </w:rPr>
              <w:t>type</w:t>
            </w:r>
            <w:r w:rsidR="001D64DC" w:rsidRPr="001D64DC">
              <w:rPr>
                <w:sz w:val="20"/>
                <w:szCs w:val="20"/>
                <w:vertAlign w:val="superscript"/>
                <w:lang w:eastAsia="en-GB"/>
              </w:rPr>
              <w:t>b</w:t>
            </w:r>
            <w:proofErr w:type="spellEnd"/>
          </w:p>
        </w:tc>
        <w:tc>
          <w:tcPr>
            <w:tcW w:w="1801" w:type="dxa"/>
            <w:tcBorders>
              <w:top w:val="single" w:sz="8" w:space="0" w:color="auto"/>
              <w:left w:val="nil"/>
              <w:bottom w:val="single" w:sz="4" w:space="0" w:color="auto"/>
              <w:right w:val="nil"/>
            </w:tcBorders>
            <w:shd w:val="clear" w:color="auto" w:fill="auto"/>
            <w:noWrap/>
            <w:vAlign w:val="center"/>
            <w:hideMark/>
          </w:tcPr>
          <w:p w14:paraId="5F2BCB57" w14:textId="4A330643" w:rsidR="00E44119" w:rsidRPr="00555058" w:rsidRDefault="00E44119" w:rsidP="00E44119">
            <w:pPr>
              <w:jc w:val="center"/>
              <w:rPr>
                <w:sz w:val="20"/>
                <w:szCs w:val="20"/>
                <w:lang w:eastAsia="en-GB"/>
              </w:rPr>
            </w:pPr>
            <w:r w:rsidRPr="00555058">
              <w:rPr>
                <w:sz w:val="20"/>
                <w:szCs w:val="20"/>
                <w:lang w:eastAsia="en-GB"/>
              </w:rPr>
              <w:t xml:space="preserve"># </w:t>
            </w:r>
            <w:proofErr w:type="spellStart"/>
            <w:r w:rsidRPr="00555058">
              <w:rPr>
                <w:sz w:val="20"/>
                <w:szCs w:val="20"/>
                <w:lang w:eastAsia="en-GB"/>
              </w:rPr>
              <w:t>Incumbent</w:t>
            </w:r>
            <w:proofErr w:type="spellEnd"/>
            <w:r w:rsidRPr="00555058">
              <w:rPr>
                <w:sz w:val="20"/>
                <w:szCs w:val="20"/>
                <w:lang w:eastAsia="en-GB"/>
              </w:rPr>
              <w:t xml:space="preserve"> PECs</w:t>
            </w:r>
          </w:p>
        </w:tc>
        <w:tc>
          <w:tcPr>
            <w:tcW w:w="1649" w:type="dxa"/>
            <w:gridSpan w:val="2"/>
            <w:tcBorders>
              <w:top w:val="single" w:sz="8" w:space="0" w:color="auto"/>
              <w:left w:val="nil"/>
              <w:bottom w:val="single" w:sz="4" w:space="0" w:color="auto"/>
              <w:right w:val="nil"/>
            </w:tcBorders>
            <w:shd w:val="clear" w:color="auto" w:fill="auto"/>
            <w:noWrap/>
            <w:vAlign w:val="center"/>
            <w:hideMark/>
          </w:tcPr>
          <w:p w14:paraId="537507AA" w14:textId="77777777" w:rsidR="00E44119" w:rsidRPr="00555058" w:rsidRDefault="00E44119" w:rsidP="00E44119">
            <w:pPr>
              <w:jc w:val="center"/>
              <w:rPr>
                <w:sz w:val="20"/>
                <w:szCs w:val="20"/>
                <w:lang w:eastAsia="en-GB"/>
              </w:rPr>
            </w:pPr>
            <w:r w:rsidRPr="00555058">
              <w:rPr>
                <w:sz w:val="20"/>
                <w:szCs w:val="20"/>
                <w:lang w:eastAsia="en-GB"/>
              </w:rPr>
              <w:t xml:space="preserve"># Joint </w:t>
            </w:r>
            <w:proofErr w:type="spellStart"/>
            <w:r w:rsidRPr="00555058">
              <w:rPr>
                <w:sz w:val="20"/>
                <w:szCs w:val="20"/>
                <w:lang w:eastAsia="en-GB"/>
              </w:rPr>
              <w:t>programs</w:t>
            </w:r>
            <w:proofErr w:type="spellEnd"/>
          </w:p>
        </w:tc>
      </w:tr>
      <w:tr w:rsidR="00E44119" w:rsidRPr="00555058" w14:paraId="324AF00E" w14:textId="77777777" w:rsidTr="001D64DC">
        <w:trPr>
          <w:trHeight w:val="320"/>
        </w:trPr>
        <w:tc>
          <w:tcPr>
            <w:tcW w:w="1532" w:type="dxa"/>
            <w:tcBorders>
              <w:top w:val="single" w:sz="4" w:space="0" w:color="auto"/>
              <w:left w:val="nil"/>
              <w:bottom w:val="nil"/>
              <w:right w:val="nil"/>
            </w:tcBorders>
            <w:shd w:val="clear" w:color="auto" w:fill="auto"/>
            <w:noWrap/>
            <w:vAlign w:val="center"/>
            <w:hideMark/>
          </w:tcPr>
          <w:p w14:paraId="501E91DB" w14:textId="77777777" w:rsidR="00E44119" w:rsidRPr="00555058" w:rsidRDefault="00E44119" w:rsidP="00E44119">
            <w:pPr>
              <w:rPr>
                <w:sz w:val="20"/>
                <w:szCs w:val="20"/>
                <w:lang w:eastAsia="en-GB"/>
              </w:rPr>
            </w:pPr>
            <w:proofErr w:type="spellStart"/>
            <w:r w:rsidRPr="00555058">
              <w:rPr>
                <w:sz w:val="20"/>
                <w:szCs w:val="20"/>
                <w:lang w:eastAsia="en-GB"/>
              </w:rPr>
              <w:t>Australia</w:t>
            </w:r>
            <w:proofErr w:type="spellEnd"/>
          </w:p>
        </w:tc>
        <w:tc>
          <w:tcPr>
            <w:tcW w:w="736" w:type="dxa"/>
            <w:tcBorders>
              <w:top w:val="single" w:sz="4" w:space="0" w:color="auto"/>
              <w:left w:val="nil"/>
              <w:bottom w:val="nil"/>
              <w:right w:val="nil"/>
            </w:tcBorders>
            <w:shd w:val="clear" w:color="auto" w:fill="auto"/>
            <w:noWrap/>
            <w:vAlign w:val="center"/>
            <w:hideMark/>
          </w:tcPr>
          <w:p w14:paraId="3FCE539A" w14:textId="77777777" w:rsidR="00E44119" w:rsidRPr="00555058" w:rsidRDefault="00E44119" w:rsidP="00E44119">
            <w:pPr>
              <w:jc w:val="center"/>
              <w:rPr>
                <w:sz w:val="20"/>
                <w:szCs w:val="20"/>
                <w:lang w:eastAsia="en-GB"/>
              </w:rPr>
            </w:pPr>
            <w:r w:rsidRPr="00555058">
              <w:rPr>
                <w:sz w:val="20"/>
                <w:szCs w:val="20"/>
                <w:lang w:eastAsia="en-GB"/>
              </w:rPr>
              <w:t>1946</w:t>
            </w:r>
          </w:p>
        </w:tc>
        <w:tc>
          <w:tcPr>
            <w:tcW w:w="709" w:type="dxa"/>
            <w:tcBorders>
              <w:top w:val="single" w:sz="4" w:space="0" w:color="auto"/>
              <w:left w:val="nil"/>
              <w:bottom w:val="nil"/>
              <w:right w:val="nil"/>
            </w:tcBorders>
            <w:shd w:val="clear" w:color="auto" w:fill="auto"/>
            <w:noWrap/>
            <w:vAlign w:val="center"/>
            <w:hideMark/>
          </w:tcPr>
          <w:p w14:paraId="696A1B00" w14:textId="77777777" w:rsidR="00E44119" w:rsidRPr="00555058" w:rsidRDefault="00E44119" w:rsidP="00E44119">
            <w:pPr>
              <w:jc w:val="center"/>
              <w:rPr>
                <w:sz w:val="20"/>
                <w:szCs w:val="20"/>
                <w:lang w:eastAsia="en-GB"/>
              </w:rPr>
            </w:pPr>
            <w:r w:rsidRPr="00555058">
              <w:rPr>
                <w:sz w:val="20"/>
                <w:szCs w:val="20"/>
                <w:lang w:eastAsia="en-GB"/>
              </w:rPr>
              <w:t>2013</w:t>
            </w:r>
          </w:p>
        </w:tc>
        <w:tc>
          <w:tcPr>
            <w:tcW w:w="1134" w:type="dxa"/>
            <w:tcBorders>
              <w:top w:val="single" w:sz="4" w:space="0" w:color="auto"/>
              <w:left w:val="nil"/>
              <w:bottom w:val="nil"/>
              <w:right w:val="nil"/>
            </w:tcBorders>
            <w:shd w:val="clear" w:color="auto" w:fill="auto"/>
            <w:noWrap/>
            <w:vAlign w:val="center"/>
            <w:hideMark/>
          </w:tcPr>
          <w:p w14:paraId="269AC9F6" w14:textId="77777777" w:rsidR="00E44119" w:rsidRPr="00555058" w:rsidRDefault="00E44119" w:rsidP="00E44119">
            <w:pPr>
              <w:jc w:val="center"/>
              <w:rPr>
                <w:sz w:val="20"/>
                <w:szCs w:val="20"/>
                <w:lang w:eastAsia="en-GB"/>
              </w:rPr>
            </w:pPr>
            <w:r w:rsidRPr="00555058">
              <w:rPr>
                <w:sz w:val="20"/>
                <w:szCs w:val="20"/>
                <w:lang w:eastAsia="en-GB"/>
              </w:rPr>
              <w:t>27</w:t>
            </w:r>
          </w:p>
        </w:tc>
        <w:tc>
          <w:tcPr>
            <w:tcW w:w="851" w:type="dxa"/>
            <w:tcBorders>
              <w:top w:val="single" w:sz="4" w:space="0" w:color="auto"/>
              <w:left w:val="nil"/>
              <w:bottom w:val="nil"/>
              <w:right w:val="nil"/>
            </w:tcBorders>
            <w:shd w:val="clear" w:color="auto" w:fill="auto"/>
            <w:noWrap/>
            <w:vAlign w:val="center"/>
            <w:hideMark/>
          </w:tcPr>
          <w:p w14:paraId="1B42989E" w14:textId="77777777" w:rsidR="00E44119" w:rsidRPr="00555058" w:rsidRDefault="00E44119" w:rsidP="00E44119">
            <w:pPr>
              <w:jc w:val="center"/>
              <w:rPr>
                <w:sz w:val="20"/>
                <w:szCs w:val="20"/>
                <w:lang w:eastAsia="en-GB"/>
              </w:rPr>
            </w:pPr>
            <w:r w:rsidRPr="00555058">
              <w:rPr>
                <w:sz w:val="20"/>
                <w:szCs w:val="20"/>
                <w:lang w:eastAsia="en-GB"/>
              </w:rPr>
              <w:t>49</w:t>
            </w:r>
          </w:p>
        </w:tc>
        <w:tc>
          <w:tcPr>
            <w:tcW w:w="1984" w:type="dxa"/>
            <w:tcBorders>
              <w:top w:val="single" w:sz="4" w:space="0" w:color="auto"/>
              <w:left w:val="nil"/>
              <w:bottom w:val="nil"/>
              <w:right w:val="nil"/>
            </w:tcBorders>
            <w:shd w:val="clear" w:color="auto" w:fill="auto"/>
            <w:noWrap/>
            <w:vAlign w:val="center"/>
            <w:hideMark/>
          </w:tcPr>
          <w:p w14:paraId="64E5AC5B" w14:textId="29F81B26" w:rsidR="00E44119" w:rsidRPr="00555058" w:rsidRDefault="00967926" w:rsidP="00E44119">
            <w:pPr>
              <w:jc w:val="center"/>
              <w:rPr>
                <w:sz w:val="20"/>
                <w:szCs w:val="20"/>
                <w:lang w:eastAsia="en-GB"/>
              </w:rPr>
            </w:pPr>
            <w:r>
              <w:rPr>
                <w:sz w:val="20"/>
                <w:szCs w:val="20"/>
                <w:lang w:eastAsia="en-GB"/>
              </w:rPr>
              <w:t>1</w:t>
            </w:r>
            <w:r w:rsidR="00E44119">
              <w:rPr>
                <w:sz w:val="20"/>
                <w:szCs w:val="20"/>
                <w:lang w:eastAsia="en-GB"/>
              </w:rPr>
              <w:t>.</w:t>
            </w:r>
            <w:r w:rsidR="00E44119" w:rsidRPr="00555058">
              <w:rPr>
                <w:sz w:val="20"/>
                <w:szCs w:val="20"/>
                <w:lang w:eastAsia="en-GB"/>
              </w:rPr>
              <w:t>00</w:t>
            </w:r>
          </w:p>
        </w:tc>
        <w:tc>
          <w:tcPr>
            <w:tcW w:w="1843" w:type="dxa"/>
            <w:tcBorders>
              <w:top w:val="single" w:sz="4" w:space="0" w:color="auto"/>
              <w:left w:val="nil"/>
              <w:bottom w:val="nil"/>
              <w:right w:val="nil"/>
            </w:tcBorders>
            <w:shd w:val="clear" w:color="auto" w:fill="auto"/>
            <w:noWrap/>
            <w:vAlign w:val="center"/>
            <w:hideMark/>
          </w:tcPr>
          <w:p w14:paraId="5A11F96C"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48</w:t>
            </w:r>
          </w:p>
        </w:tc>
        <w:tc>
          <w:tcPr>
            <w:tcW w:w="1701" w:type="dxa"/>
            <w:tcBorders>
              <w:top w:val="single" w:sz="4" w:space="0" w:color="auto"/>
              <w:left w:val="nil"/>
              <w:bottom w:val="nil"/>
              <w:right w:val="nil"/>
            </w:tcBorders>
            <w:vAlign w:val="center"/>
          </w:tcPr>
          <w:p w14:paraId="5C7D1F42" w14:textId="19CFD77F" w:rsidR="00E44119" w:rsidRPr="00555058" w:rsidRDefault="00E44119" w:rsidP="00E44119">
            <w:pPr>
              <w:jc w:val="center"/>
              <w:rPr>
                <w:sz w:val="20"/>
                <w:szCs w:val="20"/>
                <w:lang w:eastAsia="en-GB"/>
              </w:rPr>
            </w:pPr>
            <w:r w:rsidRPr="00555058">
              <w:rPr>
                <w:sz w:val="20"/>
                <w:szCs w:val="20"/>
                <w:lang w:eastAsia="en-GB"/>
              </w:rPr>
              <w:t>1</w:t>
            </w:r>
          </w:p>
        </w:tc>
        <w:tc>
          <w:tcPr>
            <w:tcW w:w="1801" w:type="dxa"/>
            <w:tcBorders>
              <w:top w:val="single" w:sz="4" w:space="0" w:color="auto"/>
              <w:left w:val="nil"/>
              <w:bottom w:val="nil"/>
              <w:right w:val="nil"/>
            </w:tcBorders>
            <w:shd w:val="clear" w:color="auto" w:fill="auto"/>
            <w:noWrap/>
            <w:vAlign w:val="center"/>
            <w:hideMark/>
          </w:tcPr>
          <w:p w14:paraId="7E9A8051" w14:textId="3E55D06B" w:rsidR="00E44119" w:rsidRPr="00555058" w:rsidRDefault="00E44119" w:rsidP="00E44119">
            <w:pPr>
              <w:jc w:val="center"/>
              <w:rPr>
                <w:sz w:val="20"/>
                <w:szCs w:val="20"/>
                <w:lang w:eastAsia="en-GB"/>
              </w:rPr>
            </w:pPr>
            <w:r w:rsidRPr="00555058">
              <w:rPr>
                <w:sz w:val="20"/>
                <w:szCs w:val="20"/>
                <w:lang w:eastAsia="en-GB"/>
              </w:rPr>
              <w:t>16</w:t>
            </w:r>
          </w:p>
        </w:tc>
        <w:tc>
          <w:tcPr>
            <w:tcW w:w="1649" w:type="dxa"/>
            <w:gridSpan w:val="2"/>
            <w:tcBorders>
              <w:top w:val="single" w:sz="4" w:space="0" w:color="auto"/>
              <w:left w:val="nil"/>
              <w:bottom w:val="nil"/>
              <w:right w:val="nil"/>
            </w:tcBorders>
            <w:shd w:val="clear" w:color="auto" w:fill="auto"/>
            <w:noWrap/>
            <w:vAlign w:val="center"/>
            <w:hideMark/>
          </w:tcPr>
          <w:p w14:paraId="27A2F983" w14:textId="77777777" w:rsidR="00E44119" w:rsidRPr="00555058" w:rsidRDefault="00E44119" w:rsidP="00E44119">
            <w:pPr>
              <w:jc w:val="center"/>
              <w:rPr>
                <w:sz w:val="20"/>
                <w:szCs w:val="20"/>
                <w:lang w:eastAsia="en-GB"/>
              </w:rPr>
            </w:pPr>
            <w:r w:rsidRPr="00555058">
              <w:rPr>
                <w:sz w:val="20"/>
                <w:szCs w:val="20"/>
                <w:lang w:eastAsia="en-GB"/>
              </w:rPr>
              <w:t>0</w:t>
            </w:r>
          </w:p>
        </w:tc>
      </w:tr>
      <w:tr w:rsidR="00E44119" w:rsidRPr="00555058" w14:paraId="31D5DA72" w14:textId="77777777" w:rsidTr="001D64DC">
        <w:trPr>
          <w:trHeight w:val="320"/>
        </w:trPr>
        <w:tc>
          <w:tcPr>
            <w:tcW w:w="1532" w:type="dxa"/>
            <w:tcBorders>
              <w:top w:val="nil"/>
              <w:left w:val="nil"/>
              <w:bottom w:val="nil"/>
              <w:right w:val="nil"/>
            </w:tcBorders>
            <w:shd w:val="clear" w:color="auto" w:fill="auto"/>
            <w:noWrap/>
            <w:vAlign w:val="center"/>
            <w:hideMark/>
          </w:tcPr>
          <w:p w14:paraId="7FE81E47" w14:textId="77777777" w:rsidR="00E44119" w:rsidRPr="00555058" w:rsidRDefault="00E44119" w:rsidP="00E44119">
            <w:pPr>
              <w:rPr>
                <w:sz w:val="20"/>
                <w:szCs w:val="20"/>
                <w:lang w:eastAsia="en-GB"/>
              </w:rPr>
            </w:pPr>
            <w:r w:rsidRPr="00555058">
              <w:rPr>
                <w:sz w:val="20"/>
                <w:szCs w:val="20"/>
                <w:lang w:eastAsia="en-GB"/>
              </w:rPr>
              <w:t>Germany</w:t>
            </w:r>
          </w:p>
        </w:tc>
        <w:tc>
          <w:tcPr>
            <w:tcW w:w="736" w:type="dxa"/>
            <w:tcBorders>
              <w:top w:val="nil"/>
              <w:left w:val="nil"/>
              <w:bottom w:val="nil"/>
              <w:right w:val="nil"/>
            </w:tcBorders>
            <w:shd w:val="clear" w:color="auto" w:fill="auto"/>
            <w:noWrap/>
            <w:vAlign w:val="center"/>
            <w:hideMark/>
          </w:tcPr>
          <w:p w14:paraId="06DE77CB" w14:textId="77777777" w:rsidR="00E44119" w:rsidRPr="00555058" w:rsidRDefault="00E44119" w:rsidP="00E44119">
            <w:pPr>
              <w:jc w:val="center"/>
              <w:rPr>
                <w:sz w:val="20"/>
                <w:szCs w:val="20"/>
                <w:lang w:eastAsia="en-GB"/>
              </w:rPr>
            </w:pPr>
            <w:r w:rsidRPr="00555058">
              <w:rPr>
                <w:sz w:val="20"/>
                <w:szCs w:val="20"/>
                <w:lang w:eastAsia="en-GB"/>
              </w:rPr>
              <w:t>1949</w:t>
            </w:r>
          </w:p>
        </w:tc>
        <w:tc>
          <w:tcPr>
            <w:tcW w:w="709" w:type="dxa"/>
            <w:tcBorders>
              <w:top w:val="nil"/>
              <w:left w:val="nil"/>
              <w:bottom w:val="nil"/>
              <w:right w:val="nil"/>
            </w:tcBorders>
            <w:shd w:val="clear" w:color="auto" w:fill="auto"/>
            <w:noWrap/>
            <w:vAlign w:val="center"/>
            <w:hideMark/>
          </w:tcPr>
          <w:p w14:paraId="1FA64CBD" w14:textId="77777777" w:rsidR="00E44119" w:rsidRPr="00555058" w:rsidRDefault="00E44119" w:rsidP="00E44119">
            <w:pPr>
              <w:jc w:val="center"/>
              <w:rPr>
                <w:sz w:val="20"/>
                <w:szCs w:val="20"/>
                <w:lang w:eastAsia="en-GB"/>
              </w:rPr>
            </w:pPr>
            <w:r w:rsidRPr="00555058">
              <w:rPr>
                <w:sz w:val="20"/>
                <w:szCs w:val="20"/>
                <w:lang w:eastAsia="en-GB"/>
              </w:rPr>
              <w:t>2013</w:t>
            </w:r>
          </w:p>
        </w:tc>
        <w:tc>
          <w:tcPr>
            <w:tcW w:w="1134" w:type="dxa"/>
            <w:tcBorders>
              <w:top w:val="nil"/>
              <w:left w:val="nil"/>
              <w:bottom w:val="nil"/>
              <w:right w:val="nil"/>
            </w:tcBorders>
            <w:shd w:val="clear" w:color="auto" w:fill="auto"/>
            <w:noWrap/>
            <w:vAlign w:val="center"/>
            <w:hideMark/>
          </w:tcPr>
          <w:p w14:paraId="49DAA5A8" w14:textId="77777777" w:rsidR="00E44119" w:rsidRPr="00555058" w:rsidRDefault="00E44119" w:rsidP="00E44119">
            <w:pPr>
              <w:jc w:val="center"/>
              <w:rPr>
                <w:sz w:val="20"/>
                <w:szCs w:val="20"/>
                <w:lang w:eastAsia="en-GB"/>
              </w:rPr>
            </w:pPr>
            <w:r w:rsidRPr="00555058">
              <w:rPr>
                <w:sz w:val="20"/>
                <w:szCs w:val="20"/>
                <w:lang w:eastAsia="en-GB"/>
              </w:rPr>
              <w:t>18</w:t>
            </w:r>
          </w:p>
        </w:tc>
        <w:tc>
          <w:tcPr>
            <w:tcW w:w="851" w:type="dxa"/>
            <w:tcBorders>
              <w:top w:val="nil"/>
              <w:left w:val="nil"/>
              <w:bottom w:val="nil"/>
              <w:right w:val="nil"/>
            </w:tcBorders>
            <w:shd w:val="clear" w:color="auto" w:fill="auto"/>
            <w:noWrap/>
            <w:vAlign w:val="center"/>
            <w:hideMark/>
          </w:tcPr>
          <w:p w14:paraId="6412044E" w14:textId="77777777" w:rsidR="00E44119" w:rsidRPr="00555058" w:rsidRDefault="00E44119" w:rsidP="00E44119">
            <w:pPr>
              <w:jc w:val="center"/>
              <w:rPr>
                <w:sz w:val="20"/>
                <w:szCs w:val="20"/>
                <w:lang w:eastAsia="en-GB"/>
              </w:rPr>
            </w:pPr>
            <w:r w:rsidRPr="00555058">
              <w:rPr>
                <w:sz w:val="20"/>
                <w:szCs w:val="20"/>
                <w:lang w:eastAsia="en-GB"/>
              </w:rPr>
              <w:t>36</w:t>
            </w:r>
          </w:p>
        </w:tc>
        <w:tc>
          <w:tcPr>
            <w:tcW w:w="1984" w:type="dxa"/>
            <w:tcBorders>
              <w:top w:val="nil"/>
              <w:left w:val="nil"/>
              <w:bottom w:val="nil"/>
              <w:right w:val="nil"/>
            </w:tcBorders>
            <w:shd w:val="clear" w:color="auto" w:fill="auto"/>
            <w:noWrap/>
            <w:vAlign w:val="center"/>
            <w:hideMark/>
          </w:tcPr>
          <w:p w14:paraId="223C2238" w14:textId="4383B90A" w:rsidR="00E44119" w:rsidRPr="00555058" w:rsidRDefault="00E44119" w:rsidP="00E44119">
            <w:pPr>
              <w:jc w:val="center"/>
              <w:rPr>
                <w:sz w:val="20"/>
                <w:szCs w:val="20"/>
                <w:lang w:eastAsia="en-GB"/>
              </w:rPr>
            </w:pPr>
            <w:r w:rsidRPr="00555058">
              <w:rPr>
                <w:sz w:val="20"/>
                <w:szCs w:val="20"/>
                <w:lang w:eastAsia="en-GB"/>
              </w:rPr>
              <w:t>1</w:t>
            </w:r>
            <w:r w:rsidR="00722F1B">
              <w:rPr>
                <w:sz w:val="20"/>
                <w:szCs w:val="20"/>
                <w:lang w:eastAsia="en-GB"/>
              </w:rPr>
              <w:t>.</w:t>
            </w:r>
            <w:r w:rsidRPr="00555058">
              <w:rPr>
                <w:sz w:val="20"/>
                <w:szCs w:val="20"/>
                <w:lang w:eastAsia="en-GB"/>
              </w:rPr>
              <w:t>00</w:t>
            </w:r>
          </w:p>
        </w:tc>
        <w:tc>
          <w:tcPr>
            <w:tcW w:w="1843" w:type="dxa"/>
            <w:tcBorders>
              <w:top w:val="nil"/>
              <w:left w:val="nil"/>
              <w:bottom w:val="nil"/>
              <w:right w:val="nil"/>
            </w:tcBorders>
            <w:shd w:val="clear" w:color="auto" w:fill="auto"/>
            <w:noWrap/>
            <w:vAlign w:val="center"/>
            <w:hideMark/>
          </w:tcPr>
          <w:p w14:paraId="77F977D0"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64</w:t>
            </w:r>
          </w:p>
        </w:tc>
        <w:tc>
          <w:tcPr>
            <w:tcW w:w="1701" w:type="dxa"/>
            <w:tcBorders>
              <w:top w:val="nil"/>
              <w:left w:val="nil"/>
              <w:bottom w:val="nil"/>
              <w:right w:val="nil"/>
            </w:tcBorders>
            <w:vAlign w:val="center"/>
          </w:tcPr>
          <w:p w14:paraId="70F66B19" w14:textId="558AF329" w:rsidR="00E44119" w:rsidRPr="00555058" w:rsidRDefault="00E44119" w:rsidP="00E44119">
            <w:pPr>
              <w:jc w:val="center"/>
              <w:rPr>
                <w:sz w:val="20"/>
                <w:szCs w:val="20"/>
                <w:lang w:eastAsia="en-GB"/>
              </w:rPr>
            </w:pPr>
            <w:r w:rsidRPr="00555058">
              <w:rPr>
                <w:sz w:val="20"/>
                <w:szCs w:val="20"/>
                <w:lang w:eastAsia="en-GB"/>
              </w:rPr>
              <w:t>1</w:t>
            </w:r>
          </w:p>
        </w:tc>
        <w:tc>
          <w:tcPr>
            <w:tcW w:w="1801" w:type="dxa"/>
            <w:tcBorders>
              <w:top w:val="nil"/>
              <w:left w:val="nil"/>
              <w:bottom w:val="nil"/>
              <w:right w:val="nil"/>
            </w:tcBorders>
            <w:shd w:val="clear" w:color="auto" w:fill="auto"/>
            <w:noWrap/>
            <w:vAlign w:val="center"/>
            <w:hideMark/>
          </w:tcPr>
          <w:p w14:paraId="38764C9E" w14:textId="3BE8AD5B" w:rsidR="00E44119" w:rsidRPr="00555058" w:rsidRDefault="00E44119" w:rsidP="00E44119">
            <w:pPr>
              <w:jc w:val="center"/>
              <w:rPr>
                <w:sz w:val="20"/>
                <w:szCs w:val="20"/>
                <w:lang w:eastAsia="en-GB"/>
              </w:rPr>
            </w:pPr>
            <w:r w:rsidRPr="00555058">
              <w:rPr>
                <w:sz w:val="20"/>
                <w:szCs w:val="20"/>
                <w:lang w:eastAsia="en-GB"/>
              </w:rPr>
              <w:t>13</w:t>
            </w:r>
          </w:p>
        </w:tc>
        <w:tc>
          <w:tcPr>
            <w:tcW w:w="1649" w:type="dxa"/>
            <w:gridSpan w:val="2"/>
            <w:tcBorders>
              <w:top w:val="nil"/>
              <w:left w:val="nil"/>
              <w:bottom w:val="nil"/>
              <w:right w:val="nil"/>
            </w:tcBorders>
            <w:shd w:val="clear" w:color="auto" w:fill="auto"/>
            <w:noWrap/>
            <w:vAlign w:val="center"/>
            <w:hideMark/>
          </w:tcPr>
          <w:p w14:paraId="3EED54AA" w14:textId="77777777" w:rsidR="00E44119" w:rsidRPr="00555058" w:rsidRDefault="00E44119" w:rsidP="00E44119">
            <w:pPr>
              <w:jc w:val="center"/>
              <w:rPr>
                <w:sz w:val="20"/>
                <w:szCs w:val="20"/>
                <w:lang w:eastAsia="en-GB"/>
              </w:rPr>
            </w:pPr>
            <w:r w:rsidRPr="00555058">
              <w:rPr>
                <w:sz w:val="20"/>
                <w:szCs w:val="20"/>
                <w:lang w:eastAsia="en-GB"/>
              </w:rPr>
              <w:t>19</w:t>
            </w:r>
          </w:p>
        </w:tc>
      </w:tr>
      <w:tr w:rsidR="00E44119" w:rsidRPr="00555058" w14:paraId="3CF2993A" w14:textId="77777777" w:rsidTr="001D64DC">
        <w:trPr>
          <w:trHeight w:val="320"/>
        </w:trPr>
        <w:tc>
          <w:tcPr>
            <w:tcW w:w="1532" w:type="dxa"/>
            <w:tcBorders>
              <w:top w:val="nil"/>
              <w:left w:val="nil"/>
              <w:bottom w:val="nil"/>
              <w:right w:val="nil"/>
            </w:tcBorders>
            <w:shd w:val="clear" w:color="auto" w:fill="auto"/>
            <w:noWrap/>
            <w:vAlign w:val="center"/>
            <w:hideMark/>
          </w:tcPr>
          <w:p w14:paraId="742A1556" w14:textId="77777777" w:rsidR="00E44119" w:rsidRPr="00555058" w:rsidRDefault="00E44119" w:rsidP="00E44119">
            <w:pPr>
              <w:rPr>
                <w:sz w:val="20"/>
                <w:szCs w:val="20"/>
                <w:lang w:eastAsia="en-GB"/>
              </w:rPr>
            </w:pPr>
            <w:proofErr w:type="spellStart"/>
            <w:r w:rsidRPr="00555058">
              <w:rPr>
                <w:sz w:val="20"/>
                <w:szCs w:val="20"/>
                <w:lang w:eastAsia="en-GB"/>
              </w:rPr>
              <w:t>France</w:t>
            </w:r>
            <w:r w:rsidRPr="00555058">
              <w:rPr>
                <w:sz w:val="20"/>
                <w:szCs w:val="20"/>
                <w:vertAlign w:val="superscript"/>
                <w:lang w:eastAsia="en-GB"/>
              </w:rPr>
              <w:t>a</w:t>
            </w:r>
            <w:proofErr w:type="spellEnd"/>
          </w:p>
        </w:tc>
        <w:tc>
          <w:tcPr>
            <w:tcW w:w="736" w:type="dxa"/>
            <w:tcBorders>
              <w:top w:val="nil"/>
              <w:left w:val="nil"/>
              <w:bottom w:val="nil"/>
              <w:right w:val="nil"/>
            </w:tcBorders>
            <w:shd w:val="clear" w:color="auto" w:fill="auto"/>
            <w:noWrap/>
            <w:vAlign w:val="center"/>
            <w:hideMark/>
          </w:tcPr>
          <w:p w14:paraId="0D8180DA" w14:textId="77777777" w:rsidR="00E44119" w:rsidRPr="00555058" w:rsidRDefault="00E44119" w:rsidP="00E44119">
            <w:pPr>
              <w:jc w:val="center"/>
              <w:rPr>
                <w:sz w:val="20"/>
                <w:szCs w:val="20"/>
                <w:lang w:eastAsia="en-GB"/>
              </w:rPr>
            </w:pPr>
            <w:r w:rsidRPr="00555058">
              <w:rPr>
                <w:sz w:val="20"/>
                <w:szCs w:val="20"/>
                <w:lang w:eastAsia="en-GB"/>
              </w:rPr>
              <w:t>1945</w:t>
            </w:r>
          </w:p>
        </w:tc>
        <w:tc>
          <w:tcPr>
            <w:tcW w:w="709" w:type="dxa"/>
            <w:tcBorders>
              <w:top w:val="nil"/>
              <w:left w:val="nil"/>
              <w:bottom w:val="nil"/>
              <w:right w:val="nil"/>
            </w:tcBorders>
            <w:shd w:val="clear" w:color="auto" w:fill="auto"/>
            <w:noWrap/>
            <w:vAlign w:val="center"/>
            <w:hideMark/>
          </w:tcPr>
          <w:p w14:paraId="3C38E15E" w14:textId="77777777" w:rsidR="00E44119" w:rsidRPr="00555058" w:rsidRDefault="00E44119" w:rsidP="00E44119">
            <w:pPr>
              <w:jc w:val="center"/>
              <w:rPr>
                <w:sz w:val="20"/>
                <w:szCs w:val="20"/>
                <w:lang w:eastAsia="en-GB"/>
              </w:rPr>
            </w:pPr>
            <w:r w:rsidRPr="00555058">
              <w:rPr>
                <w:sz w:val="20"/>
                <w:szCs w:val="20"/>
                <w:lang w:eastAsia="en-GB"/>
              </w:rPr>
              <w:t>2012</w:t>
            </w:r>
          </w:p>
        </w:tc>
        <w:tc>
          <w:tcPr>
            <w:tcW w:w="1134" w:type="dxa"/>
            <w:tcBorders>
              <w:top w:val="nil"/>
              <w:left w:val="nil"/>
              <w:bottom w:val="nil"/>
              <w:right w:val="nil"/>
            </w:tcBorders>
            <w:shd w:val="clear" w:color="auto" w:fill="auto"/>
            <w:noWrap/>
            <w:vAlign w:val="center"/>
            <w:hideMark/>
          </w:tcPr>
          <w:p w14:paraId="6D2AB980" w14:textId="77777777" w:rsidR="00E44119" w:rsidRPr="00555058" w:rsidRDefault="00E44119" w:rsidP="00E44119">
            <w:pPr>
              <w:jc w:val="center"/>
              <w:rPr>
                <w:sz w:val="20"/>
                <w:szCs w:val="20"/>
                <w:lang w:eastAsia="en-GB"/>
              </w:rPr>
            </w:pPr>
            <w:r w:rsidRPr="00555058">
              <w:rPr>
                <w:sz w:val="20"/>
                <w:szCs w:val="20"/>
                <w:lang w:eastAsia="en-GB"/>
              </w:rPr>
              <w:t>19</w:t>
            </w:r>
          </w:p>
        </w:tc>
        <w:tc>
          <w:tcPr>
            <w:tcW w:w="851" w:type="dxa"/>
            <w:tcBorders>
              <w:top w:val="nil"/>
              <w:left w:val="nil"/>
              <w:bottom w:val="nil"/>
              <w:right w:val="nil"/>
            </w:tcBorders>
            <w:shd w:val="clear" w:color="auto" w:fill="auto"/>
            <w:noWrap/>
            <w:vAlign w:val="center"/>
            <w:hideMark/>
          </w:tcPr>
          <w:p w14:paraId="1B1B41FD" w14:textId="77777777" w:rsidR="00E44119" w:rsidRPr="00555058" w:rsidRDefault="00E44119" w:rsidP="00E44119">
            <w:pPr>
              <w:jc w:val="center"/>
              <w:rPr>
                <w:sz w:val="20"/>
                <w:szCs w:val="20"/>
                <w:lang w:eastAsia="en-GB"/>
              </w:rPr>
            </w:pPr>
            <w:r w:rsidRPr="00555058">
              <w:rPr>
                <w:sz w:val="20"/>
                <w:szCs w:val="20"/>
                <w:lang w:eastAsia="en-GB"/>
              </w:rPr>
              <w:t>35</w:t>
            </w:r>
          </w:p>
        </w:tc>
        <w:tc>
          <w:tcPr>
            <w:tcW w:w="1984" w:type="dxa"/>
            <w:tcBorders>
              <w:top w:val="nil"/>
              <w:left w:val="nil"/>
              <w:bottom w:val="nil"/>
              <w:right w:val="nil"/>
            </w:tcBorders>
            <w:shd w:val="clear" w:color="auto" w:fill="auto"/>
            <w:noWrap/>
            <w:vAlign w:val="center"/>
            <w:hideMark/>
          </w:tcPr>
          <w:p w14:paraId="7FBF3C55"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68</w:t>
            </w:r>
          </w:p>
        </w:tc>
        <w:tc>
          <w:tcPr>
            <w:tcW w:w="1843" w:type="dxa"/>
            <w:tcBorders>
              <w:top w:val="nil"/>
              <w:left w:val="nil"/>
              <w:bottom w:val="nil"/>
              <w:right w:val="nil"/>
            </w:tcBorders>
            <w:shd w:val="clear" w:color="auto" w:fill="auto"/>
            <w:noWrap/>
            <w:vAlign w:val="center"/>
            <w:hideMark/>
          </w:tcPr>
          <w:p w14:paraId="667A7646"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55</w:t>
            </w:r>
          </w:p>
        </w:tc>
        <w:tc>
          <w:tcPr>
            <w:tcW w:w="1701" w:type="dxa"/>
            <w:tcBorders>
              <w:top w:val="nil"/>
              <w:left w:val="nil"/>
              <w:bottom w:val="nil"/>
              <w:right w:val="nil"/>
            </w:tcBorders>
            <w:vAlign w:val="center"/>
          </w:tcPr>
          <w:p w14:paraId="5B825BFF" w14:textId="185E7681" w:rsidR="00E44119" w:rsidRPr="00555058" w:rsidRDefault="00D43AA7" w:rsidP="00E44119">
            <w:pPr>
              <w:jc w:val="center"/>
              <w:rPr>
                <w:sz w:val="20"/>
                <w:szCs w:val="20"/>
                <w:lang w:eastAsia="en-GB"/>
              </w:rPr>
            </w:pPr>
            <w:r>
              <w:rPr>
                <w:sz w:val="20"/>
                <w:szCs w:val="20"/>
                <w:lang w:eastAsia="en-GB"/>
              </w:rPr>
              <w:t>-</w:t>
            </w:r>
          </w:p>
        </w:tc>
        <w:tc>
          <w:tcPr>
            <w:tcW w:w="1801" w:type="dxa"/>
            <w:tcBorders>
              <w:top w:val="nil"/>
              <w:left w:val="nil"/>
              <w:bottom w:val="nil"/>
              <w:right w:val="nil"/>
            </w:tcBorders>
            <w:shd w:val="clear" w:color="auto" w:fill="auto"/>
            <w:noWrap/>
            <w:vAlign w:val="center"/>
            <w:hideMark/>
          </w:tcPr>
          <w:p w14:paraId="03183CC4" w14:textId="46B62931" w:rsidR="00E44119" w:rsidRPr="00555058" w:rsidRDefault="00E44119" w:rsidP="00E44119">
            <w:pPr>
              <w:jc w:val="center"/>
              <w:rPr>
                <w:sz w:val="20"/>
                <w:szCs w:val="20"/>
                <w:lang w:eastAsia="en-GB"/>
              </w:rPr>
            </w:pPr>
            <w:r w:rsidRPr="00555058">
              <w:rPr>
                <w:sz w:val="20"/>
                <w:szCs w:val="20"/>
                <w:lang w:eastAsia="en-GB"/>
              </w:rPr>
              <w:t>0</w:t>
            </w:r>
          </w:p>
        </w:tc>
        <w:tc>
          <w:tcPr>
            <w:tcW w:w="1649" w:type="dxa"/>
            <w:gridSpan w:val="2"/>
            <w:tcBorders>
              <w:top w:val="nil"/>
              <w:left w:val="nil"/>
              <w:bottom w:val="nil"/>
              <w:right w:val="nil"/>
            </w:tcBorders>
            <w:shd w:val="clear" w:color="auto" w:fill="auto"/>
            <w:noWrap/>
            <w:vAlign w:val="center"/>
            <w:hideMark/>
          </w:tcPr>
          <w:p w14:paraId="4E26AE1E" w14:textId="77777777" w:rsidR="00E44119" w:rsidRPr="00555058" w:rsidRDefault="00E44119" w:rsidP="00E44119">
            <w:pPr>
              <w:jc w:val="center"/>
              <w:rPr>
                <w:sz w:val="20"/>
                <w:szCs w:val="20"/>
                <w:lang w:eastAsia="en-GB"/>
              </w:rPr>
            </w:pPr>
            <w:r w:rsidRPr="00555058">
              <w:rPr>
                <w:sz w:val="20"/>
                <w:szCs w:val="20"/>
                <w:lang w:eastAsia="en-GB"/>
              </w:rPr>
              <w:t>0</w:t>
            </w:r>
          </w:p>
        </w:tc>
      </w:tr>
      <w:tr w:rsidR="00E44119" w:rsidRPr="00555058" w14:paraId="7CCB2415" w14:textId="77777777" w:rsidTr="001D64DC">
        <w:trPr>
          <w:trHeight w:val="320"/>
        </w:trPr>
        <w:tc>
          <w:tcPr>
            <w:tcW w:w="1532" w:type="dxa"/>
            <w:tcBorders>
              <w:top w:val="nil"/>
              <w:left w:val="nil"/>
              <w:bottom w:val="nil"/>
              <w:right w:val="nil"/>
            </w:tcBorders>
            <w:shd w:val="clear" w:color="auto" w:fill="auto"/>
            <w:noWrap/>
            <w:vAlign w:val="center"/>
            <w:hideMark/>
          </w:tcPr>
          <w:p w14:paraId="41ED283A" w14:textId="77777777" w:rsidR="00E44119" w:rsidRPr="00555058" w:rsidRDefault="00E44119" w:rsidP="00E44119">
            <w:pPr>
              <w:rPr>
                <w:sz w:val="20"/>
                <w:szCs w:val="20"/>
                <w:lang w:eastAsia="en-GB"/>
              </w:rPr>
            </w:pPr>
            <w:proofErr w:type="spellStart"/>
            <w:r w:rsidRPr="00555058">
              <w:rPr>
                <w:sz w:val="20"/>
                <w:szCs w:val="20"/>
                <w:lang w:eastAsia="en-GB"/>
              </w:rPr>
              <w:t>Denmark</w:t>
            </w:r>
            <w:proofErr w:type="spellEnd"/>
          </w:p>
        </w:tc>
        <w:tc>
          <w:tcPr>
            <w:tcW w:w="736" w:type="dxa"/>
            <w:tcBorders>
              <w:top w:val="nil"/>
              <w:left w:val="nil"/>
              <w:bottom w:val="nil"/>
              <w:right w:val="nil"/>
            </w:tcBorders>
            <w:shd w:val="clear" w:color="auto" w:fill="auto"/>
            <w:noWrap/>
            <w:vAlign w:val="center"/>
            <w:hideMark/>
          </w:tcPr>
          <w:p w14:paraId="422D10F6" w14:textId="77777777" w:rsidR="00E44119" w:rsidRPr="00555058" w:rsidRDefault="00E44119" w:rsidP="00E44119">
            <w:pPr>
              <w:jc w:val="center"/>
              <w:rPr>
                <w:sz w:val="20"/>
                <w:szCs w:val="20"/>
                <w:lang w:eastAsia="en-GB"/>
              </w:rPr>
            </w:pPr>
            <w:r w:rsidRPr="00555058">
              <w:rPr>
                <w:sz w:val="20"/>
                <w:szCs w:val="20"/>
                <w:lang w:eastAsia="en-GB"/>
              </w:rPr>
              <w:t>1945</w:t>
            </w:r>
          </w:p>
        </w:tc>
        <w:tc>
          <w:tcPr>
            <w:tcW w:w="709" w:type="dxa"/>
            <w:tcBorders>
              <w:top w:val="nil"/>
              <w:left w:val="nil"/>
              <w:bottom w:val="nil"/>
              <w:right w:val="nil"/>
            </w:tcBorders>
            <w:shd w:val="clear" w:color="auto" w:fill="auto"/>
            <w:noWrap/>
            <w:vAlign w:val="center"/>
            <w:hideMark/>
          </w:tcPr>
          <w:p w14:paraId="55F089AE" w14:textId="77777777" w:rsidR="00E44119" w:rsidRPr="00555058" w:rsidRDefault="00E44119" w:rsidP="00E44119">
            <w:pPr>
              <w:jc w:val="center"/>
              <w:rPr>
                <w:sz w:val="20"/>
                <w:szCs w:val="20"/>
                <w:lang w:eastAsia="en-GB"/>
              </w:rPr>
            </w:pPr>
            <w:r w:rsidRPr="00555058">
              <w:rPr>
                <w:sz w:val="20"/>
                <w:szCs w:val="20"/>
                <w:lang w:eastAsia="en-GB"/>
              </w:rPr>
              <w:t>2015</w:t>
            </w:r>
          </w:p>
        </w:tc>
        <w:tc>
          <w:tcPr>
            <w:tcW w:w="1134" w:type="dxa"/>
            <w:tcBorders>
              <w:top w:val="nil"/>
              <w:left w:val="nil"/>
              <w:bottom w:val="nil"/>
              <w:right w:val="nil"/>
            </w:tcBorders>
            <w:shd w:val="clear" w:color="auto" w:fill="auto"/>
            <w:noWrap/>
            <w:vAlign w:val="center"/>
            <w:hideMark/>
          </w:tcPr>
          <w:p w14:paraId="07DEA9A9" w14:textId="77777777" w:rsidR="00E44119" w:rsidRPr="00555058" w:rsidRDefault="00E44119" w:rsidP="00E44119">
            <w:pPr>
              <w:jc w:val="center"/>
              <w:rPr>
                <w:sz w:val="20"/>
                <w:szCs w:val="20"/>
                <w:lang w:eastAsia="en-GB"/>
              </w:rPr>
            </w:pPr>
            <w:r w:rsidRPr="00555058">
              <w:rPr>
                <w:sz w:val="20"/>
                <w:szCs w:val="20"/>
                <w:lang w:eastAsia="en-GB"/>
              </w:rPr>
              <w:t>27</w:t>
            </w:r>
          </w:p>
        </w:tc>
        <w:tc>
          <w:tcPr>
            <w:tcW w:w="851" w:type="dxa"/>
            <w:tcBorders>
              <w:top w:val="nil"/>
              <w:left w:val="nil"/>
              <w:bottom w:val="nil"/>
              <w:right w:val="nil"/>
            </w:tcBorders>
            <w:shd w:val="clear" w:color="auto" w:fill="auto"/>
            <w:noWrap/>
            <w:vAlign w:val="center"/>
            <w:hideMark/>
          </w:tcPr>
          <w:p w14:paraId="041F7CE2" w14:textId="77777777" w:rsidR="00E44119" w:rsidRPr="00555058" w:rsidRDefault="00E44119" w:rsidP="00E44119">
            <w:pPr>
              <w:jc w:val="center"/>
              <w:rPr>
                <w:sz w:val="20"/>
                <w:szCs w:val="20"/>
                <w:lang w:eastAsia="en-GB"/>
              </w:rPr>
            </w:pPr>
            <w:r w:rsidRPr="00555058">
              <w:rPr>
                <w:sz w:val="20"/>
                <w:szCs w:val="20"/>
                <w:lang w:eastAsia="en-GB"/>
              </w:rPr>
              <w:t>32</w:t>
            </w:r>
          </w:p>
        </w:tc>
        <w:tc>
          <w:tcPr>
            <w:tcW w:w="1984" w:type="dxa"/>
            <w:tcBorders>
              <w:top w:val="nil"/>
              <w:left w:val="nil"/>
              <w:bottom w:val="nil"/>
              <w:right w:val="nil"/>
            </w:tcBorders>
            <w:shd w:val="clear" w:color="auto" w:fill="auto"/>
            <w:noWrap/>
            <w:vAlign w:val="center"/>
            <w:hideMark/>
          </w:tcPr>
          <w:p w14:paraId="47069E54"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81</w:t>
            </w:r>
          </w:p>
        </w:tc>
        <w:tc>
          <w:tcPr>
            <w:tcW w:w="1843" w:type="dxa"/>
            <w:tcBorders>
              <w:top w:val="nil"/>
              <w:left w:val="nil"/>
              <w:bottom w:val="nil"/>
              <w:right w:val="nil"/>
            </w:tcBorders>
            <w:shd w:val="clear" w:color="auto" w:fill="auto"/>
            <w:noWrap/>
            <w:vAlign w:val="center"/>
            <w:hideMark/>
          </w:tcPr>
          <w:p w14:paraId="63F4C724"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43</w:t>
            </w:r>
          </w:p>
        </w:tc>
        <w:tc>
          <w:tcPr>
            <w:tcW w:w="1701" w:type="dxa"/>
            <w:tcBorders>
              <w:top w:val="nil"/>
              <w:left w:val="nil"/>
              <w:bottom w:val="nil"/>
              <w:right w:val="nil"/>
            </w:tcBorders>
            <w:vAlign w:val="center"/>
          </w:tcPr>
          <w:p w14:paraId="0D6073D0" w14:textId="4E9F456F" w:rsidR="00E44119" w:rsidRPr="00555058" w:rsidRDefault="00E44119" w:rsidP="00E44119">
            <w:pPr>
              <w:jc w:val="center"/>
              <w:rPr>
                <w:sz w:val="20"/>
                <w:szCs w:val="20"/>
                <w:lang w:eastAsia="en-GB"/>
              </w:rPr>
            </w:pPr>
            <w:r w:rsidRPr="00555058">
              <w:rPr>
                <w:sz w:val="20"/>
                <w:szCs w:val="20"/>
                <w:lang w:eastAsia="en-GB"/>
              </w:rPr>
              <w:t>5</w:t>
            </w:r>
          </w:p>
        </w:tc>
        <w:tc>
          <w:tcPr>
            <w:tcW w:w="1801" w:type="dxa"/>
            <w:tcBorders>
              <w:top w:val="nil"/>
              <w:left w:val="nil"/>
              <w:bottom w:val="nil"/>
              <w:right w:val="nil"/>
            </w:tcBorders>
            <w:shd w:val="clear" w:color="auto" w:fill="auto"/>
            <w:noWrap/>
            <w:vAlign w:val="center"/>
            <w:hideMark/>
          </w:tcPr>
          <w:p w14:paraId="4088ACFC" w14:textId="09CA1AB8" w:rsidR="00E44119" w:rsidRPr="00555058" w:rsidRDefault="00E44119" w:rsidP="00E44119">
            <w:pPr>
              <w:jc w:val="center"/>
              <w:rPr>
                <w:sz w:val="20"/>
                <w:szCs w:val="20"/>
                <w:lang w:eastAsia="en-GB"/>
              </w:rPr>
            </w:pPr>
            <w:r w:rsidRPr="00555058">
              <w:rPr>
                <w:sz w:val="20"/>
                <w:szCs w:val="20"/>
                <w:lang w:eastAsia="en-GB"/>
              </w:rPr>
              <w:t>8</w:t>
            </w:r>
          </w:p>
        </w:tc>
        <w:tc>
          <w:tcPr>
            <w:tcW w:w="1649" w:type="dxa"/>
            <w:gridSpan w:val="2"/>
            <w:tcBorders>
              <w:top w:val="nil"/>
              <w:left w:val="nil"/>
              <w:bottom w:val="nil"/>
              <w:right w:val="nil"/>
            </w:tcBorders>
            <w:shd w:val="clear" w:color="auto" w:fill="auto"/>
            <w:noWrap/>
            <w:vAlign w:val="center"/>
            <w:hideMark/>
          </w:tcPr>
          <w:p w14:paraId="64E9EA37" w14:textId="77777777" w:rsidR="00E44119" w:rsidRPr="00555058" w:rsidRDefault="00E44119" w:rsidP="00E44119">
            <w:pPr>
              <w:jc w:val="center"/>
              <w:rPr>
                <w:sz w:val="20"/>
                <w:szCs w:val="20"/>
                <w:lang w:eastAsia="en-GB"/>
              </w:rPr>
            </w:pPr>
            <w:r w:rsidRPr="00555058">
              <w:rPr>
                <w:sz w:val="20"/>
                <w:szCs w:val="20"/>
                <w:lang w:eastAsia="en-GB"/>
              </w:rPr>
              <w:t>2</w:t>
            </w:r>
          </w:p>
        </w:tc>
      </w:tr>
      <w:tr w:rsidR="00E44119" w:rsidRPr="00555058" w14:paraId="609595B7" w14:textId="77777777" w:rsidTr="001D64DC">
        <w:trPr>
          <w:trHeight w:val="320"/>
        </w:trPr>
        <w:tc>
          <w:tcPr>
            <w:tcW w:w="1532" w:type="dxa"/>
            <w:tcBorders>
              <w:top w:val="nil"/>
              <w:left w:val="nil"/>
              <w:bottom w:val="nil"/>
              <w:right w:val="nil"/>
            </w:tcBorders>
            <w:shd w:val="clear" w:color="auto" w:fill="auto"/>
            <w:noWrap/>
            <w:vAlign w:val="center"/>
            <w:hideMark/>
          </w:tcPr>
          <w:p w14:paraId="18342D3F" w14:textId="77777777" w:rsidR="00E44119" w:rsidRPr="00555058" w:rsidRDefault="00E44119" w:rsidP="00E44119">
            <w:pPr>
              <w:rPr>
                <w:sz w:val="20"/>
                <w:szCs w:val="20"/>
                <w:lang w:eastAsia="en-GB"/>
              </w:rPr>
            </w:pPr>
            <w:proofErr w:type="spellStart"/>
            <w:r w:rsidRPr="00555058">
              <w:rPr>
                <w:sz w:val="20"/>
                <w:szCs w:val="20"/>
                <w:lang w:eastAsia="en-GB"/>
              </w:rPr>
              <w:t>Bulgaria</w:t>
            </w:r>
            <w:proofErr w:type="spellEnd"/>
          </w:p>
        </w:tc>
        <w:tc>
          <w:tcPr>
            <w:tcW w:w="736" w:type="dxa"/>
            <w:tcBorders>
              <w:top w:val="nil"/>
              <w:left w:val="nil"/>
              <w:bottom w:val="nil"/>
              <w:right w:val="nil"/>
            </w:tcBorders>
            <w:shd w:val="clear" w:color="auto" w:fill="auto"/>
            <w:noWrap/>
            <w:vAlign w:val="center"/>
            <w:hideMark/>
          </w:tcPr>
          <w:p w14:paraId="24B887DB" w14:textId="77777777" w:rsidR="00E44119" w:rsidRPr="00555058" w:rsidRDefault="00E44119" w:rsidP="00E44119">
            <w:pPr>
              <w:jc w:val="center"/>
              <w:rPr>
                <w:sz w:val="20"/>
                <w:szCs w:val="20"/>
                <w:lang w:eastAsia="en-GB"/>
              </w:rPr>
            </w:pPr>
            <w:r w:rsidRPr="00555058">
              <w:rPr>
                <w:sz w:val="20"/>
                <w:szCs w:val="20"/>
                <w:lang w:eastAsia="en-GB"/>
              </w:rPr>
              <w:t>1991</w:t>
            </w:r>
          </w:p>
        </w:tc>
        <w:tc>
          <w:tcPr>
            <w:tcW w:w="709" w:type="dxa"/>
            <w:tcBorders>
              <w:top w:val="nil"/>
              <w:left w:val="nil"/>
              <w:bottom w:val="nil"/>
              <w:right w:val="nil"/>
            </w:tcBorders>
            <w:shd w:val="clear" w:color="auto" w:fill="auto"/>
            <w:noWrap/>
            <w:vAlign w:val="center"/>
            <w:hideMark/>
          </w:tcPr>
          <w:p w14:paraId="5640985A" w14:textId="77777777" w:rsidR="00E44119" w:rsidRPr="00555058" w:rsidRDefault="00E44119" w:rsidP="00E44119">
            <w:pPr>
              <w:jc w:val="center"/>
              <w:rPr>
                <w:sz w:val="20"/>
                <w:szCs w:val="20"/>
                <w:lang w:eastAsia="en-GB"/>
              </w:rPr>
            </w:pPr>
            <w:r w:rsidRPr="00555058">
              <w:rPr>
                <w:sz w:val="20"/>
                <w:szCs w:val="20"/>
                <w:lang w:eastAsia="en-GB"/>
              </w:rPr>
              <w:t>2014</w:t>
            </w:r>
          </w:p>
        </w:tc>
        <w:tc>
          <w:tcPr>
            <w:tcW w:w="1134" w:type="dxa"/>
            <w:tcBorders>
              <w:top w:val="nil"/>
              <w:left w:val="nil"/>
              <w:bottom w:val="nil"/>
              <w:right w:val="nil"/>
            </w:tcBorders>
            <w:shd w:val="clear" w:color="auto" w:fill="auto"/>
            <w:noWrap/>
            <w:vAlign w:val="center"/>
            <w:hideMark/>
          </w:tcPr>
          <w:p w14:paraId="07218C97" w14:textId="77777777" w:rsidR="00E44119" w:rsidRPr="00555058" w:rsidRDefault="00E44119" w:rsidP="00E44119">
            <w:pPr>
              <w:jc w:val="center"/>
              <w:rPr>
                <w:sz w:val="20"/>
                <w:szCs w:val="20"/>
                <w:lang w:eastAsia="en-GB"/>
              </w:rPr>
            </w:pPr>
            <w:r w:rsidRPr="00555058">
              <w:rPr>
                <w:sz w:val="20"/>
                <w:szCs w:val="20"/>
                <w:lang w:eastAsia="en-GB"/>
              </w:rPr>
              <w:t>8</w:t>
            </w:r>
          </w:p>
        </w:tc>
        <w:tc>
          <w:tcPr>
            <w:tcW w:w="851" w:type="dxa"/>
            <w:tcBorders>
              <w:top w:val="nil"/>
              <w:left w:val="nil"/>
              <w:bottom w:val="nil"/>
              <w:right w:val="nil"/>
            </w:tcBorders>
            <w:shd w:val="clear" w:color="auto" w:fill="auto"/>
            <w:noWrap/>
            <w:vAlign w:val="center"/>
            <w:hideMark/>
          </w:tcPr>
          <w:p w14:paraId="2D1B32CE" w14:textId="77777777" w:rsidR="00E44119" w:rsidRPr="00555058" w:rsidRDefault="00E44119" w:rsidP="00E44119">
            <w:pPr>
              <w:jc w:val="center"/>
              <w:rPr>
                <w:sz w:val="20"/>
                <w:szCs w:val="20"/>
                <w:lang w:eastAsia="en-GB"/>
              </w:rPr>
            </w:pPr>
            <w:r w:rsidRPr="00555058">
              <w:rPr>
                <w:sz w:val="20"/>
                <w:szCs w:val="20"/>
                <w:lang w:eastAsia="en-GB"/>
              </w:rPr>
              <w:t>25</w:t>
            </w:r>
          </w:p>
        </w:tc>
        <w:tc>
          <w:tcPr>
            <w:tcW w:w="1984" w:type="dxa"/>
            <w:tcBorders>
              <w:top w:val="nil"/>
              <w:left w:val="nil"/>
              <w:bottom w:val="nil"/>
              <w:right w:val="nil"/>
            </w:tcBorders>
            <w:shd w:val="clear" w:color="auto" w:fill="auto"/>
            <w:noWrap/>
            <w:vAlign w:val="center"/>
            <w:hideMark/>
          </w:tcPr>
          <w:p w14:paraId="0778DA49"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88</w:t>
            </w:r>
          </w:p>
        </w:tc>
        <w:tc>
          <w:tcPr>
            <w:tcW w:w="1843" w:type="dxa"/>
            <w:tcBorders>
              <w:top w:val="nil"/>
              <w:left w:val="nil"/>
              <w:bottom w:val="nil"/>
              <w:right w:val="nil"/>
            </w:tcBorders>
            <w:shd w:val="clear" w:color="auto" w:fill="auto"/>
            <w:noWrap/>
            <w:vAlign w:val="center"/>
            <w:hideMark/>
          </w:tcPr>
          <w:p w14:paraId="425AE701"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54</w:t>
            </w:r>
          </w:p>
        </w:tc>
        <w:tc>
          <w:tcPr>
            <w:tcW w:w="1701" w:type="dxa"/>
            <w:tcBorders>
              <w:top w:val="nil"/>
              <w:left w:val="nil"/>
              <w:bottom w:val="nil"/>
              <w:right w:val="nil"/>
            </w:tcBorders>
            <w:vAlign w:val="center"/>
          </w:tcPr>
          <w:p w14:paraId="01CD6762" w14:textId="4F378F7C"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345CEBF4" w14:textId="3D697A30" w:rsidR="00E44119" w:rsidRPr="00555058" w:rsidRDefault="00E44119" w:rsidP="00E44119">
            <w:pPr>
              <w:jc w:val="center"/>
              <w:rPr>
                <w:sz w:val="20"/>
                <w:szCs w:val="20"/>
                <w:lang w:eastAsia="en-GB"/>
              </w:rPr>
            </w:pPr>
            <w:r w:rsidRPr="00555058">
              <w:rPr>
                <w:sz w:val="20"/>
                <w:szCs w:val="20"/>
                <w:lang w:eastAsia="en-GB"/>
              </w:rPr>
              <w:t>4</w:t>
            </w:r>
          </w:p>
        </w:tc>
        <w:tc>
          <w:tcPr>
            <w:tcW w:w="1649" w:type="dxa"/>
            <w:gridSpan w:val="2"/>
            <w:tcBorders>
              <w:top w:val="nil"/>
              <w:left w:val="nil"/>
              <w:bottom w:val="nil"/>
              <w:right w:val="nil"/>
            </w:tcBorders>
            <w:shd w:val="clear" w:color="auto" w:fill="auto"/>
            <w:noWrap/>
            <w:vAlign w:val="center"/>
            <w:hideMark/>
          </w:tcPr>
          <w:p w14:paraId="5AFABF9B" w14:textId="77777777" w:rsidR="00E44119" w:rsidRPr="00555058" w:rsidRDefault="00E44119" w:rsidP="00E44119">
            <w:pPr>
              <w:jc w:val="center"/>
              <w:rPr>
                <w:sz w:val="20"/>
                <w:szCs w:val="20"/>
                <w:lang w:eastAsia="en-GB"/>
              </w:rPr>
            </w:pPr>
            <w:r w:rsidRPr="00555058">
              <w:rPr>
                <w:sz w:val="20"/>
                <w:szCs w:val="20"/>
                <w:lang w:eastAsia="en-GB"/>
              </w:rPr>
              <w:t>18</w:t>
            </w:r>
          </w:p>
        </w:tc>
      </w:tr>
      <w:tr w:rsidR="00E44119" w:rsidRPr="00555058" w14:paraId="3306174A" w14:textId="77777777" w:rsidTr="001D64DC">
        <w:trPr>
          <w:trHeight w:val="320"/>
        </w:trPr>
        <w:tc>
          <w:tcPr>
            <w:tcW w:w="1532" w:type="dxa"/>
            <w:tcBorders>
              <w:top w:val="nil"/>
              <w:left w:val="nil"/>
              <w:bottom w:val="nil"/>
              <w:right w:val="nil"/>
            </w:tcBorders>
            <w:shd w:val="clear" w:color="auto" w:fill="auto"/>
            <w:noWrap/>
            <w:vAlign w:val="center"/>
            <w:hideMark/>
          </w:tcPr>
          <w:p w14:paraId="659D89B6" w14:textId="77777777" w:rsidR="00E44119" w:rsidRPr="00555058" w:rsidRDefault="00E44119" w:rsidP="00E44119">
            <w:pPr>
              <w:rPr>
                <w:sz w:val="20"/>
                <w:szCs w:val="20"/>
                <w:lang w:eastAsia="en-GB"/>
              </w:rPr>
            </w:pPr>
            <w:r w:rsidRPr="00555058">
              <w:rPr>
                <w:sz w:val="20"/>
                <w:szCs w:val="20"/>
                <w:lang w:eastAsia="en-GB"/>
              </w:rPr>
              <w:t>Israel</w:t>
            </w:r>
          </w:p>
        </w:tc>
        <w:tc>
          <w:tcPr>
            <w:tcW w:w="736" w:type="dxa"/>
            <w:tcBorders>
              <w:top w:val="nil"/>
              <w:left w:val="nil"/>
              <w:bottom w:val="nil"/>
              <w:right w:val="nil"/>
            </w:tcBorders>
            <w:shd w:val="clear" w:color="auto" w:fill="auto"/>
            <w:noWrap/>
            <w:vAlign w:val="center"/>
            <w:hideMark/>
          </w:tcPr>
          <w:p w14:paraId="67B8EB19" w14:textId="77777777" w:rsidR="00E44119" w:rsidRPr="00555058" w:rsidRDefault="00E44119" w:rsidP="00E44119">
            <w:pPr>
              <w:jc w:val="center"/>
              <w:rPr>
                <w:sz w:val="20"/>
                <w:szCs w:val="20"/>
                <w:lang w:eastAsia="en-GB"/>
              </w:rPr>
            </w:pPr>
            <w:r w:rsidRPr="00555058">
              <w:rPr>
                <w:sz w:val="20"/>
                <w:szCs w:val="20"/>
                <w:lang w:eastAsia="en-GB"/>
              </w:rPr>
              <w:t>1949</w:t>
            </w:r>
          </w:p>
        </w:tc>
        <w:tc>
          <w:tcPr>
            <w:tcW w:w="709" w:type="dxa"/>
            <w:tcBorders>
              <w:top w:val="nil"/>
              <w:left w:val="nil"/>
              <w:bottom w:val="nil"/>
              <w:right w:val="nil"/>
            </w:tcBorders>
            <w:shd w:val="clear" w:color="auto" w:fill="auto"/>
            <w:noWrap/>
            <w:vAlign w:val="center"/>
            <w:hideMark/>
          </w:tcPr>
          <w:p w14:paraId="3C201212" w14:textId="77777777" w:rsidR="00E44119" w:rsidRPr="00555058" w:rsidRDefault="00E44119" w:rsidP="00E44119">
            <w:pPr>
              <w:jc w:val="center"/>
              <w:rPr>
                <w:sz w:val="20"/>
                <w:szCs w:val="20"/>
                <w:lang w:eastAsia="en-GB"/>
              </w:rPr>
            </w:pPr>
            <w:r w:rsidRPr="00555058">
              <w:rPr>
                <w:sz w:val="20"/>
                <w:szCs w:val="20"/>
                <w:lang w:eastAsia="en-GB"/>
              </w:rPr>
              <w:t>2015</w:t>
            </w:r>
          </w:p>
        </w:tc>
        <w:tc>
          <w:tcPr>
            <w:tcW w:w="1134" w:type="dxa"/>
            <w:tcBorders>
              <w:top w:val="nil"/>
              <w:left w:val="nil"/>
              <w:bottom w:val="nil"/>
              <w:right w:val="nil"/>
            </w:tcBorders>
            <w:shd w:val="clear" w:color="auto" w:fill="auto"/>
            <w:noWrap/>
            <w:vAlign w:val="center"/>
            <w:hideMark/>
          </w:tcPr>
          <w:p w14:paraId="35621D46" w14:textId="77777777" w:rsidR="00E44119" w:rsidRPr="00555058" w:rsidRDefault="00E44119" w:rsidP="00E44119">
            <w:pPr>
              <w:jc w:val="center"/>
              <w:rPr>
                <w:sz w:val="20"/>
                <w:szCs w:val="20"/>
                <w:lang w:eastAsia="en-GB"/>
              </w:rPr>
            </w:pPr>
            <w:r w:rsidRPr="00555058">
              <w:rPr>
                <w:sz w:val="20"/>
                <w:szCs w:val="20"/>
                <w:lang w:eastAsia="en-GB"/>
              </w:rPr>
              <w:t>20</w:t>
            </w:r>
          </w:p>
        </w:tc>
        <w:tc>
          <w:tcPr>
            <w:tcW w:w="851" w:type="dxa"/>
            <w:tcBorders>
              <w:top w:val="nil"/>
              <w:left w:val="nil"/>
              <w:bottom w:val="nil"/>
              <w:right w:val="nil"/>
            </w:tcBorders>
            <w:shd w:val="clear" w:color="auto" w:fill="auto"/>
            <w:noWrap/>
            <w:vAlign w:val="center"/>
            <w:hideMark/>
          </w:tcPr>
          <w:p w14:paraId="1009CD04" w14:textId="77777777" w:rsidR="00E44119" w:rsidRPr="00555058" w:rsidRDefault="00E44119" w:rsidP="00E44119">
            <w:pPr>
              <w:jc w:val="center"/>
              <w:rPr>
                <w:sz w:val="20"/>
                <w:szCs w:val="20"/>
                <w:lang w:eastAsia="en-GB"/>
              </w:rPr>
            </w:pPr>
            <w:r w:rsidRPr="00555058">
              <w:rPr>
                <w:sz w:val="20"/>
                <w:szCs w:val="20"/>
                <w:lang w:eastAsia="en-GB"/>
              </w:rPr>
              <w:t>21</w:t>
            </w:r>
          </w:p>
        </w:tc>
        <w:tc>
          <w:tcPr>
            <w:tcW w:w="1984" w:type="dxa"/>
            <w:tcBorders>
              <w:top w:val="nil"/>
              <w:left w:val="nil"/>
              <w:bottom w:val="nil"/>
              <w:right w:val="nil"/>
            </w:tcBorders>
            <w:shd w:val="clear" w:color="auto" w:fill="auto"/>
            <w:noWrap/>
            <w:vAlign w:val="center"/>
            <w:hideMark/>
          </w:tcPr>
          <w:p w14:paraId="630AC9F9"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65</w:t>
            </w:r>
          </w:p>
        </w:tc>
        <w:tc>
          <w:tcPr>
            <w:tcW w:w="1843" w:type="dxa"/>
            <w:tcBorders>
              <w:top w:val="nil"/>
              <w:left w:val="nil"/>
              <w:bottom w:val="nil"/>
              <w:right w:val="nil"/>
            </w:tcBorders>
            <w:shd w:val="clear" w:color="auto" w:fill="auto"/>
            <w:noWrap/>
            <w:vAlign w:val="center"/>
            <w:hideMark/>
          </w:tcPr>
          <w:p w14:paraId="2FF34627"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21</w:t>
            </w:r>
          </w:p>
        </w:tc>
        <w:tc>
          <w:tcPr>
            <w:tcW w:w="1701" w:type="dxa"/>
            <w:tcBorders>
              <w:top w:val="nil"/>
              <w:left w:val="nil"/>
              <w:bottom w:val="nil"/>
              <w:right w:val="nil"/>
            </w:tcBorders>
            <w:vAlign w:val="center"/>
          </w:tcPr>
          <w:p w14:paraId="6DAF3F4F" w14:textId="218871EC"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22D700D7" w14:textId="05719AA9" w:rsidR="00E44119" w:rsidRPr="00555058" w:rsidRDefault="00E44119" w:rsidP="00E44119">
            <w:pPr>
              <w:jc w:val="center"/>
              <w:rPr>
                <w:sz w:val="20"/>
                <w:szCs w:val="20"/>
                <w:lang w:eastAsia="en-GB"/>
              </w:rPr>
            </w:pPr>
            <w:r w:rsidRPr="00555058">
              <w:rPr>
                <w:sz w:val="20"/>
                <w:szCs w:val="20"/>
                <w:lang w:eastAsia="en-GB"/>
              </w:rPr>
              <w:t>0</w:t>
            </w:r>
          </w:p>
        </w:tc>
        <w:tc>
          <w:tcPr>
            <w:tcW w:w="1649" w:type="dxa"/>
            <w:gridSpan w:val="2"/>
            <w:tcBorders>
              <w:top w:val="nil"/>
              <w:left w:val="nil"/>
              <w:bottom w:val="nil"/>
              <w:right w:val="nil"/>
            </w:tcBorders>
            <w:shd w:val="clear" w:color="auto" w:fill="auto"/>
            <w:noWrap/>
            <w:vAlign w:val="center"/>
            <w:hideMark/>
          </w:tcPr>
          <w:p w14:paraId="3C7015EE" w14:textId="77777777" w:rsidR="00E44119" w:rsidRPr="00555058" w:rsidRDefault="00E44119" w:rsidP="00E44119">
            <w:pPr>
              <w:jc w:val="center"/>
              <w:rPr>
                <w:sz w:val="20"/>
                <w:szCs w:val="20"/>
                <w:lang w:eastAsia="en-GB"/>
              </w:rPr>
            </w:pPr>
            <w:r w:rsidRPr="00555058">
              <w:rPr>
                <w:sz w:val="20"/>
                <w:szCs w:val="20"/>
                <w:lang w:eastAsia="en-GB"/>
              </w:rPr>
              <w:t>9</w:t>
            </w:r>
          </w:p>
        </w:tc>
      </w:tr>
      <w:tr w:rsidR="00E44119" w:rsidRPr="00555058" w14:paraId="087DDB77" w14:textId="77777777" w:rsidTr="001D64DC">
        <w:trPr>
          <w:trHeight w:val="320"/>
        </w:trPr>
        <w:tc>
          <w:tcPr>
            <w:tcW w:w="1532" w:type="dxa"/>
            <w:tcBorders>
              <w:top w:val="nil"/>
              <w:left w:val="nil"/>
              <w:bottom w:val="nil"/>
              <w:right w:val="nil"/>
            </w:tcBorders>
            <w:shd w:val="clear" w:color="auto" w:fill="auto"/>
            <w:noWrap/>
            <w:vAlign w:val="center"/>
            <w:hideMark/>
          </w:tcPr>
          <w:p w14:paraId="0BB844D5" w14:textId="77777777" w:rsidR="00E44119" w:rsidRPr="00555058" w:rsidRDefault="00E44119" w:rsidP="00E44119">
            <w:pPr>
              <w:rPr>
                <w:sz w:val="20"/>
                <w:szCs w:val="20"/>
                <w:lang w:eastAsia="en-GB"/>
              </w:rPr>
            </w:pPr>
            <w:proofErr w:type="spellStart"/>
            <w:r w:rsidRPr="00555058">
              <w:rPr>
                <w:sz w:val="20"/>
                <w:szCs w:val="20"/>
                <w:lang w:eastAsia="en-GB"/>
              </w:rPr>
              <w:t>Belgium</w:t>
            </w:r>
            <w:proofErr w:type="spellEnd"/>
          </w:p>
        </w:tc>
        <w:tc>
          <w:tcPr>
            <w:tcW w:w="736" w:type="dxa"/>
            <w:tcBorders>
              <w:top w:val="nil"/>
              <w:left w:val="nil"/>
              <w:bottom w:val="nil"/>
              <w:right w:val="nil"/>
            </w:tcBorders>
            <w:shd w:val="clear" w:color="auto" w:fill="auto"/>
            <w:noWrap/>
            <w:vAlign w:val="center"/>
            <w:hideMark/>
          </w:tcPr>
          <w:p w14:paraId="373555C7" w14:textId="77777777" w:rsidR="00E44119" w:rsidRPr="00555058" w:rsidRDefault="00E44119" w:rsidP="00E44119">
            <w:pPr>
              <w:jc w:val="center"/>
              <w:rPr>
                <w:sz w:val="20"/>
                <w:szCs w:val="20"/>
                <w:lang w:eastAsia="en-GB"/>
              </w:rPr>
            </w:pPr>
            <w:r w:rsidRPr="00555058">
              <w:rPr>
                <w:sz w:val="20"/>
                <w:szCs w:val="20"/>
                <w:lang w:eastAsia="en-GB"/>
              </w:rPr>
              <w:t>1946</w:t>
            </w:r>
          </w:p>
        </w:tc>
        <w:tc>
          <w:tcPr>
            <w:tcW w:w="709" w:type="dxa"/>
            <w:tcBorders>
              <w:top w:val="nil"/>
              <w:left w:val="nil"/>
              <w:bottom w:val="nil"/>
              <w:right w:val="nil"/>
            </w:tcBorders>
            <w:shd w:val="clear" w:color="auto" w:fill="auto"/>
            <w:noWrap/>
            <w:vAlign w:val="center"/>
            <w:hideMark/>
          </w:tcPr>
          <w:p w14:paraId="14288831" w14:textId="77777777" w:rsidR="00E44119" w:rsidRPr="00555058" w:rsidRDefault="00E44119" w:rsidP="00E44119">
            <w:pPr>
              <w:jc w:val="center"/>
              <w:rPr>
                <w:sz w:val="20"/>
                <w:szCs w:val="20"/>
                <w:lang w:eastAsia="en-GB"/>
              </w:rPr>
            </w:pPr>
            <w:r w:rsidRPr="00555058">
              <w:rPr>
                <w:sz w:val="20"/>
                <w:szCs w:val="20"/>
                <w:lang w:eastAsia="en-GB"/>
              </w:rPr>
              <w:t>2014</w:t>
            </w:r>
          </w:p>
        </w:tc>
        <w:tc>
          <w:tcPr>
            <w:tcW w:w="1134" w:type="dxa"/>
            <w:tcBorders>
              <w:top w:val="nil"/>
              <w:left w:val="nil"/>
              <w:bottom w:val="nil"/>
              <w:right w:val="nil"/>
            </w:tcBorders>
            <w:shd w:val="clear" w:color="auto" w:fill="auto"/>
            <w:noWrap/>
            <w:vAlign w:val="center"/>
            <w:hideMark/>
          </w:tcPr>
          <w:p w14:paraId="71FD6B8E" w14:textId="77777777" w:rsidR="00E44119" w:rsidRPr="00555058" w:rsidRDefault="00E44119" w:rsidP="00E44119">
            <w:pPr>
              <w:jc w:val="center"/>
              <w:rPr>
                <w:sz w:val="20"/>
                <w:szCs w:val="20"/>
                <w:lang w:eastAsia="en-GB"/>
              </w:rPr>
            </w:pPr>
            <w:r w:rsidRPr="00555058">
              <w:rPr>
                <w:sz w:val="20"/>
                <w:szCs w:val="20"/>
                <w:lang w:eastAsia="en-GB"/>
              </w:rPr>
              <w:t>22</w:t>
            </w:r>
          </w:p>
        </w:tc>
        <w:tc>
          <w:tcPr>
            <w:tcW w:w="851" w:type="dxa"/>
            <w:tcBorders>
              <w:top w:val="nil"/>
              <w:left w:val="nil"/>
              <w:bottom w:val="nil"/>
              <w:right w:val="nil"/>
            </w:tcBorders>
            <w:shd w:val="clear" w:color="auto" w:fill="auto"/>
            <w:noWrap/>
            <w:vAlign w:val="center"/>
            <w:hideMark/>
          </w:tcPr>
          <w:p w14:paraId="221429CA" w14:textId="77777777" w:rsidR="00E44119" w:rsidRPr="00555058" w:rsidRDefault="00E44119" w:rsidP="00E44119">
            <w:pPr>
              <w:jc w:val="center"/>
              <w:rPr>
                <w:sz w:val="20"/>
                <w:szCs w:val="20"/>
                <w:lang w:eastAsia="en-GB"/>
              </w:rPr>
            </w:pPr>
            <w:r w:rsidRPr="00555058">
              <w:rPr>
                <w:sz w:val="20"/>
                <w:szCs w:val="20"/>
                <w:lang w:eastAsia="en-GB"/>
              </w:rPr>
              <w:t>20</w:t>
            </w:r>
          </w:p>
        </w:tc>
        <w:tc>
          <w:tcPr>
            <w:tcW w:w="1984" w:type="dxa"/>
            <w:tcBorders>
              <w:top w:val="nil"/>
              <w:left w:val="nil"/>
              <w:bottom w:val="nil"/>
              <w:right w:val="nil"/>
            </w:tcBorders>
            <w:shd w:val="clear" w:color="auto" w:fill="auto"/>
            <w:noWrap/>
            <w:vAlign w:val="center"/>
            <w:hideMark/>
          </w:tcPr>
          <w:p w14:paraId="7A93DFF4"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59</w:t>
            </w:r>
          </w:p>
        </w:tc>
        <w:tc>
          <w:tcPr>
            <w:tcW w:w="1843" w:type="dxa"/>
            <w:tcBorders>
              <w:top w:val="nil"/>
              <w:left w:val="nil"/>
              <w:bottom w:val="nil"/>
              <w:right w:val="nil"/>
            </w:tcBorders>
            <w:shd w:val="clear" w:color="auto" w:fill="auto"/>
            <w:noWrap/>
            <w:vAlign w:val="center"/>
            <w:hideMark/>
          </w:tcPr>
          <w:p w14:paraId="16038EFA"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09</w:t>
            </w:r>
          </w:p>
        </w:tc>
        <w:tc>
          <w:tcPr>
            <w:tcW w:w="1701" w:type="dxa"/>
            <w:tcBorders>
              <w:top w:val="nil"/>
              <w:left w:val="nil"/>
              <w:bottom w:val="nil"/>
              <w:right w:val="nil"/>
            </w:tcBorders>
            <w:vAlign w:val="center"/>
          </w:tcPr>
          <w:p w14:paraId="1FC4D654" w14:textId="0A873777" w:rsidR="00E44119" w:rsidRPr="00555058" w:rsidRDefault="00E44119" w:rsidP="00E44119">
            <w:pPr>
              <w:jc w:val="center"/>
              <w:rPr>
                <w:sz w:val="20"/>
                <w:szCs w:val="20"/>
                <w:lang w:eastAsia="en-GB"/>
              </w:rPr>
            </w:pPr>
            <w:r w:rsidRPr="00555058">
              <w:rPr>
                <w:sz w:val="20"/>
                <w:szCs w:val="20"/>
                <w:lang w:eastAsia="en-GB"/>
              </w:rPr>
              <w:t>6</w:t>
            </w:r>
          </w:p>
        </w:tc>
        <w:tc>
          <w:tcPr>
            <w:tcW w:w="1801" w:type="dxa"/>
            <w:tcBorders>
              <w:top w:val="nil"/>
              <w:left w:val="nil"/>
              <w:bottom w:val="nil"/>
              <w:right w:val="nil"/>
            </w:tcBorders>
            <w:shd w:val="clear" w:color="auto" w:fill="auto"/>
            <w:noWrap/>
            <w:vAlign w:val="center"/>
            <w:hideMark/>
          </w:tcPr>
          <w:p w14:paraId="2190BFB3" w14:textId="2A1C39C9" w:rsidR="00E44119" w:rsidRPr="00555058" w:rsidRDefault="00E44119" w:rsidP="00E44119">
            <w:pPr>
              <w:jc w:val="center"/>
              <w:rPr>
                <w:sz w:val="20"/>
                <w:szCs w:val="20"/>
                <w:lang w:eastAsia="en-GB"/>
              </w:rPr>
            </w:pPr>
            <w:r w:rsidRPr="00555058">
              <w:rPr>
                <w:sz w:val="20"/>
                <w:szCs w:val="20"/>
                <w:lang w:eastAsia="en-GB"/>
              </w:rPr>
              <w:t>1</w:t>
            </w:r>
          </w:p>
        </w:tc>
        <w:tc>
          <w:tcPr>
            <w:tcW w:w="1649" w:type="dxa"/>
            <w:gridSpan w:val="2"/>
            <w:tcBorders>
              <w:top w:val="nil"/>
              <w:left w:val="nil"/>
              <w:bottom w:val="nil"/>
              <w:right w:val="nil"/>
            </w:tcBorders>
            <w:shd w:val="clear" w:color="auto" w:fill="auto"/>
            <w:noWrap/>
            <w:vAlign w:val="center"/>
            <w:hideMark/>
          </w:tcPr>
          <w:p w14:paraId="10F4556C" w14:textId="77777777" w:rsidR="00E44119" w:rsidRPr="00555058" w:rsidRDefault="00E44119" w:rsidP="00E44119">
            <w:pPr>
              <w:jc w:val="center"/>
              <w:rPr>
                <w:sz w:val="20"/>
                <w:szCs w:val="20"/>
                <w:lang w:eastAsia="en-GB"/>
              </w:rPr>
            </w:pPr>
            <w:r w:rsidRPr="00555058">
              <w:rPr>
                <w:sz w:val="20"/>
                <w:szCs w:val="20"/>
                <w:lang w:eastAsia="en-GB"/>
              </w:rPr>
              <w:t>5</w:t>
            </w:r>
          </w:p>
        </w:tc>
      </w:tr>
      <w:tr w:rsidR="00E44119" w:rsidRPr="00555058" w14:paraId="1B8CB486" w14:textId="77777777" w:rsidTr="001D64DC">
        <w:trPr>
          <w:trHeight w:val="320"/>
        </w:trPr>
        <w:tc>
          <w:tcPr>
            <w:tcW w:w="1532" w:type="dxa"/>
            <w:tcBorders>
              <w:top w:val="nil"/>
              <w:left w:val="nil"/>
              <w:bottom w:val="nil"/>
              <w:right w:val="nil"/>
            </w:tcBorders>
            <w:shd w:val="clear" w:color="auto" w:fill="auto"/>
            <w:noWrap/>
            <w:vAlign w:val="center"/>
            <w:hideMark/>
          </w:tcPr>
          <w:p w14:paraId="5F5925CB" w14:textId="77777777" w:rsidR="00E44119" w:rsidRPr="00555058" w:rsidRDefault="00E44119" w:rsidP="00E44119">
            <w:pPr>
              <w:rPr>
                <w:sz w:val="20"/>
                <w:szCs w:val="20"/>
                <w:lang w:eastAsia="en-GB"/>
              </w:rPr>
            </w:pPr>
            <w:proofErr w:type="spellStart"/>
            <w:r w:rsidRPr="00555058">
              <w:rPr>
                <w:sz w:val="20"/>
                <w:szCs w:val="20"/>
                <w:lang w:eastAsia="en-GB"/>
              </w:rPr>
              <w:t>Latvia</w:t>
            </w:r>
            <w:proofErr w:type="spellEnd"/>
          </w:p>
        </w:tc>
        <w:tc>
          <w:tcPr>
            <w:tcW w:w="736" w:type="dxa"/>
            <w:tcBorders>
              <w:top w:val="nil"/>
              <w:left w:val="nil"/>
              <w:bottom w:val="nil"/>
              <w:right w:val="nil"/>
            </w:tcBorders>
            <w:shd w:val="clear" w:color="auto" w:fill="auto"/>
            <w:noWrap/>
            <w:vAlign w:val="center"/>
            <w:hideMark/>
          </w:tcPr>
          <w:p w14:paraId="7A0BB41C" w14:textId="77777777" w:rsidR="00E44119" w:rsidRPr="00555058" w:rsidRDefault="00E44119" w:rsidP="00E44119">
            <w:pPr>
              <w:jc w:val="center"/>
              <w:rPr>
                <w:sz w:val="20"/>
                <w:szCs w:val="20"/>
                <w:lang w:eastAsia="en-GB"/>
              </w:rPr>
            </w:pPr>
            <w:r w:rsidRPr="00555058">
              <w:rPr>
                <w:sz w:val="20"/>
                <w:szCs w:val="20"/>
                <w:lang w:eastAsia="en-GB"/>
              </w:rPr>
              <w:t>1990</w:t>
            </w:r>
          </w:p>
        </w:tc>
        <w:tc>
          <w:tcPr>
            <w:tcW w:w="709" w:type="dxa"/>
            <w:tcBorders>
              <w:top w:val="nil"/>
              <w:left w:val="nil"/>
              <w:bottom w:val="nil"/>
              <w:right w:val="nil"/>
            </w:tcBorders>
            <w:shd w:val="clear" w:color="auto" w:fill="auto"/>
            <w:noWrap/>
            <w:vAlign w:val="center"/>
            <w:hideMark/>
          </w:tcPr>
          <w:p w14:paraId="2E098E6F" w14:textId="77777777" w:rsidR="00E44119" w:rsidRPr="00555058" w:rsidRDefault="00E44119" w:rsidP="00E44119">
            <w:pPr>
              <w:jc w:val="center"/>
              <w:rPr>
                <w:sz w:val="20"/>
                <w:szCs w:val="20"/>
                <w:lang w:eastAsia="en-GB"/>
              </w:rPr>
            </w:pPr>
            <w:r w:rsidRPr="00555058">
              <w:rPr>
                <w:sz w:val="20"/>
                <w:szCs w:val="20"/>
                <w:lang w:eastAsia="en-GB"/>
              </w:rPr>
              <w:t>2014</w:t>
            </w:r>
          </w:p>
        </w:tc>
        <w:tc>
          <w:tcPr>
            <w:tcW w:w="1134" w:type="dxa"/>
            <w:tcBorders>
              <w:top w:val="nil"/>
              <w:left w:val="nil"/>
              <w:bottom w:val="nil"/>
              <w:right w:val="nil"/>
            </w:tcBorders>
            <w:shd w:val="clear" w:color="auto" w:fill="auto"/>
            <w:noWrap/>
            <w:vAlign w:val="center"/>
            <w:hideMark/>
          </w:tcPr>
          <w:p w14:paraId="3FAA0055" w14:textId="77777777" w:rsidR="00E44119" w:rsidRPr="00555058" w:rsidRDefault="00E44119" w:rsidP="00E44119">
            <w:pPr>
              <w:jc w:val="center"/>
              <w:rPr>
                <w:sz w:val="20"/>
                <w:szCs w:val="20"/>
                <w:lang w:eastAsia="en-GB"/>
              </w:rPr>
            </w:pPr>
            <w:r w:rsidRPr="00555058">
              <w:rPr>
                <w:sz w:val="20"/>
                <w:szCs w:val="20"/>
                <w:lang w:eastAsia="en-GB"/>
              </w:rPr>
              <w:t>9</w:t>
            </w:r>
          </w:p>
        </w:tc>
        <w:tc>
          <w:tcPr>
            <w:tcW w:w="851" w:type="dxa"/>
            <w:tcBorders>
              <w:top w:val="nil"/>
              <w:left w:val="nil"/>
              <w:bottom w:val="nil"/>
              <w:right w:val="nil"/>
            </w:tcBorders>
            <w:shd w:val="clear" w:color="auto" w:fill="auto"/>
            <w:noWrap/>
            <w:vAlign w:val="center"/>
            <w:hideMark/>
          </w:tcPr>
          <w:p w14:paraId="77DB85B5" w14:textId="77777777" w:rsidR="00E44119" w:rsidRPr="00555058" w:rsidRDefault="00E44119" w:rsidP="00E44119">
            <w:pPr>
              <w:jc w:val="center"/>
              <w:rPr>
                <w:sz w:val="20"/>
                <w:szCs w:val="20"/>
                <w:lang w:eastAsia="en-GB"/>
              </w:rPr>
            </w:pPr>
            <w:r w:rsidRPr="00555058">
              <w:rPr>
                <w:sz w:val="20"/>
                <w:szCs w:val="20"/>
                <w:lang w:eastAsia="en-GB"/>
              </w:rPr>
              <w:t>20</w:t>
            </w:r>
          </w:p>
        </w:tc>
        <w:tc>
          <w:tcPr>
            <w:tcW w:w="1984" w:type="dxa"/>
            <w:tcBorders>
              <w:top w:val="nil"/>
              <w:left w:val="nil"/>
              <w:bottom w:val="nil"/>
              <w:right w:val="nil"/>
            </w:tcBorders>
            <w:shd w:val="clear" w:color="auto" w:fill="auto"/>
            <w:noWrap/>
            <w:vAlign w:val="center"/>
            <w:hideMark/>
          </w:tcPr>
          <w:p w14:paraId="3BA55FE0"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78</w:t>
            </w:r>
          </w:p>
        </w:tc>
        <w:tc>
          <w:tcPr>
            <w:tcW w:w="1843" w:type="dxa"/>
            <w:tcBorders>
              <w:top w:val="nil"/>
              <w:left w:val="nil"/>
              <w:bottom w:val="nil"/>
              <w:right w:val="nil"/>
            </w:tcBorders>
            <w:shd w:val="clear" w:color="auto" w:fill="auto"/>
            <w:noWrap/>
            <w:vAlign w:val="center"/>
            <w:hideMark/>
          </w:tcPr>
          <w:p w14:paraId="525BD63C"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30</w:t>
            </w:r>
          </w:p>
        </w:tc>
        <w:tc>
          <w:tcPr>
            <w:tcW w:w="1701" w:type="dxa"/>
            <w:tcBorders>
              <w:top w:val="nil"/>
              <w:left w:val="nil"/>
              <w:bottom w:val="nil"/>
              <w:right w:val="nil"/>
            </w:tcBorders>
            <w:vAlign w:val="center"/>
          </w:tcPr>
          <w:p w14:paraId="242F5103" w14:textId="006783B6"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2836AF0A" w14:textId="45D239DF" w:rsidR="00E44119" w:rsidRPr="00555058" w:rsidRDefault="00E44119" w:rsidP="00E44119">
            <w:pPr>
              <w:jc w:val="center"/>
              <w:rPr>
                <w:sz w:val="20"/>
                <w:szCs w:val="20"/>
                <w:lang w:eastAsia="en-GB"/>
              </w:rPr>
            </w:pPr>
            <w:r w:rsidRPr="00555058">
              <w:rPr>
                <w:sz w:val="20"/>
                <w:szCs w:val="20"/>
                <w:lang w:eastAsia="en-GB"/>
              </w:rPr>
              <w:t>3</w:t>
            </w:r>
          </w:p>
        </w:tc>
        <w:tc>
          <w:tcPr>
            <w:tcW w:w="1649" w:type="dxa"/>
            <w:gridSpan w:val="2"/>
            <w:tcBorders>
              <w:top w:val="nil"/>
              <w:left w:val="nil"/>
              <w:bottom w:val="nil"/>
              <w:right w:val="nil"/>
            </w:tcBorders>
            <w:shd w:val="clear" w:color="auto" w:fill="auto"/>
            <w:noWrap/>
            <w:vAlign w:val="center"/>
            <w:hideMark/>
          </w:tcPr>
          <w:p w14:paraId="100499CB" w14:textId="77777777" w:rsidR="00E44119" w:rsidRPr="00555058" w:rsidRDefault="00E44119" w:rsidP="00E44119">
            <w:pPr>
              <w:jc w:val="center"/>
              <w:rPr>
                <w:sz w:val="20"/>
                <w:szCs w:val="20"/>
                <w:lang w:eastAsia="en-GB"/>
              </w:rPr>
            </w:pPr>
            <w:r w:rsidRPr="00555058">
              <w:rPr>
                <w:sz w:val="20"/>
                <w:szCs w:val="20"/>
                <w:lang w:eastAsia="en-GB"/>
              </w:rPr>
              <w:t>18</w:t>
            </w:r>
          </w:p>
        </w:tc>
      </w:tr>
      <w:tr w:rsidR="00E44119" w:rsidRPr="00555058" w14:paraId="3262B5A8" w14:textId="77777777" w:rsidTr="001D64DC">
        <w:trPr>
          <w:trHeight w:val="320"/>
        </w:trPr>
        <w:tc>
          <w:tcPr>
            <w:tcW w:w="1532" w:type="dxa"/>
            <w:tcBorders>
              <w:top w:val="nil"/>
              <w:left w:val="nil"/>
              <w:bottom w:val="nil"/>
              <w:right w:val="nil"/>
            </w:tcBorders>
            <w:shd w:val="clear" w:color="auto" w:fill="auto"/>
            <w:noWrap/>
            <w:vAlign w:val="center"/>
            <w:hideMark/>
          </w:tcPr>
          <w:p w14:paraId="7FF63FDC" w14:textId="77777777" w:rsidR="00E44119" w:rsidRPr="00555058" w:rsidRDefault="00E44119" w:rsidP="00E44119">
            <w:pPr>
              <w:rPr>
                <w:sz w:val="20"/>
                <w:szCs w:val="20"/>
                <w:lang w:eastAsia="en-GB"/>
              </w:rPr>
            </w:pPr>
            <w:proofErr w:type="spellStart"/>
            <w:r w:rsidRPr="00555058">
              <w:rPr>
                <w:sz w:val="20"/>
                <w:szCs w:val="20"/>
                <w:lang w:eastAsia="en-GB"/>
              </w:rPr>
              <w:t>Italy</w:t>
            </w:r>
            <w:proofErr w:type="spellEnd"/>
          </w:p>
        </w:tc>
        <w:tc>
          <w:tcPr>
            <w:tcW w:w="736" w:type="dxa"/>
            <w:tcBorders>
              <w:top w:val="nil"/>
              <w:left w:val="nil"/>
              <w:bottom w:val="nil"/>
              <w:right w:val="nil"/>
            </w:tcBorders>
            <w:shd w:val="clear" w:color="auto" w:fill="auto"/>
            <w:noWrap/>
            <w:vAlign w:val="center"/>
            <w:hideMark/>
          </w:tcPr>
          <w:p w14:paraId="24FCCA31" w14:textId="77777777" w:rsidR="00E44119" w:rsidRPr="00555058" w:rsidRDefault="00E44119" w:rsidP="00E44119">
            <w:pPr>
              <w:jc w:val="center"/>
              <w:rPr>
                <w:sz w:val="20"/>
                <w:szCs w:val="20"/>
                <w:lang w:eastAsia="en-GB"/>
              </w:rPr>
            </w:pPr>
            <w:r w:rsidRPr="00555058">
              <w:rPr>
                <w:sz w:val="20"/>
                <w:szCs w:val="20"/>
                <w:lang w:eastAsia="en-GB"/>
              </w:rPr>
              <w:t>1946</w:t>
            </w:r>
          </w:p>
        </w:tc>
        <w:tc>
          <w:tcPr>
            <w:tcW w:w="709" w:type="dxa"/>
            <w:tcBorders>
              <w:top w:val="nil"/>
              <w:left w:val="nil"/>
              <w:bottom w:val="nil"/>
              <w:right w:val="nil"/>
            </w:tcBorders>
            <w:shd w:val="clear" w:color="auto" w:fill="auto"/>
            <w:noWrap/>
            <w:vAlign w:val="center"/>
            <w:hideMark/>
          </w:tcPr>
          <w:p w14:paraId="10E5899A" w14:textId="77777777" w:rsidR="00E44119" w:rsidRPr="00555058" w:rsidRDefault="00E44119" w:rsidP="00E44119">
            <w:pPr>
              <w:jc w:val="center"/>
              <w:rPr>
                <w:sz w:val="20"/>
                <w:szCs w:val="20"/>
                <w:lang w:eastAsia="en-GB"/>
              </w:rPr>
            </w:pPr>
            <w:r w:rsidRPr="00555058">
              <w:rPr>
                <w:sz w:val="20"/>
                <w:szCs w:val="20"/>
                <w:lang w:eastAsia="en-GB"/>
              </w:rPr>
              <w:t>2013</w:t>
            </w:r>
          </w:p>
        </w:tc>
        <w:tc>
          <w:tcPr>
            <w:tcW w:w="1134" w:type="dxa"/>
            <w:tcBorders>
              <w:top w:val="nil"/>
              <w:left w:val="nil"/>
              <w:bottom w:val="nil"/>
              <w:right w:val="nil"/>
            </w:tcBorders>
            <w:shd w:val="clear" w:color="auto" w:fill="auto"/>
            <w:noWrap/>
            <w:vAlign w:val="center"/>
            <w:hideMark/>
          </w:tcPr>
          <w:p w14:paraId="50DC9D94" w14:textId="77777777" w:rsidR="00E44119" w:rsidRPr="00555058" w:rsidRDefault="00E44119" w:rsidP="00E44119">
            <w:pPr>
              <w:jc w:val="center"/>
              <w:rPr>
                <w:sz w:val="20"/>
                <w:szCs w:val="20"/>
                <w:lang w:eastAsia="en-GB"/>
              </w:rPr>
            </w:pPr>
            <w:r w:rsidRPr="00555058">
              <w:rPr>
                <w:sz w:val="20"/>
                <w:szCs w:val="20"/>
                <w:lang w:eastAsia="en-GB"/>
              </w:rPr>
              <w:t>18</w:t>
            </w:r>
          </w:p>
        </w:tc>
        <w:tc>
          <w:tcPr>
            <w:tcW w:w="851" w:type="dxa"/>
            <w:tcBorders>
              <w:top w:val="nil"/>
              <w:left w:val="nil"/>
              <w:bottom w:val="nil"/>
              <w:right w:val="nil"/>
            </w:tcBorders>
            <w:shd w:val="clear" w:color="auto" w:fill="auto"/>
            <w:noWrap/>
            <w:vAlign w:val="center"/>
            <w:hideMark/>
          </w:tcPr>
          <w:p w14:paraId="3A961F4B" w14:textId="77777777" w:rsidR="00E44119" w:rsidRPr="00555058" w:rsidRDefault="00E44119" w:rsidP="00E44119">
            <w:pPr>
              <w:jc w:val="center"/>
              <w:rPr>
                <w:sz w:val="20"/>
                <w:szCs w:val="20"/>
                <w:lang w:eastAsia="en-GB"/>
              </w:rPr>
            </w:pPr>
            <w:r w:rsidRPr="00555058">
              <w:rPr>
                <w:sz w:val="20"/>
                <w:szCs w:val="20"/>
                <w:lang w:eastAsia="en-GB"/>
              </w:rPr>
              <w:t>19</w:t>
            </w:r>
          </w:p>
        </w:tc>
        <w:tc>
          <w:tcPr>
            <w:tcW w:w="1984" w:type="dxa"/>
            <w:tcBorders>
              <w:top w:val="nil"/>
              <w:left w:val="nil"/>
              <w:bottom w:val="nil"/>
              <w:right w:val="nil"/>
            </w:tcBorders>
            <w:shd w:val="clear" w:color="auto" w:fill="auto"/>
            <w:noWrap/>
            <w:vAlign w:val="center"/>
            <w:hideMark/>
          </w:tcPr>
          <w:p w14:paraId="2C3B42A2"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44</w:t>
            </w:r>
          </w:p>
        </w:tc>
        <w:tc>
          <w:tcPr>
            <w:tcW w:w="1843" w:type="dxa"/>
            <w:tcBorders>
              <w:top w:val="nil"/>
              <w:left w:val="nil"/>
              <w:bottom w:val="nil"/>
              <w:right w:val="nil"/>
            </w:tcBorders>
            <w:shd w:val="clear" w:color="auto" w:fill="auto"/>
            <w:noWrap/>
            <w:vAlign w:val="center"/>
            <w:hideMark/>
          </w:tcPr>
          <w:p w14:paraId="78781824"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32</w:t>
            </w:r>
          </w:p>
        </w:tc>
        <w:tc>
          <w:tcPr>
            <w:tcW w:w="1701" w:type="dxa"/>
            <w:tcBorders>
              <w:top w:val="nil"/>
              <w:left w:val="nil"/>
              <w:bottom w:val="nil"/>
              <w:right w:val="nil"/>
            </w:tcBorders>
            <w:vAlign w:val="center"/>
          </w:tcPr>
          <w:p w14:paraId="2E047F5C" w14:textId="1E34886E" w:rsidR="00E44119" w:rsidRPr="00555058" w:rsidRDefault="00E44119" w:rsidP="00E44119">
            <w:pPr>
              <w:jc w:val="center"/>
              <w:rPr>
                <w:sz w:val="20"/>
                <w:szCs w:val="20"/>
                <w:lang w:eastAsia="en-GB"/>
              </w:rPr>
            </w:pPr>
            <w:r w:rsidRPr="00555058">
              <w:rPr>
                <w:sz w:val="20"/>
                <w:szCs w:val="20"/>
                <w:lang w:eastAsia="en-GB"/>
              </w:rPr>
              <w:t>5</w:t>
            </w:r>
          </w:p>
        </w:tc>
        <w:tc>
          <w:tcPr>
            <w:tcW w:w="1801" w:type="dxa"/>
            <w:tcBorders>
              <w:top w:val="nil"/>
              <w:left w:val="nil"/>
              <w:bottom w:val="nil"/>
              <w:right w:val="nil"/>
            </w:tcBorders>
            <w:shd w:val="clear" w:color="auto" w:fill="auto"/>
            <w:noWrap/>
            <w:vAlign w:val="center"/>
            <w:hideMark/>
          </w:tcPr>
          <w:p w14:paraId="32430E5F" w14:textId="68151C66" w:rsidR="00E44119" w:rsidRPr="00555058" w:rsidRDefault="00E44119" w:rsidP="00E44119">
            <w:pPr>
              <w:jc w:val="center"/>
              <w:rPr>
                <w:sz w:val="20"/>
                <w:szCs w:val="20"/>
                <w:lang w:eastAsia="en-GB"/>
              </w:rPr>
            </w:pPr>
            <w:r w:rsidRPr="00555058">
              <w:rPr>
                <w:sz w:val="20"/>
                <w:szCs w:val="20"/>
                <w:lang w:eastAsia="en-GB"/>
              </w:rPr>
              <w:t>2</w:t>
            </w:r>
          </w:p>
        </w:tc>
        <w:tc>
          <w:tcPr>
            <w:tcW w:w="1649" w:type="dxa"/>
            <w:gridSpan w:val="2"/>
            <w:tcBorders>
              <w:top w:val="nil"/>
              <w:left w:val="nil"/>
              <w:bottom w:val="nil"/>
              <w:right w:val="nil"/>
            </w:tcBorders>
            <w:shd w:val="clear" w:color="auto" w:fill="auto"/>
            <w:noWrap/>
            <w:vAlign w:val="center"/>
            <w:hideMark/>
          </w:tcPr>
          <w:p w14:paraId="61206229" w14:textId="77777777" w:rsidR="00E44119" w:rsidRPr="00555058" w:rsidRDefault="00E44119" w:rsidP="00E44119">
            <w:pPr>
              <w:jc w:val="center"/>
              <w:rPr>
                <w:sz w:val="20"/>
                <w:szCs w:val="20"/>
                <w:lang w:eastAsia="en-GB"/>
              </w:rPr>
            </w:pPr>
            <w:r w:rsidRPr="00555058">
              <w:rPr>
                <w:sz w:val="20"/>
                <w:szCs w:val="20"/>
                <w:lang w:eastAsia="en-GB"/>
              </w:rPr>
              <w:t>13</w:t>
            </w:r>
          </w:p>
        </w:tc>
      </w:tr>
      <w:tr w:rsidR="00E44119" w:rsidRPr="00555058" w14:paraId="0680CD7A" w14:textId="77777777" w:rsidTr="001D64DC">
        <w:trPr>
          <w:trHeight w:val="320"/>
        </w:trPr>
        <w:tc>
          <w:tcPr>
            <w:tcW w:w="1532" w:type="dxa"/>
            <w:tcBorders>
              <w:top w:val="nil"/>
              <w:left w:val="nil"/>
              <w:bottom w:val="nil"/>
              <w:right w:val="nil"/>
            </w:tcBorders>
            <w:shd w:val="clear" w:color="auto" w:fill="auto"/>
            <w:noWrap/>
            <w:vAlign w:val="center"/>
            <w:hideMark/>
          </w:tcPr>
          <w:p w14:paraId="0FDFC40D" w14:textId="77777777" w:rsidR="00E44119" w:rsidRPr="00555058" w:rsidRDefault="00E44119" w:rsidP="00E44119">
            <w:pPr>
              <w:rPr>
                <w:sz w:val="20"/>
                <w:szCs w:val="20"/>
                <w:lang w:eastAsia="en-GB"/>
              </w:rPr>
            </w:pPr>
            <w:r w:rsidRPr="00555058">
              <w:rPr>
                <w:sz w:val="20"/>
                <w:szCs w:val="20"/>
                <w:lang w:eastAsia="en-GB"/>
              </w:rPr>
              <w:t>Portugal</w:t>
            </w:r>
          </w:p>
        </w:tc>
        <w:tc>
          <w:tcPr>
            <w:tcW w:w="736" w:type="dxa"/>
            <w:tcBorders>
              <w:top w:val="nil"/>
              <w:left w:val="nil"/>
              <w:bottom w:val="nil"/>
              <w:right w:val="nil"/>
            </w:tcBorders>
            <w:shd w:val="clear" w:color="auto" w:fill="auto"/>
            <w:noWrap/>
            <w:vAlign w:val="center"/>
            <w:hideMark/>
          </w:tcPr>
          <w:p w14:paraId="1670EE48" w14:textId="77777777" w:rsidR="00E44119" w:rsidRPr="00555058" w:rsidRDefault="00E44119" w:rsidP="00E44119">
            <w:pPr>
              <w:jc w:val="center"/>
              <w:rPr>
                <w:sz w:val="20"/>
                <w:szCs w:val="20"/>
                <w:lang w:eastAsia="en-GB"/>
              </w:rPr>
            </w:pPr>
            <w:r w:rsidRPr="00555058">
              <w:rPr>
                <w:sz w:val="20"/>
                <w:szCs w:val="20"/>
                <w:lang w:eastAsia="en-GB"/>
              </w:rPr>
              <w:t>1975</w:t>
            </w:r>
          </w:p>
        </w:tc>
        <w:tc>
          <w:tcPr>
            <w:tcW w:w="709" w:type="dxa"/>
            <w:tcBorders>
              <w:top w:val="nil"/>
              <w:left w:val="nil"/>
              <w:bottom w:val="nil"/>
              <w:right w:val="nil"/>
            </w:tcBorders>
            <w:shd w:val="clear" w:color="auto" w:fill="auto"/>
            <w:noWrap/>
            <w:vAlign w:val="center"/>
            <w:hideMark/>
          </w:tcPr>
          <w:p w14:paraId="0572058B" w14:textId="77777777" w:rsidR="00E44119" w:rsidRPr="00555058" w:rsidRDefault="00E44119" w:rsidP="00E44119">
            <w:pPr>
              <w:jc w:val="center"/>
              <w:rPr>
                <w:sz w:val="20"/>
                <w:szCs w:val="20"/>
                <w:lang w:eastAsia="en-GB"/>
              </w:rPr>
            </w:pPr>
            <w:r w:rsidRPr="00555058">
              <w:rPr>
                <w:sz w:val="20"/>
                <w:szCs w:val="20"/>
                <w:lang w:eastAsia="en-GB"/>
              </w:rPr>
              <w:t>2015</w:t>
            </w:r>
          </w:p>
        </w:tc>
        <w:tc>
          <w:tcPr>
            <w:tcW w:w="1134" w:type="dxa"/>
            <w:tcBorders>
              <w:top w:val="nil"/>
              <w:left w:val="nil"/>
              <w:bottom w:val="nil"/>
              <w:right w:val="nil"/>
            </w:tcBorders>
            <w:shd w:val="clear" w:color="auto" w:fill="auto"/>
            <w:noWrap/>
            <w:vAlign w:val="center"/>
            <w:hideMark/>
          </w:tcPr>
          <w:p w14:paraId="024B609E" w14:textId="77777777" w:rsidR="00E44119" w:rsidRPr="00555058" w:rsidRDefault="00E44119" w:rsidP="00E44119">
            <w:pPr>
              <w:jc w:val="center"/>
              <w:rPr>
                <w:sz w:val="20"/>
                <w:szCs w:val="20"/>
                <w:lang w:eastAsia="en-GB"/>
              </w:rPr>
            </w:pPr>
            <w:r w:rsidRPr="00555058">
              <w:rPr>
                <w:sz w:val="20"/>
                <w:szCs w:val="20"/>
                <w:lang w:eastAsia="en-GB"/>
              </w:rPr>
              <w:t>15</w:t>
            </w:r>
          </w:p>
        </w:tc>
        <w:tc>
          <w:tcPr>
            <w:tcW w:w="851" w:type="dxa"/>
            <w:tcBorders>
              <w:top w:val="nil"/>
              <w:left w:val="nil"/>
              <w:bottom w:val="nil"/>
              <w:right w:val="nil"/>
            </w:tcBorders>
            <w:shd w:val="clear" w:color="auto" w:fill="auto"/>
            <w:noWrap/>
            <w:vAlign w:val="center"/>
            <w:hideMark/>
          </w:tcPr>
          <w:p w14:paraId="20C64CF1" w14:textId="77777777" w:rsidR="00E44119" w:rsidRPr="00555058" w:rsidRDefault="00E44119" w:rsidP="00E44119">
            <w:pPr>
              <w:jc w:val="center"/>
              <w:rPr>
                <w:sz w:val="20"/>
                <w:szCs w:val="20"/>
                <w:lang w:eastAsia="en-GB"/>
              </w:rPr>
            </w:pPr>
            <w:r w:rsidRPr="00555058">
              <w:rPr>
                <w:sz w:val="20"/>
                <w:szCs w:val="20"/>
                <w:lang w:eastAsia="en-GB"/>
              </w:rPr>
              <w:t>18</w:t>
            </w:r>
          </w:p>
        </w:tc>
        <w:tc>
          <w:tcPr>
            <w:tcW w:w="1984" w:type="dxa"/>
            <w:tcBorders>
              <w:top w:val="nil"/>
              <w:left w:val="nil"/>
              <w:bottom w:val="nil"/>
              <w:right w:val="nil"/>
            </w:tcBorders>
            <w:shd w:val="clear" w:color="auto" w:fill="auto"/>
            <w:noWrap/>
            <w:vAlign w:val="center"/>
            <w:hideMark/>
          </w:tcPr>
          <w:p w14:paraId="72826E3A"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80</w:t>
            </w:r>
          </w:p>
        </w:tc>
        <w:tc>
          <w:tcPr>
            <w:tcW w:w="1843" w:type="dxa"/>
            <w:tcBorders>
              <w:top w:val="nil"/>
              <w:left w:val="nil"/>
              <w:bottom w:val="nil"/>
              <w:right w:val="nil"/>
            </w:tcBorders>
            <w:shd w:val="clear" w:color="auto" w:fill="auto"/>
            <w:noWrap/>
            <w:vAlign w:val="center"/>
            <w:hideMark/>
          </w:tcPr>
          <w:p w14:paraId="10CB8C27"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21</w:t>
            </w:r>
          </w:p>
        </w:tc>
        <w:tc>
          <w:tcPr>
            <w:tcW w:w="1701" w:type="dxa"/>
            <w:tcBorders>
              <w:top w:val="nil"/>
              <w:left w:val="nil"/>
              <w:bottom w:val="nil"/>
              <w:right w:val="nil"/>
            </w:tcBorders>
            <w:vAlign w:val="center"/>
          </w:tcPr>
          <w:p w14:paraId="1B2156F2" w14:textId="606296FD"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6BCC68FD" w14:textId="54986E84" w:rsidR="00E44119" w:rsidRPr="00555058" w:rsidRDefault="00E44119" w:rsidP="00E44119">
            <w:pPr>
              <w:jc w:val="center"/>
              <w:rPr>
                <w:sz w:val="20"/>
                <w:szCs w:val="20"/>
                <w:lang w:eastAsia="en-GB"/>
              </w:rPr>
            </w:pPr>
            <w:r w:rsidRPr="00555058">
              <w:rPr>
                <w:sz w:val="20"/>
                <w:szCs w:val="20"/>
                <w:lang w:eastAsia="en-GB"/>
              </w:rPr>
              <w:t>1</w:t>
            </w:r>
          </w:p>
        </w:tc>
        <w:tc>
          <w:tcPr>
            <w:tcW w:w="1649" w:type="dxa"/>
            <w:gridSpan w:val="2"/>
            <w:tcBorders>
              <w:top w:val="nil"/>
              <w:left w:val="nil"/>
              <w:bottom w:val="nil"/>
              <w:right w:val="nil"/>
            </w:tcBorders>
            <w:shd w:val="clear" w:color="auto" w:fill="auto"/>
            <w:noWrap/>
            <w:vAlign w:val="center"/>
            <w:hideMark/>
          </w:tcPr>
          <w:p w14:paraId="2FE53075" w14:textId="77777777" w:rsidR="00E44119" w:rsidRPr="00555058" w:rsidRDefault="00E44119" w:rsidP="00E44119">
            <w:pPr>
              <w:jc w:val="center"/>
              <w:rPr>
                <w:sz w:val="20"/>
                <w:szCs w:val="20"/>
                <w:lang w:eastAsia="en-GB"/>
              </w:rPr>
            </w:pPr>
            <w:r w:rsidRPr="00555058">
              <w:rPr>
                <w:sz w:val="20"/>
                <w:szCs w:val="20"/>
                <w:lang w:eastAsia="en-GB"/>
              </w:rPr>
              <w:t>9</w:t>
            </w:r>
          </w:p>
        </w:tc>
      </w:tr>
      <w:tr w:rsidR="00E44119" w:rsidRPr="00555058" w14:paraId="2F7E5C73" w14:textId="77777777" w:rsidTr="001D64DC">
        <w:trPr>
          <w:trHeight w:val="320"/>
        </w:trPr>
        <w:tc>
          <w:tcPr>
            <w:tcW w:w="1532" w:type="dxa"/>
            <w:tcBorders>
              <w:top w:val="nil"/>
              <w:left w:val="nil"/>
              <w:bottom w:val="nil"/>
              <w:right w:val="nil"/>
            </w:tcBorders>
            <w:shd w:val="clear" w:color="auto" w:fill="auto"/>
            <w:noWrap/>
            <w:vAlign w:val="center"/>
            <w:hideMark/>
          </w:tcPr>
          <w:p w14:paraId="1657740D" w14:textId="77777777" w:rsidR="00E44119" w:rsidRPr="00555058" w:rsidRDefault="00E44119" w:rsidP="00E44119">
            <w:pPr>
              <w:rPr>
                <w:sz w:val="20"/>
                <w:szCs w:val="20"/>
                <w:lang w:eastAsia="en-GB"/>
              </w:rPr>
            </w:pPr>
            <w:r w:rsidRPr="00555058">
              <w:rPr>
                <w:sz w:val="20"/>
                <w:szCs w:val="20"/>
                <w:lang w:eastAsia="en-GB"/>
              </w:rPr>
              <w:t>Estonia</w:t>
            </w:r>
          </w:p>
        </w:tc>
        <w:tc>
          <w:tcPr>
            <w:tcW w:w="736" w:type="dxa"/>
            <w:tcBorders>
              <w:top w:val="nil"/>
              <w:left w:val="nil"/>
              <w:bottom w:val="nil"/>
              <w:right w:val="nil"/>
            </w:tcBorders>
            <w:shd w:val="clear" w:color="auto" w:fill="auto"/>
            <w:noWrap/>
            <w:vAlign w:val="center"/>
            <w:hideMark/>
          </w:tcPr>
          <w:p w14:paraId="340BC913" w14:textId="77777777" w:rsidR="00E44119" w:rsidRPr="00555058" w:rsidRDefault="00E44119" w:rsidP="00E44119">
            <w:pPr>
              <w:jc w:val="center"/>
              <w:rPr>
                <w:sz w:val="20"/>
                <w:szCs w:val="20"/>
                <w:lang w:eastAsia="en-GB"/>
              </w:rPr>
            </w:pPr>
            <w:r w:rsidRPr="00555058">
              <w:rPr>
                <w:sz w:val="20"/>
                <w:szCs w:val="20"/>
                <w:lang w:eastAsia="en-GB"/>
              </w:rPr>
              <w:t>1992</w:t>
            </w:r>
          </w:p>
        </w:tc>
        <w:tc>
          <w:tcPr>
            <w:tcW w:w="709" w:type="dxa"/>
            <w:tcBorders>
              <w:top w:val="nil"/>
              <w:left w:val="nil"/>
              <w:bottom w:val="nil"/>
              <w:right w:val="nil"/>
            </w:tcBorders>
            <w:shd w:val="clear" w:color="auto" w:fill="auto"/>
            <w:noWrap/>
            <w:vAlign w:val="center"/>
            <w:hideMark/>
          </w:tcPr>
          <w:p w14:paraId="432DBA24" w14:textId="77777777" w:rsidR="00E44119" w:rsidRPr="00555058" w:rsidRDefault="00E44119" w:rsidP="00E44119">
            <w:pPr>
              <w:jc w:val="center"/>
              <w:rPr>
                <w:sz w:val="20"/>
                <w:szCs w:val="20"/>
                <w:lang w:eastAsia="en-GB"/>
              </w:rPr>
            </w:pPr>
            <w:r w:rsidRPr="00555058">
              <w:rPr>
                <w:sz w:val="20"/>
                <w:szCs w:val="20"/>
                <w:lang w:eastAsia="en-GB"/>
              </w:rPr>
              <w:t>2015</w:t>
            </w:r>
          </w:p>
        </w:tc>
        <w:tc>
          <w:tcPr>
            <w:tcW w:w="1134" w:type="dxa"/>
            <w:tcBorders>
              <w:top w:val="nil"/>
              <w:left w:val="nil"/>
              <w:bottom w:val="nil"/>
              <w:right w:val="nil"/>
            </w:tcBorders>
            <w:shd w:val="clear" w:color="auto" w:fill="auto"/>
            <w:noWrap/>
            <w:vAlign w:val="center"/>
            <w:hideMark/>
          </w:tcPr>
          <w:p w14:paraId="4C4AC18E" w14:textId="77777777" w:rsidR="00E44119" w:rsidRPr="00555058" w:rsidRDefault="00E44119" w:rsidP="00E44119">
            <w:pPr>
              <w:jc w:val="center"/>
              <w:rPr>
                <w:sz w:val="20"/>
                <w:szCs w:val="20"/>
                <w:lang w:eastAsia="en-GB"/>
              </w:rPr>
            </w:pPr>
            <w:r w:rsidRPr="00555058">
              <w:rPr>
                <w:sz w:val="20"/>
                <w:szCs w:val="20"/>
                <w:lang w:eastAsia="en-GB"/>
              </w:rPr>
              <w:t>7</w:t>
            </w:r>
          </w:p>
        </w:tc>
        <w:tc>
          <w:tcPr>
            <w:tcW w:w="851" w:type="dxa"/>
            <w:tcBorders>
              <w:top w:val="nil"/>
              <w:left w:val="nil"/>
              <w:bottom w:val="nil"/>
              <w:right w:val="nil"/>
            </w:tcBorders>
            <w:shd w:val="clear" w:color="auto" w:fill="auto"/>
            <w:noWrap/>
            <w:vAlign w:val="center"/>
            <w:hideMark/>
          </w:tcPr>
          <w:p w14:paraId="6AF0538D" w14:textId="77777777" w:rsidR="00E44119" w:rsidRPr="00555058" w:rsidRDefault="00E44119" w:rsidP="00E44119">
            <w:pPr>
              <w:jc w:val="center"/>
              <w:rPr>
                <w:sz w:val="20"/>
                <w:szCs w:val="20"/>
                <w:lang w:eastAsia="en-GB"/>
              </w:rPr>
            </w:pPr>
            <w:r w:rsidRPr="00555058">
              <w:rPr>
                <w:sz w:val="20"/>
                <w:szCs w:val="20"/>
                <w:lang w:eastAsia="en-GB"/>
              </w:rPr>
              <w:t>16</w:t>
            </w:r>
          </w:p>
        </w:tc>
        <w:tc>
          <w:tcPr>
            <w:tcW w:w="1984" w:type="dxa"/>
            <w:tcBorders>
              <w:top w:val="nil"/>
              <w:left w:val="nil"/>
              <w:bottom w:val="nil"/>
              <w:right w:val="nil"/>
            </w:tcBorders>
            <w:shd w:val="clear" w:color="auto" w:fill="auto"/>
            <w:noWrap/>
            <w:vAlign w:val="center"/>
            <w:hideMark/>
          </w:tcPr>
          <w:p w14:paraId="20C248CD"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43</w:t>
            </w:r>
          </w:p>
        </w:tc>
        <w:tc>
          <w:tcPr>
            <w:tcW w:w="1843" w:type="dxa"/>
            <w:tcBorders>
              <w:top w:val="nil"/>
              <w:left w:val="nil"/>
              <w:bottom w:val="nil"/>
              <w:right w:val="nil"/>
            </w:tcBorders>
            <w:shd w:val="clear" w:color="auto" w:fill="auto"/>
            <w:noWrap/>
            <w:vAlign w:val="center"/>
            <w:hideMark/>
          </w:tcPr>
          <w:p w14:paraId="586FAE9F"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27</w:t>
            </w:r>
          </w:p>
        </w:tc>
        <w:tc>
          <w:tcPr>
            <w:tcW w:w="1701" w:type="dxa"/>
            <w:tcBorders>
              <w:top w:val="nil"/>
              <w:left w:val="nil"/>
              <w:bottom w:val="nil"/>
              <w:right w:val="nil"/>
            </w:tcBorders>
            <w:vAlign w:val="center"/>
          </w:tcPr>
          <w:p w14:paraId="5872DE5F" w14:textId="41474486"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4F8AF4E9" w14:textId="5714BE4B" w:rsidR="00E44119" w:rsidRPr="00555058" w:rsidRDefault="00E44119" w:rsidP="00E44119">
            <w:pPr>
              <w:jc w:val="center"/>
              <w:rPr>
                <w:sz w:val="20"/>
                <w:szCs w:val="20"/>
                <w:lang w:eastAsia="en-GB"/>
              </w:rPr>
            </w:pPr>
            <w:r w:rsidRPr="00555058">
              <w:rPr>
                <w:sz w:val="20"/>
                <w:szCs w:val="20"/>
                <w:lang w:eastAsia="en-GB"/>
              </w:rPr>
              <w:t>0</w:t>
            </w:r>
          </w:p>
        </w:tc>
        <w:tc>
          <w:tcPr>
            <w:tcW w:w="1649" w:type="dxa"/>
            <w:gridSpan w:val="2"/>
            <w:tcBorders>
              <w:top w:val="nil"/>
              <w:left w:val="nil"/>
              <w:bottom w:val="nil"/>
              <w:right w:val="nil"/>
            </w:tcBorders>
            <w:shd w:val="clear" w:color="auto" w:fill="auto"/>
            <w:noWrap/>
            <w:vAlign w:val="center"/>
            <w:hideMark/>
          </w:tcPr>
          <w:p w14:paraId="27597F88" w14:textId="77777777" w:rsidR="00E44119" w:rsidRPr="00555058" w:rsidRDefault="00E44119" w:rsidP="00E44119">
            <w:pPr>
              <w:jc w:val="center"/>
              <w:rPr>
                <w:sz w:val="20"/>
                <w:szCs w:val="20"/>
                <w:lang w:eastAsia="en-GB"/>
              </w:rPr>
            </w:pPr>
            <w:r w:rsidRPr="00555058">
              <w:rPr>
                <w:sz w:val="20"/>
                <w:szCs w:val="20"/>
                <w:lang w:eastAsia="en-GB"/>
              </w:rPr>
              <w:t>11</w:t>
            </w:r>
          </w:p>
        </w:tc>
      </w:tr>
      <w:tr w:rsidR="00E44119" w:rsidRPr="00555058" w14:paraId="43F47F8C" w14:textId="77777777" w:rsidTr="001D64DC">
        <w:trPr>
          <w:trHeight w:val="320"/>
        </w:trPr>
        <w:tc>
          <w:tcPr>
            <w:tcW w:w="1532" w:type="dxa"/>
            <w:tcBorders>
              <w:top w:val="nil"/>
              <w:left w:val="nil"/>
              <w:bottom w:val="nil"/>
              <w:right w:val="nil"/>
            </w:tcBorders>
            <w:shd w:val="clear" w:color="auto" w:fill="auto"/>
            <w:noWrap/>
            <w:vAlign w:val="center"/>
            <w:hideMark/>
          </w:tcPr>
          <w:p w14:paraId="1DAD6BAA" w14:textId="77777777" w:rsidR="00E44119" w:rsidRPr="00555058" w:rsidRDefault="00E44119" w:rsidP="00E44119">
            <w:pPr>
              <w:rPr>
                <w:sz w:val="20"/>
                <w:szCs w:val="20"/>
                <w:lang w:eastAsia="en-GB"/>
              </w:rPr>
            </w:pPr>
            <w:proofErr w:type="spellStart"/>
            <w:r w:rsidRPr="00555058">
              <w:rPr>
                <w:sz w:val="20"/>
                <w:szCs w:val="20"/>
                <w:lang w:eastAsia="en-GB"/>
              </w:rPr>
              <w:t>Norway</w:t>
            </w:r>
            <w:proofErr w:type="spellEnd"/>
          </w:p>
        </w:tc>
        <w:tc>
          <w:tcPr>
            <w:tcW w:w="736" w:type="dxa"/>
            <w:tcBorders>
              <w:top w:val="nil"/>
              <w:left w:val="nil"/>
              <w:bottom w:val="nil"/>
              <w:right w:val="nil"/>
            </w:tcBorders>
            <w:shd w:val="clear" w:color="auto" w:fill="auto"/>
            <w:noWrap/>
            <w:vAlign w:val="center"/>
            <w:hideMark/>
          </w:tcPr>
          <w:p w14:paraId="210821F7" w14:textId="77777777" w:rsidR="00E44119" w:rsidRPr="00555058" w:rsidRDefault="00E44119" w:rsidP="00E44119">
            <w:pPr>
              <w:jc w:val="center"/>
              <w:rPr>
                <w:sz w:val="20"/>
                <w:szCs w:val="20"/>
                <w:lang w:eastAsia="en-GB"/>
              </w:rPr>
            </w:pPr>
            <w:r w:rsidRPr="00555058">
              <w:rPr>
                <w:sz w:val="20"/>
                <w:szCs w:val="20"/>
                <w:lang w:eastAsia="en-GB"/>
              </w:rPr>
              <w:t>1945</w:t>
            </w:r>
          </w:p>
        </w:tc>
        <w:tc>
          <w:tcPr>
            <w:tcW w:w="709" w:type="dxa"/>
            <w:tcBorders>
              <w:top w:val="nil"/>
              <w:left w:val="nil"/>
              <w:bottom w:val="nil"/>
              <w:right w:val="nil"/>
            </w:tcBorders>
            <w:shd w:val="clear" w:color="auto" w:fill="auto"/>
            <w:noWrap/>
            <w:vAlign w:val="center"/>
            <w:hideMark/>
          </w:tcPr>
          <w:p w14:paraId="500BC5F7" w14:textId="77777777" w:rsidR="00E44119" w:rsidRPr="00555058" w:rsidRDefault="00E44119" w:rsidP="00E44119">
            <w:pPr>
              <w:jc w:val="center"/>
              <w:rPr>
                <w:sz w:val="20"/>
                <w:szCs w:val="20"/>
                <w:lang w:eastAsia="en-GB"/>
              </w:rPr>
            </w:pPr>
            <w:r w:rsidRPr="00555058">
              <w:rPr>
                <w:sz w:val="20"/>
                <w:szCs w:val="20"/>
                <w:lang w:eastAsia="en-GB"/>
              </w:rPr>
              <w:t>2013</w:t>
            </w:r>
          </w:p>
        </w:tc>
        <w:tc>
          <w:tcPr>
            <w:tcW w:w="1134" w:type="dxa"/>
            <w:tcBorders>
              <w:top w:val="nil"/>
              <w:left w:val="nil"/>
              <w:bottom w:val="nil"/>
              <w:right w:val="nil"/>
            </w:tcBorders>
            <w:shd w:val="clear" w:color="auto" w:fill="auto"/>
            <w:noWrap/>
            <w:vAlign w:val="center"/>
            <w:hideMark/>
          </w:tcPr>
          <w:p w14:paraId="6EB66846" w14:textId="77777777" w:rsidR="00E44119" w:rsidRPr="00555058" w:rsidRDefault="00E44119" w:rsidP="00E44119">
            <w:pPr>
              <w:jc w:val="center"/>
              <w:rPr>
                <w:sz w:val="20"/>
                <w:szCs w:val="20"/>
                <w:lang w:eastAsia="en-GB"/>
              </w:rPr>
            </w:pPr>
            <w:r w:rsidRPr="00555058">
              <w:rPr>
                <w:sz w:val="20"/>
                <w:szCs w:val="20"/>
                <w:lang w:eastAsia="en-GB"/>
              </w:rPr>
              <w:t>18</w:t>
            </w:r>
          </w:p>
        </w:tc>
        <w:tc>
          <w:tcPr>
            <w:tcW w:w="851" w:type="dxa"/>
            <w:tcBorders>
              <w:top w:val="nil"/>
              <w:left w:val="nil"/>
              <w:bottom w:val="nil"/>
              <w:right w:val="nil"/>
            </w:tcBorders>
            <w:shd w:val="clear" w:color="auto" w:fill="auto"/>
            <w:noWrap/>
            <w:vAlign w:val="center"/>
            <w:hideMark/>
          </w:tcPr>
          <w:p w14:paraId="66CB3392" w14:textId="77777777" w:rsidR="00E44119" w:rsidRPr="00555058" w:rsidRDefault="00E44119" w:rsidP="00E44119">
            <w:pPr>
              <w:jc w:val="center"/>
              <w:rPr>
                <w:sz w:val="20"/>
                <w:szCs w:val="20"/>
                <w:lang w:eastAsia="en-GB"/>
              </w:rPr>
            </w:pPr>
            <w:r w:rsidRPr="00555058">
              <w:rPr>
                <w:sz w:val="20"/>
                <w:szCs w:val="20"/>
                <w:lang w:eastAsia="en-GB"/>
              </w:rPr>
              <w:t>16</w:t>
            </w:r>
          </w:p>
        </w:tc>
        <w:tc>
          <w:tcPr>
            <w:tcW w:w="1984" w:type="dxa"/>
            <w:tcBorders>
              <w:top w:val="nil"/>
              <w:left w:val="nil"/>
              <w:bottom w:val="nil"/>
              <w:right w:val="nil"/>
            </w:tcBorders>
            <w:shd w:val="clear" w:color="auto" w:fill="auto"/>
            <w:noWrap/>
            <w:vAlign w:val="center"/>
            <w:hideMark/>
          </w:tcPr>
          <w:p w14:paraId="1C8668D8"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67</w:t>
            </w:r>
          </w:p>
        </w:tc>
        <w:tc>
          <w:tcPr>
            <w:tcW w:w="1843" w:type="dxa"/>
            <w:tcBorders>
              <w:top w:val="nil"/>
              <w:left w:val="nil"/>
              <w:bottom w:val="nil"/>
              <w:right w:val="nil"/>
            </w:tcBorders>
            <w:shd w:val="clear" w:color="auto" w:fill="auto"/>
            <w:noWrap/>
            <w:vAlign w:val="center"/>
            <w:hideMark/>
          </w:tcPr>
          <w:p w14:paraId="6B70E329"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32</w:t>
            </w:r>
          </w:p>
        </w:tc>
        <w:tc>
          <w:tcPr>
            <w:tcW w:w="1701" w:type="dxa"/>
            <w:tcBorders>
              <w:top w:val="nil"/>
              <w:left w:val="nil"/>
              <w:bottom w:val="nil"/>
              <w:right w:val="nil"/>
            </w:tcBorders>
            <w:vAlign w:val="center"/>
          </w:tcPr>
          <w:p w14:paraId="5EBB32CB" w14:textId="661C8FA3" w:rsidR="00E44119" w:rsidRPr="00555058" w:rsidRDefault="00E44119" w:rsidP="00E44119">
            <w:pPr>
              <w:jc w:val="center"/>
              <w:rPr>
                <w:sz w:val="20"/>
                <w:szCs w:val="20"/>
                <w:lang w:eastAsia="en-GB"/>
              </w:rPr>
            </w:pPr>
            <w:r w:rsidRPr="00555058">
              <w:rPr>
                <w:sz w:val="20"/>
                <w:szCs w:val="20"/>
                <w:lang w:eastAsia="en-GB"/>
              </w:rPr>
              <w:t>5</w:t>
            </w:r>
          </w:p>
        </w:tc>
        <w:tc>
          <w:tcPr>
            <w:tcW w:w="1801" w:type="dxa"/>
            <w:tcBorders>
              <w:top w:val="nil"/>
              <w:left w:val="nil"/>
              <w:bottom w:val="nil"/>
              <w:right w:val="nil"/>
            </w:tcBorders>
            <w:shd w:val="clear" w:color="auto" w:fill="auto"/>
            <w:noWrap/>
            <w:vAlign w:val="center"/>
            <w:hideMark/>
          </w:tcPr>
          <w:p w14:paraId="64C77AAD" w14:textId="79731385" w:rsidR="00E44119" w:rsidRPr="00555058" w:rsidRDefault="00E44119" w:rsidP="00E44119">
            <w:pPr>
              <w:jc w:val="center"/>
              <w:rPr>
                <w:sz w:val="20"/>
                <w:szCs w:val="20"/>
                <w:lang w:eastAsia="en-GB"/>
              </w:rPr>
            </w:pPr>
            <w:r w:rsidRPr="00555058">
              <w:rPr>
                <w:sz w:val="20"/>
                <w:szCs w:val="20"/>
                <w:lang w:eastAsia="en-GB"/>
              </w:rPr>
              <w:t>5</w:t>
            </w:r>
          </w:p>
        </w:tc>
        <w:tc>
          <w:tcPr>
            <w:tcW w:w="1649" w:type="dxa"/>
            <w:gridSpan w:val="2"/>
            <w:tcBorders>
              <w:top w:val="nil"/>
              <w:left w:val="nil"/>
              <w:bottom w:val="nil"/>
              <w:right w:val="nil"/>
            </w:tcBorders>
            <w:shd w:val="clear" w:color="auto" w:fill="auto"/>
            <w:noWrap/>
            <w:vAlign w:val="center"/>
            <w:hideMark/>
          </w:tcPr>
          <w:p w14:paraId="29C9F624" w14:textId="77777777" w:rsidR="00E44119" w:rsidRPr="00555058" w:rsidRDefault="00E44119" w:rsidP="00E44119">
            <w:pPr>
              <w:jc w:val="center"/>
              <w:rPr>
                <w:sz w:val="20"/>
                <w:szCs w:val="20"/>
                <w:lang w:eastAsia="en-GB"/>
              </w:rPr>
            </w:pPr>
            <w:r w:rsidRPr="00555058">
              <w:rPr>
                <w:sz w:val="20"/>
                <w:szCs w:val="20"/>
                <w:lang w:eastAsia="en-GB"/>
              </w:rPr>
              <w:t>5</w:t>
            </w:r>
          </w:p>
        </w:tc>
      </w:tr>
      <w:tr w:rsidR="00E44119" w:rsidRPr="00555058" w14:paraId="4A9843D5" w14:textId="77777777" w:rsidTr="001D64DC">
        <w:trPr>
          <w:trHeight w:val="320"/>
        </w:trPr>
        <w:tc>
          <w:tcPr>
            <w:tcW w:w="1532" w:type="dxa"/>
            <w:tcBorders>
              <w:top w:val="nil"/>
              <w:left w:val="nil"/>
              <w:bottom w:val="nil"/>
              <w:right w:val="nil"/>
            </w:tcBorders>
            <w:shd w:val="clear" w:color="auto" w:fill="auto"/>
            <w:noWrap/>
            <w:vAlign w:val="center"/>
            <w:hideMark/>
          </w:tcPr>
          <w:p w14:paraId="15CDE7BE" w14:textId="77777777" w:rsidR="00E44119" w:rsidRPr="00555058" w:rsidRDefault="00E44119" w:rsidP="00E44119">
            <w:pPr>
              <w:rPr>
                <w:sz w:val="20"/>
                <w:szCs w:val="20"/>
                <w:lang w:eastAsia="en-GB"/>
              </w:rPr>
            </w:pPr>
            <w:proofErr w:type="spellStart"/>
            <w:r w:rsidRPr="00555058">
              <w:rPr>
                <w:sz w:val="20"/>
                <w:szCs w:val="20"/>
                <w:lang w:eastAsia="en-GB"/>
              </w:rPr>
              <w:t>Poland</w:t>
            </w:r>
            <w:proofErr w:type="spellEnd"/>
          </w:p>
        </w:tc>
        <w:tc>
          <w:tcPr>
            <w:tcW w:w="736" w:type="dxa"/>
            <w:tcBorders>
              <w:top w:val="nil"/>
              <w:left w:val="nil"/>
              <w:bottom w:val="nil"/>
              <w:right w:val="nil"/>
            </w:tcBorders>
            <w:shd w:val="clear" w:color="auto" w:fill="auto"/>
            <w:noWrap/>
            <w:vAlign w:val="center"/>
            <w:hideMark/>
          </w:tcPr>
          <w:p w14:paraId="17401B40" w14:textId="77777777" w:rsidR="00E44119" w:rsidRPr="00555058" w:rsidRDefault="00E44119" w:rsidP="00E44119">
            <w:pPr>
              <w:jc w:val="center"/>
              <w:rPr>
                <w:sz w:val="20"/>
                <w:szCs w:val="20"/>
                <w:lang w:eastAsia="en-GB"/>
              </w:rPr>
            </w:pPr>
            <w:r w:rsidRPr="00555058">
              <w:rPr>
                <w:sz w:val="20"/>
                <w:szCs w:val="20"/>
                <w:lang w:eastAsia="en-GB"/>
              </w:rPr>
              <w:t>1989</w:t>
            </w:r>
          </w:p>
        </w:tc>
        <w:tc>
          <w:tcPr>
            <w:tcW w:w="709" w:type="dxa"/>
            <w:tcBorders>
              <w:top w:val="nil"/>
              <w:left w:val="nil"/>
              <w:bottom w:val="nil"/>
              <w:right w:val="nil"/>
            </w:tcBorders>
            <w:shd w:val="clear" w:color="auto" w:fill="auto"/>
            <w:noWrap/>
            <w:vAlign w:val="center"/>
            <w:hideMark/>
          </w:tcPr>
          <w:p w14:paraId="116214B5" w14:textId="77777777" w:rsidR="00E44119" w:rsidRPr="00555058" w:rsidRDefault="00E44119" w:rsidP="00E44119">
            <w:pPr>
              <w:jc w:val="center"/>
              <w:rPr>
                <w:sz w:val="20"/>
                <w:szCs w:val="20"/>
                <w:lang w:eastAsia="en-GB"/>
              </w:rPr>
            </w:pPr>
            <w:r w:rsidRPr="00555058">
              <w:rPr>
                <w:sz w:val="20"/>
                <w:szCs w:val="20"/>
                <w:lang w:eastAsia="en-GB"/>
              </w:rPr>
              <w:t>2015</w:t>
            </w:r>
          </w:p>
        </w:tc>
        <w:tc>
          <w:tcPr>
            <w:tcW w:w="1134" w:type="dxa"/>
            <w:tcBorders>
              <w:top w:val="nil"/>
              <w:left w:val="nil"/>
              <w:bottom w:val="nil"/>
              <w:right w:val="nil"/>
            </w:tcBorders>
            <w:shd w:val="clear" w:color="auto" w:fill="auto"/>
            <w:noWrap/>
            <w:vAlign w:val="center"/>
            <w:hideMark/>
          </w:tcPr>
          <w:p w14:paraId="7AC12EE7" w14:textId="77777777" w:rsidR="00E44119" w:rsidRPr="00555058" w:rsidRDefault="00E44119" w:rsidP="00E44119">
            <w:pPr>
              <w:jc w:val="center"/>
              <w:rPr>
                <w:sz w:val="20"/>
                <w:szCs w:val="20"/>
                <w:lang w:eastAsia="en-GB"/>
              </w:rPr>
            </w:pPr>
            <w:r w:rsidRPr="00555058">
              <w:rPr>
                <w:sz w:val="20"/>
                <w:szCs w:val="20"/>
                <w:lang w:eastAsia="en-GB"/>
              </w:rPr>
              <w:t>9</w:t>
            </w:r>
          </w:p>
        </w:tc>
        <w:tc>
          <w:tcPr>
            <w:tcW w:w="851" w:type="dxa"/>
            <w:tcBorders>
              <w:top w:val="nil"/>
              <w:left w:val="nil"/>
              <w:bottom w:val="nil"/>
              <w:right w:val="nil"/>
            </w:tcBorders>
            <w:shd w:val="clear" w:color="auto" w:fill="auto"/>
            <w:noWrap/>
            <w:vAlign w:val="center"/>
            <w:hideMark/>
          </w:tcPr>
          <w:p w14:paraId="60315B3D" w14:textId="77777777" w:rsidR="00E44119" w:rsidRPr="00555058" w:rsidRDefault="00E44119" w:rsidP="00E44119">
            <w:pPr>
              <w:jc w:val="center"/>
              <w:rPr>
                <w:sz w:val="20"/>
                <w:szCs w:val="20"/>
                <w:lang w:eastAsia="en-GB"/>
              </w:rPr>
            </w:pPr>
            <w:r w:rsidRPr="00555058">
              <w:rPr>
                <w:sz w:val="20"/>
                <w:szCs w:val="20"/>
                <w:lang w:eastAsia="en-GB"/>
              </w:rPr>
              <w:t>16</w:t>
            </w:r>
          </w:p>
        </w:tc>
        <w:tc>
          <w:tcPr>
            <w:tcW w:w="1984" w:type="dxa"/>
            <w:tcBorders>
              <w:top w:val="nil"/>
              <w:left w:val="nil"/>
              <w:bottom w:val="nil"/>
              <w:right w:val="nil"/>
            </w:tcBorders>
            <w:shd w:val="clear" w:color="auto" w:fill="auto"/>
            <w:noWrap/>
            <w:vAlign w:val="center"/>
            <w:hideMark/>
          </w:tcPr>
          <w:p w14:paraId="60860ECC"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78</w:t>
            </w:r>
          </w:p>
        </w:tc>
        <w:tc>
          <w:tcPr>
            <w:tcW w:w="1843" w:type="dxa"/>
            <w:tcBorders>
              <w:top w:val="nil"/>
              <w:left w:val="nil"/>
              <w:bottom w:val="nil"/>
              <w:right w:val="nil"/>
            </w:tcBorders>
            <w:shd w:val="clear" w:color="auto" w:fill="auto"/>
            <w:noWrap/>
            <w:vAlign w:val="center"/>
            <w:hideMark/>
          </w:tcPr>
          <w:p w14:paraId="11F28792"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32</w:t>
            </w:r>
          </w:p>
        </w:tc>
        <w:tc>
          <w:tcPr>
            <w:tcW w:w="1701" w:type="dxa"/>
            <w:tcBorders>
              <w:top w:val="nil"/>
              <w:left w:val="nil"/>
              <w:bottom w:val="nil"/>
              <w:right w:val="nil"/>
            </w:tcBorders>
            <w:vAlign w:val="center"/>
          </w:tcPr>
          <w:p w14:paraId="49AA1767" w14:textId="70BF3A93"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2047AF41" w14:textId="57505B1D" w:rsidR="00E44119" w:rsidRPr="00555058" w:rsidRDefault="00E44119" w:rsidP="00E44119">
            <w:pPr>
              <w:jc w:val="center"/>
              <w:rPr>
                <w:sz w:val="20"/>
                <w:szCs w:val="20"/>
                <w:lang w:eastAsia="en-GB"/>
              </w:rPr>
            </w:pPr>
            <w:r w:rsidRPr="00555058">
              <w:rPr>
                <w:sz w:val="20"/>
                <w:szCs w:val="20"/>
                <w:lang w:eastAsia="en-GB"/>
              </w:rPr>
              <w:t>1</w:t>
            </w:r>
          </w:p>
        </w:tc>
        <w:tc>
          <w:tcPr>
            <w:tcW w:w="1649" w:type="dxa"/>
            <w:gridSpan w:val="2"/>
            <w:tcBorders>
              <w:top w:val="nil"/>
              <w:left w:val="nil"/>
              <w:bottom w:val="nil"/>
              <w:right w:val="nil"/>
            </w:tcBorders>
            <w:shd w:val="clear" w:color="auto" w:fill="auto"/>
            <w:noWrap/>
            <w:vAlign w:val="center"/>
            <w:hideMark/>
          </w:tcPr>
          <w:p w14:paraId="1C141C8E" w14:textId="77777777" w:rsidR="00E44119" w:rsidRPr="00555058" w:rsidRDefault="00E44119" w:rsidP="00E44119">
            <w:pPr>
              <w:jc w:val="center"/>
              <w:rPr>
                <w:sz w:val="20"/>
                <w:szCs w:val="20"/>
                <w:lang w:eastAsia="en-GB"/>
              </w:rPr>
            </w:pPr>
            <w:r w:rsidRPr="00555058">
              <w:rPr>
                <w:sz w:val="20"/>
                <w:szCs w:val="20"/>
                <w:lang w:eastAsia="en-GB"/>
              </w:rPr>
              <w:t>9</w:t>
            </w:r>
          </w:p>
        </w:tc>
      </w:tr>
      <w:tr w:rsidR="00E44119" w:rsidRPr="00555058" w14:paraId="6567A27E" w14:textId="77777777" w:rsidTr="001D64DC">
        <w:trPr>
          <w:trHeight w:val="320"/>
        </w:trPr>
        <w:tc>
          <w:tcPr>
            <w:tcW w:w="1532" w:type="dxa"/>
            <w:tcBorders>
              <w:top w:val="nil"/>
              <w:left w:val="nil"/>
              <w:bottom w:val="nil"/>
              <w:right w:val="nil"/>
            </w:tcBorders>
            <w:shd w:val="clear" w:color="auto" w:fill="auto"/>
            <w:noWrap/>
            <w:vAlign w:val="center"/>
            <w:hideMark/>
          </w:tcPr>
          <w:p w14:paraId="4E6F30D3" w14:textId="77777777" w:rsidR="00E44119" w:rsidRPr="00555058" w:rsidRDefault="00E44119" w:rsidP="00E44119">
            <w:pPr>
              <w:rPr>
                <w:sz w:val="20"/>
                <w:szCs w:val="20"/>
                <w:lang w:eastAsia="en-GB"/>
              </w:rPr>
            </w:pPr>
            <w:proofErr w:type="spellStart"/>
            <w:r w:rsidRPr="00555058">
              <w:rPr>
                <w:sz w:val="20"/>
                <w:szCs w:val="20"/>
                <w:lang w:eastAsia="en-GB"/>
              </w:rPr>
              <w:t>Sweden</w:t>
            </w:r>
            <w:proofErr w:type="spellEnd"/>
          </w:p>
        </w:tc>
        <w:tc>
          <w:tcPr>
            <w:tcW w:w="736" w:type="dxa"/>
            <w:tcBorders>
              <w:top w:val="nil"/>
              <w:left w:val="nil"/>
              <w:bottom w:val="nil"/>
              <w:right w:val="nil"/>
            </w:tcBorders>
            <w:shd w:val="clear" w:color="auto" w:fill="auto"/>
            <w:noWrap/>
            <w:vAlign w:val="center"/>
            <w:hideMark/>
          </w:tcPr>
          <w:p w14:paraId="1AB0DE74" w14:textId="77777777" w:rsidR="00E44119" w:rsidRPr="00555058" w:rsidRDefault="00E44119" w:rsidP="00E44119">
            <w:pPr>
              <w:jc w:val="center"/>
              <w:rPr>
                <w:sz w:val="20"/>
                <w:szCs w:val="20"/>
                <w:lang w:eastAsia="en-GB"/>
              </w:rPr>
            </w:pPr>
            <w:r w:rsidRPr="00555058">
              <w:rPr>
                <w:sz w:val="20"/>
                <w:szCs w:val="20"/>
                <w:lang w:eastAsia="en-GB"/>
              </w:rPr>
              <w:t>1948</w:t>
            </w:r>
          </w:p>
        </w:tc>
        <w:tc>
          <w:tcPr>
            <w:tcW w:w="709" w:type="dxa"/>
            <w:tcBorders>
              <w:top w:val="nil"/>
              <w:left w:val="nil"/>
              <w:bottom w:val="nil"/>
              <w:right w:val="nil"/>
            </w:tcBorders>
            <w:shd w:val="clear" w:color="auto" w:fill="auto"/>
            <w:noWrap/>
            <w:vAlign w:val="center"/>
            <w:hideMark/>
          </w:tcPr>
          <w:p w14:paraId="0E52CCC7" w14:textId="77777777" w:rsidR="00E44119" w:rsidRPr="00555058" w:rsidRDefault="00E44119" w:rsidP="00E44119">
            <w:pPr>
              <w:jc w:val="center"/>
              <w:rPr>
                <w:sz w:val="20"/>
                <w:szCs w:val="20"/>
                <w:lang w:eastAsia="en-GB"/>
              </w:rPr>
            </w:pPr>
            <w:r w:rsidRPr="00555058">
              <w:rPr>
                <w:sz w:val="20"/>
                <w:szCs w:val="20"/>
                <w:lang w:eastAsia="en-GB"/>
              </w:rPr>
              <w:t>2014</w:t>
            </w:r>
          </w:p>
        </w:tc>
        <w:tc>
          <w:tcPr>
            <w:tcW w:w="1134" w:type="dxa"/>
            <w:tcBorders>
              <w:top w:val="nil"/>
              <w:left w:val="nil"/>
              <w:bottom w:val="nil"/>
              <w:right w:val="nil"/>
            </w:tcBorders>
            <w:shd w:val="clear" w:color="auto" w:fill="auto"/>
            <w:noWrap/>
            <w:vAlign w:val="center"/>
            <w:hideMark/>
          </w:tcPr>
          <w:p w14:paraId="1986B075" w14:textId="77777777" w:rsidR="00E44119" w:rsidRPr="00555058" w:rsidRDefault="00E44119" w:rsidP="00E44119">
            <w:pPr>
              <w:jc w:val="center"/>
              <w:rPr>
                <w:sz w:val="20"/>
                <w:szCs w:val="20"/>
                <w:lang w:eastAsia="en-GB"/>
              </w:rPr>
            </w:pPr>
            <w:r w:rsidRPr="00555058">
              <w:rPr>
                <w:sz w:val="20"/>
                <w:szCs w:val="20"/>
                <w:lang w:eastAsia="en-GB"/>
              </w:rPr>
              <w:t>21</w:t>
            </w:r>
          </w:p>
        </w:tc>
        <w:tc>
          <w:tcPr>
            <w:tcW w:w="851" w:type="dxa"/>
            <w:tcBorders>
              <w:top w:val="nil"/>
              <w:left w:val="nil"/>
              <w:bottom w:val="nil"/>
              <w:right w:val="nil"/>
            </w:tcBorders>
            <w:shd w:val="clear" w:color="auto" w:fill="auto"/>
            <w:noWrap/>
            <w:vAlign w:val="center"/>
            <w:hideMark/>
          </w:tcPr>
          <w:p w14:paraId="5F2C3AE4" w14:textId="77777777" w:rsidR="00E44119" w:rsidRPr="00555058" w:rsidRDefault="00E44119" w:rsidP="00E44119">
            <w:pPr>
              <w:jc w:val="center"/>
              <w:rPr>
                <w:sz w:val="20"/>
                <w:szCs w:val="20"/>
                <w:lang w:eastAsia="en-GB"/>
              </w:rPr>
            </w:pPr>
            <w:r w:rsidRPr="00555058">
              <w:rPr>
                <w:sz w:val="20"/>
                <w:szCs w:val="20"/>
                <w:lang w:eastAsia="en-GB"/>
              </w:rPr>
              <w:t>15</w:t>
            </w:r>
          </w:p>
        </w:tc>
        <w:tc>
          <w:tcPr>
            <w:tcW w:w="1984" w:type="dxa"/>
            <w:tcBorders>
              <w:top w:val="nil"/>
              <w:left w:val="nil"/>
              <w:bottom w:val="nil"/>
              <w:right w:val="nil"/>
            </w:tcBorders>
            <w:shd w:val="clear" w:color="auto" w:fill="auto"/>
            <w:noWrap/>
            <w:vAlign w:val="center"/>
            <w:hideMark/>
          </w:tcPr>
          <w:p w14:paraId="3EDC141F"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62</w:t>
            </w:r>
          </w:p>
        </w:tc>
        <w:tc>
          <w:tcPr>
            <w:tcW w:w="1843" w:type="dxa"/>
            <w:tcBorders>
              <w:top w:val="nil"/>
              <w:left w:val="nil"/>
              <w:bottom w:val="nil"/>
              <w:right w:val="nil"/>
            </w:tcBorders>
            <w:shd w:val="clear" w:color="auto" w:fill="auto"/>
            <w:noWrap/>
            <w:vAlign w:val="center"/>
            <w:hideMark/>
          </w:tcPr>
          <w:p w14:paraId="1BFCB431"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27</w:t>
            </w:r>
          </w:p>
        </w:tc>
        <w:tc>
          <w:tcPr>
            <w:tcW w:w="1701" w:type="dxa"/>
            <w:tcBorders>
              <w:top w:val="nil"/>
              <w:left w:val="nil"/>
              <w:bottom w:val="nil"/>
              <w:right w:val="nil"/>
            </w:tcBorders>
            <w:vAlign w:val="center"/>
          </w:tcPr>
          <w:p w14:paraId="3CD965B2" w14:textId="73371BDA" w:rsidR="00E44119" w:rsidRPr="00555058" w:rsidRDefault="00E44119" w:rsidP="00E44119">
            <w:pPr>
              <w:jc w:val="center"/>
              <w:rPr>
                <w:sz w:val="20"/>
                <w:szCs w:val="20"/>
                <w:lang w:eastAsia="en-GB"/>
              </w:rPr>
            </w:pPr>
            <w:r w:rsidRPr="00555058">
              <w:rPr>
                <w:sz w:val="20"/>
                <w:szCs w:val="20"/>
                <w:lang w:eastAsia="en-GB"/>
              </w:rPr>
              <w:t>5</w:t>
            </w:r>
          </w:p>
        </w:tc>
        <w:tc>
          <w:tcPr>
            <w:tcW w:w="1801" w:type="dxa"/>
            <w:tcBorders>
              <w:top w:val="nil"/>
              <w:left w:val="nil"/>
              <w:bottom w:val="nil"/>
              <w:right w:val="nil"/>
            </w:tcBorders>
            <w:shd w:val="clear" w:color="auto" w:fill="auto"/>
            <w:noWrap/>
            <w:vAlign w:val="center"/>
            <w:hideMark/>
          </w:tcPr>
          <w:p w14:paraId="489987DA" w14:textId="455D226A" w:rsidR="00E44119" w:rsidRPr="00555058" w:rsidRDefault="00E44119" w:rsidP="00E44119">
            <w:pPr>
              <w:jc w:val="center"/>
              <w:rPr>
                <w:sz w:val="20"/>
                <w:szCs w:val="20"/>
                <w:lang w:eastAsia="en-GB"/>
              </w:rPr>
            </w:pPr>
            <w:r w:rsidRPr="00555058">
              <w:rPr>
                <w:sz w:val="20"/>
                <w:szCs w:val="20"/>
                <w:lang w:eastAsia="en-GB"/>
              </w:rPr>
              <w:t>4</w:t>
            </w:r>
          </w:p>
        </w:tc>
        <w:tc>
          <w:tcPr>
            <w:tcW w:w="1649" w:type="dxa"/>
            <w:gridSpan w:val="2"/>
            <w:tcBorders>
              <w:top w:val="nil"/>
              <w:left w:val="nil"/>
              <w:bottom w:val="nil"/>
              <w:right w:val="nil"/>
            </w:tcBorders>
            <w:shd w:val="clear" w:color="auto" w:fill="auto"/>
            <w:noWrap/>
            <w:vAlign w:val="center"/>
            <w:hideMark/>
          </w:tcPr>
          <w:p w14:paraId="50A502C2" w14:textId="77777777" w:rsidR="00E44119" w:rsidRPr="00555058" w:rsidRDefault="00E44119" w:rsidP="00E44119">
            <w:pPr>
              <w:jc w:val="center"/>
              <w:rPr>
                <w:sz w:val="20"/>
                <w:szCs w:val="20"/>
                <w:lang w:eastAsia="en-GB"/>
              </w:rPr>
            </w:pPr>
            <w:r w:rsidRPr="00555058">
              <w:rPr>
                <w:sz w:val="20"/>
                <w:szCs w:val="20"/>
                <w:lang w:eastAsia="en-GB"/>
              </w:rPr>
              <w:t>8</w:t>
            </w:r>
          </w:p>
        </w:tc>
      </w:tr>
      <w:tr w:rsidR="00E44119" w:rsidRPr="00555058" w14:paraId="4899BCC0" w14:textId="77777777" w:rsidTr="001D64DC">
        <w:trPr>
          <w:trHeight w:val="320"/>
        </w:trPr>
        <w:tc>
          <w:tcPr>
            <w:tcW w:w="1532" w:type="dxa"/>
            <w:tcBorders>
              <w:top w:val="nil"/>
              <w:left w:val="nil"/>
              <w:bottom w:val="nil"/>
              <w:right w:val="nil"/>
            </w:tcBorders>
            <w:shd w:val="clear" w:color="auto" w:fill="auto"/>
            <w:noWrap/>
            <w:vAlign w:val="center"/>
            <w:hideMark/>
          </w:tcPr>
          <w:p w14:paraId="53D1A9B1" w14:textId="77777777" w:rsidR="00E44119" w:rsidRPr="00555058" w:rsidRDefault="00E44119" w:rsidP="00E44119">
            <w:pPr>
              <w:rPr>
                <w:sz w:val="20"/>
                <w:szCs w:val="20"/>
                <w:lang w:eastAsia="en-GB"/>
              </w:rPr>
            </w:pPr>
            <w:r w:rsidRPr="00555058">
              <w:rPr>
                <w:sz w:val="20"/>
                <w:szCs w:val="20"/>
                <w:lang w:eastAsia="en-GB"/>
              </w:rPr>
              <w:t>Romania</w:t>
            </w:r>
          </w:p>
        </w:tc>
        <w:tc>
          <w:tcPr>
            <w:tcW w:w="736" w:type="dxa"/>
            <w:tcBorders>
              <w:top w:val="nil"/>
              <w:left w:val="nil"/>
              <w:bottom w:val="nil"/>
              <w:right w:val="nil"/>
            </w:tcBorders>
            <w:shd w:val="clear" w:color="auto" w:fill="auto"/>
            <w:noWrap/>
            <w:vAlign w:val="center"/>
            <w:hideMark/>
          </w:tcPr>
          <w:p w14:paraId="2D67D70D" w14:textId="77777777" w:rsidR="00E44119" w:rsidRPr="00555058" w:rsidRDefault="00E44119" w:rsidP="00E44119">
            <w:pPr>
              <w:jc w:val="center"/>
              <w:rPr>
                <w:sz w:val="20"/>
                <w:szCs w:val="20"/>
                <w:lang w:eastAsia="en-GB"/>
              </w:rPr>
            </w:pPr>
            <w:r w:rsidRPr="00555058">
              <w:rPr>
                <w:sz w:val="20"/>
                <w:szCs w:val="20"/>
                <w:lang w:eastAsia="en-GB"/>
              </w:rPr>
              <w:t>1990</w:t>
            </w:r>
          </w:p>
        </w:tc>
        <w:tc>
          <w:tcPr>
            <w:tcW w:w="709" w:type="dxa"/>
            <w:tcBorders>
              <w:top w:val="nil"/>
              <w:left w:val="nil"/>
              <w:bottom w:val="nil"/>
              <w:right w:val="nil"/>
            </w:tcBorders>
            <w:shd w:val="clear" w:color="auto" w:fill="auto"/>
            <w:noWrap/>
            <w:vAlign w:val="center"/>
            <w:hideMark/>
          </w:tcPr>
          <w:p w14:paraId="03B1C8D8" w14:textId="77777777" w:rsidR="00E44119" w:rsidRPr="00555058" w:rsidRDefault="00E44119" w:rsidP="00E44119">
            <w:pPr>
              <w:jc w:val="center"/>
              <w:rPr>
                <w:sz w:val="20"/>
                <w:szCs w:val="20"/>
                <w:lang w:eastAsia="en-GB"/>
              </w:rPr>
            </w:pPr>
            <w:r w:rsidRPr="00555058">
              <w:rPr>
                <w:sz w:val="20"/>
                <w:szCs w:val="20"/>
                <w:lang w:eastAsia="en-GB"/>
              </w:rPr>
              <w:t>2012</w:t>
            </w:r>
          </w:p>
        </w:tc>
        <w:tc>
          <w:tcPr>
            <w:tcW w:w="1134" w:type="dxa"/>
            <w:tcBorders>
              <w:top w:val="nil"/>
              <w:left w:val="nil"/>
              <w:bottom w:val="nil"/>
              <w:right w:val="nil"/>
            </w:tcBorders>
            <w:shd w:val="clear" w:color="auto" w:fill="auto"/>
            <w:noWrap/>
            <w:vAlign w:val="center"/>
            <w:hideMark/>
          </w:tcPr>
          <w:p w14:paraId="5672C602" w14:textId="77777777" w:rsidR="00E44119" w:rsidRPr="00555058" w:rsidRDefault="00E44119" w:rsidP="00E44119">
            <w:pPr>
              <w:jc w:val="center"/>
              <w:rPr>
                <w:sz w:val="20"/>
                <w:szCs w:val="20"/>
                <w:lang w:eastAsia="en-GB"/>
              </w:rPr>
            </w:pPr>
            <w:r w:rsidRPr="00555058">
              <w:rPr>
                <w:sz w:val="20"/>
                <w:szCs w:val="20"/>
                <w:lang w:eastAsia="en-GB"/>
              </w:rPr>
              <w:t>7</w:t>
            </w:r>
          </w:p>
        </w:tc>
        <w:tc>
          <w:tcPr>
            <w:tcW w:w="851" w:type="dxa"/>
            <w:tcBorders>
              <w:top w:val="nil"/>
              <w:left w:val="nil"/>
              <w:bottom w:val="nil"/>
              <w:right w:val="nil"/>
            </w:tcBorders>
            <w:shd w:val="clear" w:color="auto" w:fill="auto"/>
            <w:noWrap/>
            <w:vAlign w:val="center"/>
            <w:hideMark/>
          </w:tcPr>
          <w:p w14:paraId="0C2315C5" w14:textId="77777777" w:rsidR="00E44119" w:rsidRPr="00555058" w:rsidRDefault="00E44119" w:rsidP="00E44119">
            <w:pPr>
              <w:jc w:val="center"/>
              <w:rPr>
                <w:sz w:val="20"/>
                <w:szCs w:val="20"/>
                <w:lang w:eastAsia="en-GB"/>
              </w:rPr>
            </w:pPr>
            <w:r w:rsidRPr="00555058">
              <w:rPr>
                <w:sz w:val="20"/>
                <w:szCs w:val="20"/>
                <w:lang w:eastAsia="en-GB"/>
              </w:rPr>
              <w:t>13</w:t>
            </w:r>
          </w:p>
        </w:tc>
        <w:tc>
          <w:tcPr>
            <w:tcW w:w="1984" w:type="dxa"/>
            <w:tcBorders>
              <w:top w:val="nil"/>
              <w:left w:val="nil"/>
              <w:bottom w:val="nil"/>
              <w:right w:val="nil"/>
            </w:tcBorders>
            <w:shd w:val="clear" w:color="auto" w:fill="auto"/>
            <w:noWrap/>
            <w:vAlign w:val="center"/>
            <w:hideMark/>
          </w:tcPr>
          <w:p w14:paraId="3906CE47"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86</w:t>
            </w:r>
          </w:p>
        </w:tc>
        <w:tc>
          <w:tcPr>
            <w:tcW w:w="1843" w:type="dxa"/>
            <w:tcBorders>
              <w:top w:val="nil"/>
              <w:left w:val="nil"/>
              <w:bottom w:val="nil"/>
              <w:right w:val="nil"/>
            </w:tcBorders>
            <w:shd w:val="clear" w:color="auto" w:fill="auto"/>
            <w:noWrap/>
            <w:vAlign w:val="center"/>
            <w:hideMark/>
          </w:tcPr>
          <w:p w14:paraId="55245DF9"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41</w:t>
            </w:r>
          </w:p>
        </w:tc>
        <w:tc>
          <w:tcPr>
            <w:tcW w:w="1701" w:type="dxa"/>
            <w:tcBorders>
              <w:top w:val="nil"/>
              <w:left w:val="nil"/>
              <w:bottom w:val="nil"/>
              <w:right w:val="nil"/>
            </w:tcBorders>
            <w:vAlign w:val="center"/>
          </w:tcPr>
          <w:p w14:paraId="78591941" w14:textId="24345D2D"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6F35EDAD" w14:textId="51162A33" w:rsidR="00E44119" w:rsidRPr="00555058" w:rsidRDefault="00E44119" w:rsidP="00E44119">
            <w:pPr>
              <w:jc w:val="center"/>
              <w:rPr>
                <w:sz w:val="20"/>
                <w:szCs w:val="20"/>
                <w:lang w:eastAsia="en-GB"/>
              </w:rPr>
            </w:pPr>
            <w:r w:rsidRPr="00555058">
              <w:rPr>
                <w:sz w:val="20"/>
                <w:szCs w:val="20"/>
                <w:lang w:eastAsia="en-GB"/>
              </w:rPr>
              <w:t>3</w:t>
            </w:r>
          </w:p>
        </w:tc>
        <w:tc>
          <w:tcPr>
            <w:tcW w:w="1649" w:type="dxa"/>
            <w:gridSpan w:val="2"/>
            <w:tcBorders>
              <w:top w:val="nil"/>
              <w:left w:val="nil"/>
              <w:bottom w:val="nil"/>
              <w:right w:val="nil"/>
            </w:tcBorders>
            <w:shd w:val="clear" w:color="auto" w:fill="auto"/>
            <w:noWrap/>
            <w:vAlign w:val="center"/>
            <w:hideMark/>
          </w:tcPr>
          <w:p w14:paraId="2EE2A9D2" w14:textId="77777777" w:rsidR="00E44119" w:rsidRPr="00555058" w:rsidRDefault="00E44119" w:rsidP="00E44119">
            <w:pPr>
              <w:jc w:val="center"/>
              <w:rPr>
                <w:sz w:val="20"/>
                <w:szCs w:val="20"/>
                <w:lang w:eastAsia="en-GB"/>
              </w:rPr>
            </w:pPr>
            <w:r w:rsidRPr="00555058">
              <w:rPr>
                <w:sz w:val="20"/>
                <w:szCs w:val="20"/>
                <w:lang w:eastAsia="en-GB"/>
              </w:rPr>
              <w:t>12</w:t>
            </w:r>
          </w:p>
        </w:tc>
      </w:tr>
      <w:tr w:rsidR="00E44119" w:rsidRPr="00555058" w14:paraId="1A072F05" w14:textId="77777777" w:rsidTr="001D64DC">
        <w:trPr>
          <w:trHeight w:val="320"/>
        </w:trPr>
        <w:tc>
          <w:tcPr>
            <w:tcW w:w="1532" w:type="dxa"/>
            <w:tcBorders>
              <w:top w:val="nil"/>
              <w:left w:val="nil"/>
              <w:bottom w:val="nil"/>
              <w:right w:val="nil"/>
            </w:tcBorders>
            <w:shd w:val="clear" w:color="auto" w:fill="auto"/>
            <w:noWrap/>
            <w:vAlign w:val="center"/>
            <w:hideMark/>
          </w:tcPr>
          <w:p w14:paraId="4CEAEBF7" w14:textId="77777777" w:rsidR="00E44119" w:rsidRPr="00555058" w:rsidRDefault="00E44119" w:rsidP="00E44119">
            <w:pPr>
              <w:rPr>
                <w:sz w:val="20"/>
                <w:szCs w:val="20"/>
                <w:lang w:eastAsia="en-GB"/>
              </w:rPr>
            </w:pPr>
            <w:r w:rsidRPr="00555058">
              <w:rPr>
                <w:sz w:val="20"/>
                <w:szCs w:val="20"/>
                <w:lang w:eastAsia="en-GB"/>
              </w:rPr>
              <w:t>Spain</w:t>
            </w:r>
          </w:p>
        </w:tc>
        <w:tc>
          <w:tcPr>
            <w:tcW w:w="736" w:type="dxa"/>
            <w:tcBorders>
              <w:top w:val="nil"/>
              <w:left w:val="nil"/>
              <w:bottom w:val="nil"/>
              <w:right w:val="nil"/>
            </w:tcBorders>
            <w:shd w:val="clear" w:color="auto" w:fill="auto"/>
            <w:noWrap/>
            <w:vAlign w:val="center"/>
            <w:hideMark/>
          </w:tcPr>
          <w:p w14:paraId="6B6B30E1" w14:textId="77777777" w:rsidR="00E44119" w:rsidRPr="00555058" w:rsidRDefault="00E44119" w:rsidP="00E44119">
            <w:pPr>
              <w:jc w:val="center"/>
              <w:rPr>
                <w:sz w:val="20"/>
                <w:szCs w:val="20"/>
                <w:lang w:eastAsia="en-GB"/>
              </w:rPr>
            </w:pPr>
            <w:r w:rsidRPr="00555058">
              <w:rPr>
                <w:sz w:val="20"/>
                <w:szCs w:val="20"/>
                <w:lang w:eastAsia="en-GB"/>
              </w:rPr>
              <w:t>1977</w:t>
            </w:r>
          </w:p>
        </w:tc>
        <w:tc>
          <w:tcPr>
            <w:tcW w:w="709" w:type="dxa"/>
            <w:tcBorders>
              <w:top w:val="nil"/>
              <w:left w:val="nil"/>
              <w:bottom w:val="nil"/>
              <w:right w:val="nil"/>
            </w:tcBorders>
            <w:shd w:val="clear" w:color="auto" w:fill="auto"/>
            <w:noWrap/>
            <w:vAlign w:val="center"/>
            <w:hideMark/>
          </w:tcPr>
          <w:p w14:paraId="0A3F12E4" w14:textId="77777777" w:rsidR="00E44119" w:rsidRPr="00555058" w:rsidRDefault="00E44119" w:rsidP="00E44119">
            <w:pPr>
              <w:jc w:val="center"/>
              <w:rPr>
                <w:sz w:val="20"/>
                <w:szCs w:val="20"/>
                <w:lang w:eastAsia="en-GB"/>
              </w:rPr>
            </w:pPr>
            <w:r w:rsidRPr="00555058">
              <w:rPr>
                <w:sz w:val="20"/>
                <w:szCs w:val="20"/>
                <w:lang w:eastAsia="en-GB"/>
              </w:rPr>
              <w:t>2015</w:t>
            </w:r>
          </w:p>
        </w:tc>
        <w:tc>
          <w:tcPr>
            <w:tcW w:w="1134" w:type="dxa"/>
            <w:tcBorders>
              <w:top w:val="nil"/>
              <w:left w:val="nil"/>
              <w:bottom w:val="nil"/>
              <w:right w:val="nil"/>
            </w:tcBorders>
            <w:shd w:val="clear" w:color="auto" w:fill="auto"/>
            <w:noWrap/>
            <w:vAlign w:val="center"/>
            <w:hideMark/>
          </w:tcPr>
          <w:p w14:paraId="30C45EB7" w14:textId="77777777" w:rsidR="00E44119" w:rsidRPr="00555058" w:rsidRDefault="00E44119" w:rsidP="00E44119">
            <w:pPr>
              <w:jc w:val="center"/>
              <w:rPr>
                <w:sz w:val="20"/>
                <w:szCs w:val="20"/>
                <w:lang w:eastAsia="en-GB"/>
              </w:rPr>
            </w:pPr>
            <w:r w:rsidRPr="00555058">
              <w:rPr>
                <w:sz w:val="20"/>
                <w:szCs w:val="20"/>
                <w:lang w:eastAsia="en-GB"/>
              </w:rPr>
              <w:t>12</w:t>
            </w:r>
          </w:p>
        </w:tc>
        <w:tc>
          <w:tcPr>
            <w:tcW w:w="851" w:type="dxa"/>
            <w:tcBorders>
              <w:top w:val="nil"/>
              <w:left w:val="nil"/>
              <w:bottom w:val="nil"/>
              <w:right w:val="nil"/>
            </w:tcBorders>
            <w:shd w:val="clear" w:color="auto" w:fill="auto"/>
            <w:noWrap/>
            <w:vAlign w:val="center"/>
            <w:hideMark/>
          </w:tcPr>
          <w:p w14:paraId="78725A8F" w14:textId="77777777" w:rsidR="00E44119" w:rsidRPr="00555058" w:rsidRDefault="00E44119" w:rsidP="00E44119">
            <w:pPr>
              <w:jc w:val="center"/>
              <w:rPr>
                <w:sz w:val="20"/>
                <w:szCs w:val="20"/>
                <w:lang w:eastAsia="en-GB"/>
              </w:rPr>
            </w:pPr>
            <w:r w:rsidRPr="00555058">
              <w:rPr>
                <w:sz w:val="20"/>
                <w:szCs w:val="20"/>
                <w:lang w:eastAsia="en-GB"/>
              </w:rPr>
              <w:t>13</w:t>
            </w:r>
          </w:p>
        </w:tc>
        <w:tc>
          <w:tcPr>
            <w:tcW w:w="1984" w:type="dxa"/>
            <w:tcBorders>
              <w:top w:val="nil"/>
              <w:left w:val="nil"/>
              <w:bottom w:val="nil"/>
              <w:right w:val="nil"/>
            </w:tcBorders>
            <w:shd w:val="clear" w:color="auto" w:fill="auto"/>
            <w:noWrap/>
            <w:vAlign w:val="center"/>
            <w:hideMark/>
          </w:tcPr>
          <w:p w14:paraId="5609161C"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83</w:t>
            </w:r>
          </w:p>
        </w:tc>
        <w:tc>
          <w:tcPr>
            <w:tcW w:w="1843" w:type="dxa"/>
            <w:tcBorders>
              <w:top w:val="nil"/>
              <w:left w:val="nil"/>
              <w:bottom w:val="nil"/>
              <w:right w:val="nil"/>
            </w:tcBorders>
            <w:shd w:val="clear" w:color="auto" w:fill="auto"/>
            <w:noWrap/>
            <w:vAlign w:val="center"/>
            <w:hideMark/>
          </w:tcPr>
          <w:p w14:paraId="35A21B3F"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15</w:t>
            </w:r>
          </w:p>
        </w:tc>
        <w:tc>
          <w:tcPr>
            <w:tcW w:w="1701" w:type="dxa"/>
            <w:tcBorders>
              <w:top w:val="nil"/>
              <w:left w:val="nil"/>
              <w:bottom w:val="nil"/>
              <w:right w:val="nil"/>
            </w:tcBorders>
            <w:vAlign w:val="center"/>
          </w:tcPr>
          <w:p w14:paraId="3F92E5EA" w14:textId="07E75F3E"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26FC0905" w14:textId="590B8EEF" w:rsidR="00E44119" w:rsidRPr="00555058" w:rsidRDefault="00E44119" w:rsidP="00E44119">
            <w:pPr>
              <w:jc w:val="center"/>
              <w:rPr>
                <w:sz w:val="20"/>
                <w:szCs w:val="20"/>
                <w:lang w:eastAsia="en-GB"/>
              </w:rPr>
            </w:pPr>
            <w:r w:rsidRPr="00555058">
              <w:rPr>
                <w:sz w:val="20"/>
                <w:szCs w:val="20"/>
                <w:lang w:eastAsia="en-GB"/>
              </w:rPr>
              <w:t>0</w:t>
            </w:r>
          </w:p>
        </w:tc>
        <w:tc>
          <w:tcPr>
            <w:tcW w:w="1649" w:type="dxa"/>
            <w:gridSpan w:val="2"/>
            <w:tcBorders>
              <w:top w:val="nil"/>
              <w:left w:val="nil"/>
              <w:bottom w:val="nil"/>
              <w:right w:val="nil"/>
            </w:tcBorders>
            <w:shd w:val="clear" w:color="auto" w:fill="auto"/>
            <w:noWrap/>
            <w:vAlign w:val="center"/>
            <w:hideMark/>
          </w:tcPr>
          <w:p w14:paraId="5532D44B" w14:textId="77777777" w:rsidR="00E44119" w:rsidRPr="00555058" w:rsidRDefault="00E44119" w:rsidP="00E44119">
            <w:pPr>
              <w:jc w:val="center"/>
              <w:rPr>
                <w:sz w:val="20"/>
                <w:szCs w:val="20"/>
                <w:lang w:eastAsia="en-GB"/>
              </w:rPr>
            </w:pPr>
            <w:r w:rsidRPr="00555058">
              <w:rPr>
                <w:sz w:val="20"/>
                <w:szCs w:val="20"/>
                <w:lang w:eastAsia="en-GB"/>
              </w:rPr>
              <w:t>12</w:t>
            </w:r>
          </w:p>
        </w:tc>
      </w:tr>
      <w:tr w:rsidR="00E44119" w:rsidRPr="00555058" w14:paraId="75F09E54" w14:textId="77777777" w:rsidTr="001D64DC">
        <w:trPr>
          <w:trHeight w:val="320"/>
        </w:trPr>
        <w:tc>
          <w:tcPr>
            <w:tcW w:w="1532" w:type="dxa"/>
            <w:tcBorders>
              <w:top w:val="nil"/>
              <w:left w:val="nil"/>
              <w:right w:val="nil"/>
            </w:tcBorders>
            <w:shd w:val="clear" w:color="auto" w:fill="auto"/>
            <w:noWrap/>
            <w:vAlign w:val="center"/>
            <w:hideMark/>
          </w:tcPr>
          <w:p w14:paraId="20A38A44" w14:textId="77777777" w:rsidR="00E44119" w:rsidRPr="00555058" w:rsidRDefault="00E44119" w:rsidP="00E44119">
            <w:pPr>
              <w:rPr>
                <w:sz w:val="20"/>
                <w:szCs w:val="20"/>
                <w:lang w:eastAsia="en-GB"/>
              </w:rPr>
            </w:pPr>
            <w:proofErr w:type="spellStart"/>
            <w:r w:rsidRPr="00555058">
              <w:rPr>
                <w:sz w:val="20"/>
                <w:szCs w:val="20"/>
                <w:lang w:eastAsia="en-GB"/>
              </w:rPr>
              <w:t>Croatia</w:t>
            </w:r>
            <w:proofErr w:type="spellEnd"/>
          </w:p>
        </w:tc>
        <w:tc>
          <w:tcPr>
            <w:tcW w:w="736" w:type="dxa"/>
            <w:tcBorders>
              <w:top w:val="nil"/>
              <w:left w:val="nil"/>
              <w:right w:val="nil"/>
            </w:tcBorders>
            <w:shd w:val="clear" w:color="auto" w:fill="auto"/>
            <w:noWrap/>
            <w:vAlign w:val="center"/>
            <w:hideMark/>
          </w:tcPr>
          <w:p w14:paraId="3CFC1610" w14:textId="77777777" w:rsidR="00E44119" w:rsidRPr="00555058" w:rsidRDefault="00E44119" w:rsidP="00E44119">
            <w:pPr>
              <w:jc w:val="center"/>
              <w:rPr>
                <w:sz w:val="20"/>
                <w:szCs w:val="20"/>
                <w:lang w:eastAsia="en-GB"/>
              </w:rPr>
            </w:pPr>
            <w:r w:rsidRPr="00555058">
              <w:rPr>
                <w:sz w:val="20"/>
                <w:szCs w:val="20"/>
                <w:lang w:eastAsia="en-GB"/>
              </w:rPr>
              <w:t>2000</w:t>
            </w:r>
          </w:p>
        </w:tc>
        <w:tc>
          <w:tcPr>
            <w:tcW w:w="709" w:type="dxa"/>
            <w:tcBorders>
              <w:top w:val="nil"/>
              <w:left w:val="nil"/>
              <w:right w:val="nil"/>
            </w:tcBorders>
            <w:shd w:val="clear" w:color="auto" w:fill="auto"/>
            <w:noWrap/>
            <w:vAlign w:val="center"/>
            <w:hideMark/>
          </w:tcPr>
          <w:p w14:paraId="2DE748F8" w14:textId="77777777" w:rsidR="00E44119" w:rsidRPr="00555058" w:rsidRDefault="00E44119" w:rsidP="00E44119">
            <w:pPr>
              <w:jc w:val="center"/>
              <w:rPr>
                <w:sz w:val="20"/>
                <w:szCs w:val="20"/>
                <w:lang w:eastAsia="en-GB"/>
              </w:rPr>
            </w:pPr>
            <w:r w:rsidRPr="00555058">
              <w:rPr>
                <w:sz w:val="20"/>
                <w:szCs w:val="20"/>
                <w:lang w:eastAsia="en-GB"/>
              </w:rPr>
              <w:t>2015</w:t>
            </w:r>
          </w:p>
        </w:tc>
        <w:tc>
          <w:tcPr>
            <w:tcW w:w="1134" w:type="dxa"/>
            <w:tcBorders>
              <w:top w:val="nil"/>
              <w:left w:val="nil"/>
              <w:right w:val="nil"/>
            </w:tcBorders>
            <w:shd w:val="clear" w:color="auto" w:fill="auto"/>
            <w:noWrap/>
            <w:vAlign w:val="center"/>
            <w:hideMark/>
          </w:tcPr>
          <w:p w14:paraId="1CE70DD0" w14:textId="77777777" w:rsidR="00E44119" w:rsidRPr="00555058" w:rsidRDefault="00E44119" w:rsidP="00E44119">
            <w:pPr>
              <w:jc w:val="center"/>
              <w:rPr>
                <w:sz w:val="20"/>
                <w:szCs w:val="20"/>
                <w:lang w:eastAsia="en-GB"/>
              </w:rPr>
            </w:pPr>
            <w:r w:rsidRPr="00555058">
              <w:rPr>
                <w:sz w:val="20"/>
                <w:szCs w:val="20"/>
                <w:lang w:eastAsia="en-GB"/>
              </w:rPr>
              <w:t>5</w:t>
            </w:r>
          </w:p>
        </w:tc>
        <w:tc>
          <w:tcPr>
            <w:tcW w:w="851" w:type="dxa"/>
            <w:tcBorders>
              <w:top w:val="nil"/>
              <w:left w:val="nil"/>
              <w:right w:val="nil"/>
            </w:tcBorders>
            <w:shd w:val="clear" w:color="auto" w:fill="auto"/>
            <w:noWrap/>
            <w:vAlign w:val="center"/>
            <w:hideMark/>
          </w:tcPr>
          <w:p w14:paraId="6709B57C" w14:textId="77777777" w:rsidR="00E44119" w:rsidRPr="00555058" w:rsidRDefault="00E44119" w:rsidP="00E44119">
            <w:pPr>
              <w:jc w:val="center"/>
              <w:rPr>
                <w:sz w:val="20"/>
                <w:szCs w:val="20"/>
                <w:lang w:eastAsia="en-GB"/>
              </w:rPr>
            </w:pPr>
            <w:r w:rsidRPr="00555058">
              <w:rPr>
                <w:sz w:val="20"/>
                <w:szCs w:val="20"/>
                <w:lang w:eastAsia="en-GB"/>
              </w:rPr>
              <w:t>12</w:t>
            </w:r>
          </w:p>
        </w:tc>
        <w:tc>
          <w:tcPr>
            <w:tcW w:w="1984" w:type="dxa"/>
            <w:tcBorders>
              <w:top w:val="nil"/>
              <w:left w:val="nil"/>
              <w:right w:val="nil"/>
            </w:tcBorders>
            <w:shd w:val="clear" w:color="auto" w:fill="auto"/>
            <w:noWrap/>
            <w:vAlign w:val="center"/>
            <w:hideMark/>
          </w:tcPr>
          <w:p w14:paraId="7A84367A"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80</w:t>
            </w:r>
          </w:p>
        </w:tc>
        <w:tc>
          <w:tcPr>
            <w:tcW w:w="1843" w:type="dxa"/>
            <w:tcBorders>
              <w:top w:val="nil"/>
              <w:left w:val="nil"/>
              <w:right w:val="nil"/>
            </w:tcBorders>
            <w:shd w:val="clear" w:color="auto" w:fill="auto"/>
            <w:noWrap/>
            <w:vAlign w:val="center"/>
            <w:hideMark/>
          </w:tcPr>
          <w:p w14:paraId="3D2ADDC2"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35</w:t>
            </w:r>
          </w:p>
        </w:tc>
        <w:tc>
          <w:tcPr>
            <w:tcW w:w="1701" w:type="dxa"/>
            <w:tcBorders>
              <w:top w:val="nil"/>
              <w:left w:val="nil"/>
              <w:right w:val="nil"/>
            </w:tcBorders>
            <w:vAlign w:val="center"/>
          </w:tcPr>
          <w:p w14:paraId="4F22D7BD" w14:textId="523D8379"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right w:val="nil"/>
            </w:tcBorders>
            <w:shd w:val="clear" w:color="auto" w:fill="auto"/>
            <w:noWrap/>
            <w:vAlign w:val="center"/>
            <w:hideMark/>
          </w:tcPr>
          <w:p w14:paraId="308A23A2" w14:textId="18603249" w:rsidR="00E44119" w:rsidRPr="00555058" w:rsidRDefault="00E44119" w:rsidP="00E44119">
            <w:pPr>
              <w:jc w:val="center"/>
              <w:rPr>
                <w:sz w:val="20"/>
                <w:szCs w:val="20"/>
                <w:lang w:eastAsia="en-GB"/>
              </w:rPr>
            </w:pPr>
            <w:r w:rsidRPr="00555058">
              <w:rPr>
                <w:sz w:val="20"/>
                <w:szCs w:val="20"/>
                <w:lang w:eastAsia="en-GB"/>
              </w:rPr>
              <w:t>2</w:t>
            </w:r>
          </w:p>
        </w:tc>
        <w:tc>
          <w:tcPr>
            <w:tcW w:w="1649" w:type="dxa"/>
            <w:gridSpan w:val="2"/>
            <w:tcBorders>
              <w:top w:val="nil"/>
              <w:left w:val="nil"/>
              <w:right w:val="nil"/>
            </w:tcBorders>
            <w:shd w:val="clear" w:color="auto" w:fill="auto"/>
            <w:noWrap/>
            <w:vAlign w:val="center"/>
            <w:hideMark/>
          </w:tcPr>
          <w:p w14:paraId="2F3A9847" w14:textId="77777777" w:rsidR="00E44119" w:rsidRPr="00555058" w:rsidRDefault="00E44119" w:rsidP="00E44119">
            <w:pPr>
              <w:jc w:val="center"/>
              <w:rPr>
                <w:sz w:val="20"/>
                <w:szCs w:val="20"/>
                <w:lang w:eastAsia="en-GB"/>
              </w:rPr>
            </w:pPr>
            <w:r w:rsidRPr="00555058">
              <w:rPr>
                <w:sz w:val="20"/>
                <w:szCs w:val="20"/>
                <w:lang w:eastAsia="en-GB"/>
              </w:rPr>
              <w:t>5</w:t>
            </w:r>
          </w:p>
        </w:tc>
      </w:tr>
      <w:tr w:rsidR="00E44119" w:rsidRPr="00555058" w14:paraId="01CEFCBA" w14:textId="77777777" w:rsidTr="001D64DC">
        <w:trPr>
          <w:trHeight w:val="320"/>
        </w:trPr>
        <w:tc>
          <w:tcPr>
            <w:tcW w:w="1532" w:type="dxa"/>
            <w:tcBorders>
              <w:top w:val="nil"/>
              <w:left w:val="nil"/>
              <w:right w:val="nil"/>
            </w:tcBorders>
            <w:shd w:val="clear" w:color="auto" w:fill="auto"/>
            <w:noWrap/>
            <w:vAlign w:val="center"/>
            <w:hideMark/>
          </w:tcPr>
          <w:p w14:paraId="2AF6E1BF" w14:textId="77777777" w:rsidR="00E44119" w:rsidRPr="00555058" w:rsidRDefault="00E44119" w:rsidP="00E44119">
            <w:pPr>
              <w:rPr>
                <w:sz w:val="20"/>
                <w:szCs w:val="20"/>
                <w:lang w:eastAsia="en-GB"/>
              </w:rPr>
            </w:pPr>
            <w:r w:rsidRPr="00555058">
              <w:rPr>
                <w:sz w:val="20"/>
                <w:szCs w:val="20"/>
                <w:lang w:eastAsia="en-GB"/>
              </w:rPr>
              <w:t xml:space="preserve">United </w:t>
            </w:r>
            <w:proofErr w:type="spellStart"/>
            <w:r w:rsidRPr="00555058">
              <w:rPr>
                <w:sz w:val="20"/>
                <w:szCs w:val="20"/>
                <w:lang w:eastAsia="en-GB"/>
              </w:rPr>
              <w:t>Kingdom</w:t>
            </w:r>
            <w:proofErr w:type="spellEnd"/>
          </w:p>
        </w:tc>
        <w:tc>
          <w:tcPr>
            <w:tcW w:w="736" w:type="dxa"/>
            <w:tcBorders>
              <w:top w:val="nil"/>
              <w:left w:val="nil"/>
              <w:right w:val="nil"/>
            </w:tcBorders>
            <w:shd w:val="clear" w:color="auto" w:fill="auto"/>
            <w:noWrap/>
            <w:vAlign w:val="center"/>
            <w:hideMark/>
          </w:tcPr>
          <w:p w14:paraId="5C3F1F25" w14:textId="77777777" w:rsidR="00E44119" w:rsidRPr="00555058" w:rsidRDefault="00E44119" w:rsidP="00E44119">
            <w:pPr>
              <w:jc w:val="center"/>
              <w:rPr>
                <w:sz w:val="20"/>
                <w:szCs w:val="20"/>
                <w:lang w:eastAsia="en-GB"/>
              </w:rPr>
            </w:pPr>
            <w:r w:rsidRPr="00555058">
              <w:rPr>
                <w:sz w:val="20"/>
                <w:szCs w:val="20"/>
                <w:lang w:eastAsia="en-GB"/>
              </w:rPr>
              <w:t>1945</w:t>
            </w:r>
          </w:p>
        </w:tc>
        <w:tc>
          <w:tcPr>
            <w:tcW w:w="709" w:type="dxa"/>
            <w:tcBorders>
              <w:top w:val="nil"/>
              <w:left w:val="nil"/>
              <w:right w:val="nil"/>
            </w:tcBorders>
            <w:shd w:val="clear" w:color="auto" w:fill="auto"/>
            <w:noWrap/>
            <w:vAlign w:val="center"/>
            <w:hideMark/>
          </w:tcPr>
          <w:p w14:paraId="7C9AC892" w14:textId="77777777" w:rsidR="00E44119" w:rsidRPr="00555058" w:rsidRDefault="00E44119" w:rsidP="00E44119">
            <w:pPr>
              <w:jc w:val="center"/>
              <w:rPr>
                <w:sz w:val="20"/>
                <w:szCs w:val="20"/>
                <w:lang w:eastAsia="en-GB"/>
              </w:rPr>
            </w:pPr>
            <w:r w:rsidRPr="00555058">
              <w:rPr>
                <w:sz w:val="20"/>
                <w:szCs w:val="20"/>
                <w:lang w:eastAsia="en-GB"/>
              </w:rPr>
              <w:t>2015</w:t>
            </w:r>
          </w:p>
        </w:tc>
        <w:tc>
          <w:tcPr>
            <w:tcW w:w="1134" w:type="dxa"/>
            <w:tcBorders>
              <w:top w:val="nil"/>
              <w:left w:val="nil"/>
              <w:right w:val="nil"/>
            </w:tcBorders>
            <w:shd w:val="clear" w:color="auto" w:fill="auto"/>
            <w:noWrap/>
            <w:vAlign w:val="center"/>
            <w:hideMark/>
          </w:tcPr>
          <w:p w14:paraId="590D8C16" w14:textId="77777777" w:rsidR="00E44119" w:rsidRPr="00555058" w:rsidRDefault="00E44119" w:rsidP="00E44119">
            <w:pPr>
              <w:jc w:val="center"/>
              <w:rPr>
                <w:sz w:val="20"/>
                <w:szCs w:val="20"/>
                <w:lang w:eastAsia="en-GB"/>
              </w:rPr>
            </w:pPr>
            <w:r w:rsidRPr="00555058">
              <w:rPr>
                <w:sz w:val="20"/>
                <w:szCs w:val="20"/>
                <w:lang w:eastAsia="en-GB"/>
              </w:rPr>
              <w:t>19</w:t>
            </w:r>
          </w:p>
        </w:tc>
        <w:tc>
          <w:tcPr>
            <w:tcW w:w="851" w:type="dxa"/>
            <w:tcBorders>
              <w:top w:val="nil"/>
              <w:left w:val="nil"/>
              <w:right w:val="nil"/>
            </w:tcBorders>
            <w:shd w:val="clear" w:color="auto" w:fill="auto"/>
            <w:noWrap/>
            <w:vAlign w:val="center"/>
            <w:hideMark/>
          </w:tcPr>
          <w:p w14:paraId="77C41C5A" w14:textId="77777777" w:rsidR="00E44119" w:rsidRPr="00555058" w:rsidRDefault="00E44119" w:rsidP="00E44119">
            <w:pPr>
              <w:jc w:val="center"/>
              <w:rPr>
                <w:sz w:val="20"/>
                <w:szCs w:val="20"/>
                <w:lang w:eastAsia="en-GB"/>
              </w:rPr>
            </w:pPr>
            <w:r w:rsidRPr="00555058">
              <w:rPr>
                <w:sz w:val="20"/>
                <w:szCs w:val="20"/>
                <w:lang w:eastAsia="en-GB"/>
              </w:rPr>
              <w:t>11</w:t>
            </w:r>
          </w:p>
        </w:tc>
        <w:tc>
          <w:tcPr>
            <w:tcW w:w="1984" w:type="dxa"/>
            <w:tcBorders>
              <w:top w:val="nil"/>
              <w:left w:val="nil"/>
              <w:right w:val="nil"/>
            </w:tcBorders>
            <w:shd w:val="clear" w:color="auto" w:fill="auto"/>
            <w:noWrap/>
            <w:vAlign w:val="center"/>
            <w:hideMark/>
          </w:tcPr>
          <w:p w14:paraId="3980AC45"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58</w:t>
            </w:r>
          </w:p>
        </w:tc>
        <w:tc>
          <w:tcPr>
            <w:tcW w:w="1843" w:type="dxa"/>
            <w:tcBorders>
              <w:top w:val="nil"/>
              <w:left w:val="nil"/>
              <w:right w:val="nil"/>
            </w:tcBorders>
            <w:shd w:val="clear" w:color="auto" w:fill="auto"/>
            <w:noWrap/>
            <w:vAlign w:val="center"/>
            <w:hideMark/>
          </w:tcPr>
          <w:p w14:paraId="185DAB69"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19</w:t>
            </w:r>
          </w:p>
        </w:tc>
        <w:tc>
          <w:tcPr>
            <w:tcW w:w="1701" w:type="dxa"/>
            <w:tcBorders>
              <w:top w:val="nil"/>
              <w:left w:val="nil"/>
              <w:right w:val="nil"/>
            </w:tcBorders>
            <w:vAlign w:val="center"/>
          </w:tcPr>
          <w:p w14:paraId="5A792DB6" w14:textId="1CE98A68" w:rsidR="00E44119" w:rsidRPr="00555058" w:rsidRDefault="00E44119" w:rsidP="00E44119">
            <w:pPr>
              <w:jc w:val="center"/>
              <w:rPr>
                <w:sz w:val="20"/>
                <w:szCs w:val="20"/>
                <w:lang w:eastAsia="en-GB"/>
              </w:rPr>
            </w:pPr>
            <w:r w:rsidRPr="00555058">
              <w:rPr>
                <w:sz w:val="20"/>
                <w:szCs w:val="20"/>
                <w:lang w:eastAsia="en-GB"/>
              </w:rPr>
              <w:t>1</w:t>
            </w:r>
          </w:p>
        </w:tc>
        <w:tc>
          <w:tcPr>
            <w:tcW w:w="1801" w:type="dxa"/>
            <w:tcBorders>
              <w:top w:val="nil"/>
              <w:left w:val="nil"/>
              <w:right w:val="nil"/>
            </w:tcBorders>
            <w:shd w:val="clear" w:color="auto" w:fill="auto"/>
            <w:noWrap/>
            <w:vAlign w:val="center"/>
            <w:hideMark/>
          </w:tcPr>
          <w:p w14:paraId="5C85948A" w14:textId="6F57B42C" w:rsidR="00E44119" w:rsidRPr="00555058" w:rsidRDefault="00E44119" w:rsidP="00E44119">
            <w:pPr>
              <w:jc w:val="center"/>
              <w:rPr>
                <w:sz w:val="20"/>
                <w:szCs w:val="20"/>
                <w:lang w:eastAsia="en-GB"/>
              </w:rPr>
            </w:pPr>
            <w:r w:rsidRPr="00555058">
              <w:rPr>
                <w:sz w:val="20"/>
                <w:szCs w:val="20"/>
                <w:lang w:eastAsia="en-GB"/>
              </w:rPr>
              <w:t>3</w:t>
            </w:r>
          </w:p>
        </w:tc>
        <w:tc>
          <w:tcPr>
            <w:tcW w:w="1649" w:type="dxa"/>
            <w:gridSpan w:val="2"/>
            <w:tcBorders>
              <w:top w:val="nil"/>
              <w:left w:val="nil"/>
              <w:right w:val="nil"/>
            </w:tcBorders>
            <w:shd w:val="clear" w:color="auto" w:fill="auto"/>
            <w:noWrap/>
            <w:vAlign w:val="center"/>
            <w:hideMark/>
          </w:tcPr>
          <w:p w14:paraId="20589814" w14:textId="77777777" w:rsidR="00E44119" w:rsidRPr="00555058" w:rsidRDefault="00E44119" w:rsidP="00E44119">
            <w:pPr>
              <w:jc w:val="center"/>
              <w:rPr>
                <w:sz w:val="20"/>
                <w:szCs w:val="20"/>
                <w:lang w:eastAsia="en-GB"/>
              </w:rPr>
            </w:pPr>
            <w:r w:rsidRPr="00555058">
              <w:rPr>
                <w:sz w:val="20"/>
                <w:szCs w:val="20"/>
                <w:lang w:eastAsia="en-GB"/>
              </w:rPr>
              <w:t>9</w:t>
            </w:r>
          </w:p>
        </w:tc>
      </w:tr>
      <w:tr w:rsidR="00E44119" w:rsidRPr="00555058" w14:paraId="36A5E73C" w14:textId="77777777" w:rsidTr="001D64DC">
        <w:trPr>
          <w:trHeight w:val="320"/>
        </w:trPr>
        <w:tc>
          <w:tcPr>
            <w:tcW w:w="1532" w:type="dxa"/>
            <w:tcBorders>
              <w:left w:val="nil"/>
              <w:bottom w:val="nil"/>
              <w:right w:val="nil"/>
            </w:tcBorders>
            <w:shd w:val="clear" w:color="auto" w:fill="auto"/>
            <w:noWrap/>
            <w:vAlign w:val="center"/>
            <w:hideMark/>
          </w:tcPr>
          <w:p w14:paraId="7CC22DA7" w14:textId="77777777" w:rsidR="00E44119" w:rsidRPr="00555058" w:rsidRDefault="00E44119" w:rsidP="00E44119">
            <w:pPr>
              <w:rPr>
                <w:sz w:val="20"/>
                <w:szCs w:val="20"/>
                <w:lang w:eastAsia="en-GB"/>
              </w:rPr>
            </w:pPr>
            <w:proofErr w:type="spellStart"/>
            <w:r w:rsidRPr="00555058">
              <w:rPr>
                <w:sz w:val="20"/>
                <w:szCs w:val="20"/>
                <w:lang w:eastAsia="en-GB"/>
              </w:rPr>
              <w:t>Hungary</w:t>
            </w:r>
            <w:proofErr w:type="spellEnd"/>
          </w:p>
        </w:tc>
        <w:tc>
          <w:tcPr>
            <w:tcW w:w="736" w:type="dxa"/>
            <w:tcBorders>
              <w:left w:val="nil"/>
              <w:bottom w:val="nil"/>
              <w:right w:val="nil"/>
            </w:tcBorders>
            <w:shd w:val="clear" w:color="auto" w:fill="auto"/>
            <w:noWrap/>
            <w:vAlign w:val="center"/>
            <w:hideMark/>
          </w:tcPr>
          <w:p w14:paraId="405E67D1" w14:textId="77777777" w:rsidR="00E44119" w:rsidRPr="00555058" w:rsidRDefault="00E44119" w:rsidP="00E44119">
            <w:pPr>
              <w:jc w:val="center"/>
              <w:rPr>
                <w:sz w:val="20"/>
                <w:szCs w:val="20"/>
                <w:lang w:eastAsia="en-GB"/>
              </w:rPr>
            </w:pPr>
            <w:r w:rsidRPr="00555058">
              <w:rPr>
                <w:sz w:val="20"/>
                <w:szCs w:val="20"/>
                <w:lang w:eastAsia="en-GB"/>
              </w:rPr>
              <w:t>1990</w:t>
            </w:r>
          </w:p>
        </w:tc>
        <w:tc>
          <w:tcPr>
            <w:tcW w:w="709" w:type="dxa"/>
            <w:tcBorders>
              <w:left w:val="nil"/>
              <w:bottom w:val="nil"/>
              <w:right w:val="nil"/>
            </w:tcBorders>
            <w:shd w:val="clear" w:color="auto" w:fill="auto"/>
            <w:noWrap/>
            <w:vAlign w:val="center"/>
            <w:hideMark/>
          </w:tcPr>
          <w:p w14:paraId="00C188FB" w14:textId="77777777" w:rsidR="00E44119" w:rsidRPr="00555058" w:rsidRDefault="00E44119" w:rsidP="00E44119">
            <w:pPr>
              <w:jc w:val="center"/>
              <w:rPr>
                <w:sz w:val="20"/>
                <w:szCs w:val="20"/>
                <w:lang w:eastAsia="en-GB"/>
              </w:rPr>
            </w:pPr>
            <w:r w:rsidRPr="00555058">
              <w:rPr>
                <w:sz w:val="20"/>
                <w:szCs w:val="20"/>
                <w:lang w:eastAsia="en-GB"/>
              </w:rPr>
              <w:t>2014</w:t>
            </w:r>
          </w:p>
        </w:tc>
        <w:tc>
          <w:tcPr>
            <w:tcW w:w="1134" w:type="dxa"/>
            <w:tcBorders>
              <w:left w:val="nil"/>
              <w:bottom w:val="nil"/>
              <w:right w:val="nil"/>
            </w:tcBorders>
            <w:shd w:val="clear" w:color="auto" w:fill="auto"/>
            <w:noWrap/>
            <w:vAlign w:val="center"/>
            <w:hideMark/>
          </w:tcPr>
          <w:p w14:paraId="1BB0C6AC" w14:textId="77777777" w:rsidR="00E44119" w:rsidRPr="00555058" w:rsidRDefault="00E44119" w:rsidP="00E44119">
            <w:pPr>
              <w:jc w:val="center"/>
              <w:rPr>
                <w:sz w:val="20"/>
                <w:szCs w:val="20"/>
                <w:lang w:eastAsia="en-GB"/>
              </w:rPr>
            </w:pPr>
            <w:r w:rsidRPr="00555058">
              <w:rPr>
                <w:sz w:val="20"/>
                <w:szCs w:val="20"/>
                <w:lang w:eastAsia="en-GB"/>
              </w:rPr>
              <w:t>7</w:t>
            </w:r>
          </w:p>
        </w:tc>
        <w:tc>
          <w:tcPr>
            <w:tcW w:w="851" w:type="dxa"/>
            <w:tcBorders>
              <w:left w:val="nil"/>
              <w:bottom w:val="nil"/>
              <w:right w:val="nil"/>
            </w:tcBorders>
            <w:shd w:val="clear" w:color="auto" w:fill="auto"/>
            <w:noWrap/>
            <w:vAlign w:val="center"/>
            <w:hideMark/>
          </w:tcPr>
          <w:p w14:paraId="67C284E2" w14:textId="77777777" w:rsidR="00E44119" w:rsidRPr="00555058" w:rsidRDefault="00E44119" w:rsidP="00E44119">
            <w:pPr>
              <w:jc w:val="center"/>
              <w:rPr>
                <w:sz w:val="20"/>
                <w:szCs w:val="20"/>
                <w:lang w:eastAsia="en-GB"/>
              </w:rPr>
            </w:pPr>
            <w:r w:rsidRPr="00555058">
              <w:rPr>
                <w:sz w:val="20"/>
                <w:szCs w:val="20"/>
                <w:lang w:eastAsia="en-GB"/>
              </w:rPr>
              <w:t>10</w:t>
            </w:r>
          </w:p>
        </w:tc>
        <w:tc>
          <w:tcPr>
            <w:tcW w:w="1984" w:type="dxa"/>
            <w:tcBorders>
              <w:left w:val="nil"/>
              <w:bottom w:val="nil"/>
              <w:right w:val="nil"/>
            </w:tcBorders>
            <w:shd w:val="clear" w:color="auto" w:fill="auto"/>
            <w:noWrap/>
            <w:vAlign w:val="center"/>
            <w:hideMark/>
          </w:tcPr>
          <w:p w14:paraId="2C70B39F"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71</w:t>
            </w:r>
          </w:p>
        </w:tc>
        <w:tc>
          <w:tcPr>
            <w:tcW w:w="1843" w:type="dxa"/>
            <w:tcBorders>
              <w:left w:val="nil"/>
              <w:bottom w:val="nil"/>
              <w:right w:val="nil"/>
            </w:tcBorders>
            <w:shd w:val="clear" w:color="auto" w:fill="auto"/>
            <w:noWrap/>
            <w:vAlign w:val="center"/>
            <w:hideMark/>
          </w:tcPr>
          <w:p w14:paraId="7AA7B0ED"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38</w:t>
            </w:r>
          </w:p>
        </w:tc>
        <w:tc>
          <w:tcPr>
            <w:tcW w:w="1701" w:type="dxa"/>
            <w:tcBorders>
              <w:left w:val="nil"/>
              <w:bottom w:val="nil"/>
              <w:right w:val="nil"/>
            </w:tcBorders>
            <w:vAlign w:val="center"/>
          </w:tcPr>
          <w:p w14:paraId="01D8885E" w14:textId="466F7C44"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left w:val="nil"/>
              <w:bottom w:val="nil"/>
              <w:right w:val="nil"/>
            </w:tcBorders>
            <w:shd w:val="clear" w:color="auto" w:fill="auto"/>
            <w:noWrap/>
            <w:vAlign w:val="center"/>
            <w:hideMark/>
          </w:tcPr>
          <w:p w14:paraId="0E3B6FF5" w14:textId="4E9FD07F" w:rsidR="00E44119" w:rsidRPr="00555058" w:rsidRDefault="00E44119" w:rsidP="00E44119">
            <w:pPr>
              <w:jc w:val="center"/>
              <w:rPr>
                <w:sz w:val="20"/>
                <w:szCs w:val="20"/>
                <w:lang w:eastAsia="en-GB"/>
              </w:rPr>
            </w:pPr>
            <w:r w:rsidRPr="00555058">
              <w:rPr>
                <w:sz w:val="20"/>
                <w:szCs w:val="20"/>
                <w:lang w:eastAsia="en-GB"/>
              </w:rPr>
              <w:t>3</w:t>
            </w:r>
          </w:p>
        </w:tc>
        <w:tc>
          <w:tcPr>
            <w:tcW w:w="1649" w:type="dxa"/>
            <w:gridSpan w:val="2"/>
            <w:tcBorders>
              <w:left w:val="nil"/>
              <w:bottom w:val="nil"/>
              <w:right w:val="nil"/>
            </w:tcBorders>
            <w:shd w:val="clear" w:color="auto" w:fill="auto"/>
            <w:noWrap/>
            <w:vAlign w:val="center"/>
            <w:hideMark/>
          </w:tcPr>
          <w:p w14:paraId="31E1988B" w14:textId="77777777" w:rsidR="00E44119" w:rsidRPr="00555058" w:rsidRDefault="00E44119" w:rsidP="00E44119">
            <w:pPr>
              <w:jc w:val="center"/>
              <w:rPr>
                <w:sz w:val="20"/>
                <w:szCs w:val="20"/>
                <w:lang w:eastAsia="en-GB"/>
              </w:rPr>
            </w:pPr>
            <w:r w:rsidRPr="00555058">
              <w:rPr>
                <w:sz w:val="20"/>
                <w:szCs w:val="20"/>
                <w:lang w:eastAsia="en-GB"/>
              </w:rPr>
              <w:t>4</w:t>
            </w:r>
          </w:p>
        </w:tc>
      </w:tr>
      <w:tr w:rsidR="00E44119" w:rsidRPr="00555058" w14:paraId="0B9D597B" w14:textId="77777777" w:rsidTr="001D64DC">
        <w:trPr>
          <w:trHeight w:val="320"/>
        </w:trPr>
        <w:tc>
          <w:tcPr>
            <w:tcW w:w="1532" w:type="dxa"/>
            <w:tcBorders>
              <w:top w:val="nil"/>
              <w:left w:val="nil"/>
              <w:bottom w:val="nil"/>
              <w:right w:val="nil"/>
            </w:tcBorders>
            <w:shd w:val="clear" w:color="auto" w:fill="auto"/>
            <w:noWrap/>
            <w:vAlign w:val="center"/>
            <w:hideMark/>
          </w:tcPr>
          <w:p w14:paraId="15A4C15D" w14:textId="77777777" w:rsidR="00E44119" w:rsidRPr="00555058" w:rsidRDefault="00E44119" w:rsidP="00E44119">
            <w:pPr>
              <w:rPr>
                <w:sz w:val="20"/>
                <w:szCs w:val="20"/>
                <w:lang w:eastAsia="en-GB"/>
              </w:rPr>
            </w:pPr>
            <w:proofErr w:type="spellStart"/>
            <w:r w:rsidRPr="00555058">
              <w:rPr>
                <w:sz w:val="20"/>
                <w:szCs w:val="20"/>
                <w:lang w:eastAsia="en-GB"/>
              </w:rPr>
              <w:t>Lithuania</w:t>
            </w:r>
            <w:proofErr w:type="spellEnd"/>
          </w:p>
        </w:tc>
        <w:tc>
          <w:tcPr>
            <w:tcW w:w="736" w:type="dxa"/>
            <w:tcBorders>
              <w:top w:val="nil"/>
              <w:left w:val="nil"/>
              <w:bottom w:val="nil"/>
              <w:right w:val="nil"/>
            </w:tcBorders>
            <w:shd w:val="clear" w:color="auto" w:fill="auto"/>
            <w:noWrap/>
            <w:vAlign w:val="center"/>
            <w:hideMark/>
          </w:tcPr>
          <w:p w14:paraId="6C9ADB15" w14:textId="77777777" w:rsidR="00E44119" w:rsidRPr="00555058" w:rsidRDefault="00E44119" w:rsidP="00E44119">
            <w:pPr>
              <w:jc w:val="center"/>
              <w:rPr>
                <w:sz w:val="20"/>
                <w:szCs w:val="20"/>
                <w:lang w:eastAsia="en-GB"/>
              </w:rPr>
            </w:pPr>
            <w:r w:rsidRPr="00555058">
              <w:rPr>
                <w:sz w:val="20"/>
                <w:szCs w:val="20"/>
                <w:lang w:eastAsia="en-GB"/>
              </w:rPr>
              <w:t>1990</w:t>
            </w:r>
          </w:p>
        </w:tc>
        <w:tc>
          <w:tcPr>
            <w:tcW w:w="709" w:type="dxa"/>
            <w:tcBorders>
              <w:top w:val="nil"/>
              <w:left w:val="nil"/>
              <w:bottom w:val="nil"/>
              <w:right w:val="nil"/>
            </w:tcBorders>
            <w:shd w:val="clear" w:color="auto" w:fill="auto"/>
            <w:noWrap/>
            <w:vAlign w:val="center"/>
            <w:hideMark/>
          </w:tcPr>
          <w:p w14:paraId="0BD3ADB7" w14:textId="77777777" w:rsidR="00E44119" w:rsidRPr="00555058" w:rsidRDefault="00E44119" w:rsidP="00E44119">
            <w:pPr>
              <w:jc w:val="center"/>
              <w:rPr>
                <w:sz w:val="20"/>
                <w:szCs w:val="20"/>
                <w:lang w:eastAsia="en-GB"/>
              </w:rPr>
            </w:pPr>
            <w:r w:rsidRPr="00555058">
              <w:rPr>
                <w:sz w:val="20"/>
                <w:szCs w:val="20"/>
                <w:lang w:eastAsia="en-GB"/>
              </w:rPr>
              <w:t>2012</w:t>
            </w:r>
          </w:p>
        </w:tc>
        <w:tc>
          <w:tcPr>
            <w:tcW w:w="1134" w:type="dxa"/>
            <w:tcBorders>
              <w:top w:val="nil"/>
              <w:left w:val="nil"/>
              <w:bottom w:val="nil"/>
              <w:right w:val="nil"/>
            </w:tcBorders>
            <w:shd w:val="clear" w:color="auto" w:fill="auto"/>
            <w:noWrap/>
            <w:vAlign w:val="center"/>
            <w:hideMark/>
          </w:tcPr>
          <w:p w14:paraId="52BC0D56" w14:textId="77777777" w:rsidR="00E44119" w:rsidRPr="00555058" w:rsidRDefault="00E44119" w:rsidP="00E44119">
            <w:pPr>
              <w:jc w:val="center"/>
              <w:rPr>
                <w:sz w:val="20"/>
                <w:szCs w:val="20"/>
                <w:lang w:eastAsia="en-GB"/>
              </w:rPr>
            </w:pPr>
            <w:r w:rsidRPr="00555058">
              <w:rPr>
                <w:sz w:val="20"/>
                <w:szCs w:val="20"/>
                <w:lang w:eastAsia="en-GB"/>
              </w:rPr>
              <w:t>7</w:t>
            </w:r>
          </w:p>
        </w:tc>
        <w:tc>
          <w:tcPr>
            <w:tcW w:w="851" w:type="dxa"/>
            <w:tcBorders>
              <w:top w:val="nil"/>
              <w:left w:val="nil"/>
              <w:bottom w:val="nil"/>
              <w:right w:val="nil"/>
            </w:tcBorders>
            <w:shd w:val="clear" w:color="auto" w:fill="auto"/>
            <w:noWrap/>
            <w:vAlign w:val="center"/>
            <w:hideMark/>
          </w:tcPr>
          <w:p w14:paraId="13587D81" w14:textId="77777777" w:rsidR="00E44119" w:rsidRPr="00555058" w:rsidRDefault="00E44119" w:rsidP="00E44119">
            <w:pPr>
              <w:jc w:val="center"/>
              <w:rPr>
                <w:sz w:val="20"/>
                <w:szCs w:val="20"/>
                <w:lang w:eastAsia="en-GB"/>
              </w:rPr>
            </w:pPr>
            <w:r w:rsidRPr="00555058">
              <w:rPr>
                <w:sz w:val="20"/>
                <w:szCs w:val="20"/>
                <w:lang w:eastAsia="en-GB"/>
              </w:rPr>
              <w:t>10</w:t>
            </w:r>
          </w:p>
        </w:tc>
        <w:tc>
          <w:tcPr>
            <w:tcW w:w="1984" w:type="dxa"/>
            <w:tcBorders>
              <w:top w:val="nil"/>
              <w:left w:val="nil"/>
              <w:bottom w:val="nil"/>
              <w:right w:val="nil"/>
            </w:tcBorders>
            <w:shd w:val="clear" w:color="auto" w:fill="auto"/>
            <w:noWrap/>
            <w:vAlign w:val="center"/>
            <w:hideMark/>
          </w:tcPr>
          <w:p w14:paraId="44D3687F"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57</w:t>
            </w:r>
          </w:p>
        </w:tc>
        <w:tc>
          <w:tcPr>
            <w:tcW w:w="1843" w:type="dxa"/>
            <w:tcBorders>
              <w:top w:val="nil"/>
              <w:left w:val="nil"/>
              <w:bottom w:val="nil"/>
              <w:right w:val="nil"/>
            </w:tcBorders>
            <w:shd w:val="clear" w:color="auto" w:fill="auto"/>
            <w:noWrap/>
            <w:vAlign w:val="center"/>
            <w:hideMark/>
          </w:tcPr>
          <w:p w14:paraId="7D5CB789"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21</w:t>
            </w:r>
          </w:p>
        </w:tc>
        <w:tc>
          <w:tcPr>
            <w:tcW w:w="1701" w:type="dxa"/>
            <w:tcBorders>
              <w:top w:val="nil"/>
              <w:left w:val="nil"/>
              <w:bottom w:val="nil"/>
              <w:right w:val="nil"/>
            </w:tcBorders>
            <w:vAlign w:val="center"/>
          </w:tcPr>
          <w:p w14:paraId="33F5A640" w14:textId="3DFF174B"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68F9F615" w14:textId="18FAF836" w:rsidR="00E44119" w:rsidRPr="00555058" w:rsidRDefault="00E44119" w:rsidP="00E44119">
            <w:pPr>
              <w:jc w:val="center"/>
              <w:rPr>
                <w:sz w:val="20"/>
                <w:szCs w:val="20"/>
                <w:lang w:eastAsia="en-GB"/>
              </w:rPr>
            </w:pPr>
            <w:r w:rsidRPr="00555058">
              <w:rPr>
                <w:sz w:val="20"/>
                <w:szCs w:val="20"/>
                <w:lang w:eastAsia="en-GB"/>
              </w:rPr>
              <w:t>1</w:t>
            </w:r>
          </w:p>
        </w:tc>
        <w:tc>
          <w:tcPr>
            <w:tcW w:w="1649" w:type="dxa"/>
            <w:gridSpan w:val="2"/>
            <w:tcBorders>
              <w:top w:val="nil"/>
              <w:left w:val="nil"/>
              <w:bottom w:val="nil"/>
              <w:right w:val="nil"/>
            </w:tcBorders>
            <w:shd w:val="clear" w:color="auto" w:fill="auto"/>
            <w:noWrap/>
            <w:vAlign w:val="center"/>
            <w:hideMark/>
          </w:tcPr>
          <w:p w14:paraId="53CD720E" w14:textId="77777777" w:rsidR="00E44119" w:rsidRPr="00555058" w:rsidRDefault="00E44119" w:rsidP="00E44119">
            <w:pPr>
              <w:jc w:val="center"/>
              <w:rPr>
                <w:sz w:val="20"/>
                <w:szCs w:val="20"/>
                <w:lang w:eastAsia="en-GB"/>
              </w:rPr>
            </w:pPr>
            <w:r w:rsidRPr="00555058">
              <w:rPr>
                <w:sz w:val="20"/>
                <w:szCs w:val="20"/>
                <w:lang w:eastAsia="en-GB"/>
              </w:rPr>
              <w:t>3</w:t>
            </w:r>
          </w:p>
        </w:tc>
      </w:tr>
      <w:tr w:rsidR="00E44119" w:rsidRPr="00555058" w14:paraId="54CE1A42" w14:textId="77777777" w:rsidTr="001D64DC">
        <w:trPr>
          <w:trHeight w:val="320"/>
        </w:trPr>
        <w:tc>
          <w:tcPr>
            <w:tcW w:w="1532" w:type="dxa"/>
            <w:tcBorders>
              <w:top w:val="nil"/>
              <w:left w:val="nil"/>
              <w:bottom w:val="nil"/>
              <w:right w:val="nil"/>
            </w:tcBorders>
            <w:shd w:val="clear" w:color="auto" w:fill="auto"/>
            <w:noWrap/>
            <w:vAlign w:val="center"/>
            <w:hideMark/>
          </w:tcPr>
          <w:p w14:paraId="2E7E87B8" w14:textId="77777777" w:rsidR="00E44119" w:rsidRPr="00555058" w:rsidRDefault="00E44119" w:rsidP="00E44119">
            <w:pPr>
              <w:rPr>
                <w:sz w:val="20"/>
                <w:szCs w:val="20"/>
                <w:lang w:eastAsia="en-GB"/>
              </w:rPr>
            </w:pPr>
            <w:r w:rsidRPr="00555058">
              <w:rPr>
                <w:sz w:val="20"/>
                <w:szCs w:val="20"/>
                <w:lang w:eastAsia="en-GB"/>
              </w:rPr>
              <w:t>Austria</w:t>
            </w:r>
          </w:p>
        </w:tc>
        <w:tc>
          <w:tcPr>
            <w:tcW w:w="736" w:type="dxa"/>
            <w:tcBorders>
              <w:top w:val="nil"/>
              <w:left w:val="nil"/>
              <w:bottom w:val="nil"/>
              <w:right w:val="nil"/>
            </w:tcBorders>
            <w:shd w:val="clear" w:color="auto" w:fill="auto"/>
            <w:noWrap/>
            <w:vAlign w:val="center"/>
            <w:hideMark/>
          </w:tcPr>
          <w:p w14:paraId="472974FC" w14:textId="77777777" w:rsidR="00E44119" w:rsidRPr="00555058" w:rsidRDefault="00E44119" w:rsidP="00E44119">
            <w:pPr>
              <w:jc w:val="center"/>
              <w:rPr>
                <w:sz w:val="20"/>
                <w:szCs w:val="20"/>
                <w:lang w:eastAsia="en-GB"/>
              </w:rPr>
            </w:pPr>
            <w:r w:rsidRPr="00555058">
              <w:rPr>
                <w:sz w:val="20"/>
                <w:szCs w:val="20"/>
                <w:lang w:eastAsia="en-GB"/>
              </w:rPr>
              <w:t>1945</w:t>
            </w:r>
          </w:p>
        </w:tc>
        <w:tc>
          <w:tcPr>
            <w:tcW w:w="709" w:type="dxa"/>
            <w:tcBorders>
              <w:top w:val="nil"/>
              <w:left w:val="nil"/>
              <w:bottom w:val="nil"/>
              <w:right w:val="nil"/>
            </w:tcBorders>
            <w:shd w:val="clear" w:color="auto" w:fill="auto"/>
            <w:noWrap/>
            <w:vAlign w:val="center"/>
            <w:hideMark/>
          </w:tcPr>
          <w:p w14:paraId="1C79CAE7" w14:textId="77777777" w:rsidR="00E44119" w:rsidRPr="00555058" w:rsidRDefault="00E44119" w:rsidP="00E44119">
            <w:pPr>
              <w:jc w:val="center"/>
              <w:rPr>
                <w:sz w:val="20"/>
                <w:szCs w:val="20"/>
                <w:lang w:eastAsia="en-GB"/>
              </w:rPr>
            </w:pPr>
            <w:r w:rsidRPr="00555058">
              <w:rPr>
                <w:sz w:val="20"/>
                <w:szCs w:val="20"/>
                <w:lang w:eastAsia="en-GB"/>
              </w:rPr>
              <w:t>2013</w:t>
            </w:r>
          </w:p>
        </w:tc>
        <w:tc>
          <w:tcPr>
            <w:tcW w:w="1134" w:type="dxa"/>
            <w:tcBorders>
              <w:top w:val="nil"/>
              <w:left w:val="nil"/>
              <w:bottom w:val="nil"/>
              <w:right w:val="nil"/>
            </w:tcBorders>
            <w:shd w:val="clear" w:color="auto" w:fill="auto"/>
            <w:noWrap/>
            <w:vAlign w:val="center"/>
            <w:hideMark/>
          </w:tcPr>
          <w:p w14:paraId="0769D437" w14:textId="77777777" w:rsidR="00E44119" w:rsidRPr="00555058" w:rsidRDefault="00E44119" w:rsidP="00E44119">
            <w:pPr>
              <w:jc w:val="center"/>
              <w:rPr>
                <w:sz w:val="20"/>
                <w:szCs w:val="20"/>
                <w:lang w:eastAsia="en-GB"/>
              </w:rPr>
            </w:pPr>
            <w:r w:rsidRPr="00555058">
              <w:rPr>
                <w:sz w:val="20"/>
                <w:szCs w:val="20"/>
                <w:lang w:eastAsia="en-GB"/>
              </w:rPr>
              <w:t>21</w:t>
            </w:r>
          </w:p>
        </w:tc>
        <w:tc>
          <w:tcPr>
            <w:tcW w:w="851" w:type="dxa"/>
            <w:tcBorders>
              <w:top w:val="nil"/>
              <w:left w:val="nil"/>
              <w:bottom w:val="nil"/>
              <w:right w:val="nil"/>
            </w:tcBorders>
            <w:shd w:val="clear" w:color="auto" w:fill="auto"/>
            <w:noWrap/>
            <w:vAlign w:val="center"/>
            <w:hideMark/>
          </w:tcPr>
          <w:p w14:paraId="01FF02B9" w14:textId="77777777" w:rsidR="00E44119" w:rsidRPr="00555058" w:rsidRDefault="00E44119" w:rsidP="00E44119">
            <w:pPr>
              <w:jc w:val="center"/>
              <w:rPr>
                <w:sz w:val="20"/>
                <w:szCs w:val="20"/>
                <w:lang w:eastAsia="en-GB"/>
              </w:rPr>
            </w:pPr>
            <w:r w:rsidRPr="00555058">
              <w:rPr>
                <w:sz w:val="20"/>
                <w:szCs w:val="20"/>
                <w:lang w:eastAsia="en-GB"/>
              </w:rPr>
              <w:t>9</w:t>
            </w:r>
          </w:p>
        </w:tc>
        <w:tc>
          <w:tcPr>
            <w:tcW w:w="1984" w:type="dxa"/>
            <w:tcBorders>
              <w:top w:val="nil"/>
              <w:left w:val="nil"/>
              <w:bottom w:val="nil"/>
              <w:right w:val="nil"/>
            </w:tcBorders>
            <w:shd w:val="clear" w:color="auto" w:fill="auto"/>
            <w:noWrap/>
            <w:vAlign w:val="center"/>
            <w:hideMark/>
          </w:tcPr>
          <w:p w14:paraId="2F182449"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43</w:t>
            </w:r>
          </w:p>
        </w:tc>
        <w:tc>
          <w:tcPr>
            <w:tcW w:w="1843" w:type="dxa"/>
            <w:tcBorders>
              <w:top w:val="nil"/>
              <w:left w:val="nil"/>
              <w:bottom w:val="nil"/>
              <w:right w:val="nil"/>
            </w:tcBorders>
            <w:shd w:val="clear" w:color="auto" w:fill="auto"/>
            <w:noWrap/>
            <w:vAlign w:val="center"/>
            <w:hideMark/>
          </w:tcPr>
          <w:p w14:paraId="4C34DD63"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31</w:t>
            </w:r>
          </w:p>
        </w:tc>
        <w:tc>
          <w:tcPr>
            <w:tcW w:w="1701" w:type="dxa"/>
            <w:tcBorders>
              <w:top w:val="nil"/>
              <w:left w:val="nil"/>
              <w:bottom w:val="nil"/>
              <w:right w:val="nil"/>
            </w:tcBorders>
            <w:vAlign w:val="center"/>
          </w:tcPr>
          <w:p w14:paraId="470BF6CE" w14:textId="7E2D62DF" w:rsidR="00E44119" w:rsidRPr="00555058" w:rsidRDefault="00E44119" w:rsidP="00E44119">
            <w:pPr>
              <w:jc w:val="center"/>
              <w:rPr>
                <w:sz w:val="20"/>
                <w:szCs w:val="20"/>
                <w:lang w:eastAsia="en-GB"/>
              </w:rPr>
            </w:pPr>
            <w:r w:rsidRPr="00555058">
              <w:rPr>
                <w:sz w:val="20"/>
                <w:szCs w:val="20"/>
                <w:lang w:eastAsia="en-GB"/>
              </w:rPr>
              <w:t>5</w:t>
            </w:r>
          </w:p>
        </w:tc>
        <w:tc>
          <w:tcPr>
            <w:tcW w:w="1801" w:type="dxa"/>
            <w:tcBorders>
              <w:top w:val="nil"/>
              <w:left w:val="nil"/>
              <w:bottom w:val="nil"/>
              <w:right w:val="nil"/>
            </w:tcBorders>
            <w:shd w:val="clear" w:color="auto" w:fill="auto"/>
            <w:noWrap/>
            <w:vAlign w:val="center"/>
            <w:hideMark/>
          </w:tcPr>
          <w:p w14:paraId="231DF9C8" w14:textId="774C3139" w:rsidR="00E44119" w:rsidRPr="00555058" w:rsidRDefault="00E44119" w:rsidP="00E44119">
            <w:pPr>
              <w:jc w:val="center"/>
              <w:rPr>
                <w:sz w:val="20"/>
                <w:szCs w:val="20"/>
                <w:lang w:eastAsia="en-GB"/>
              </w:rPr>
            </w:pPr>
            <w:r w:rsidRPr="00555058">
              <w:rPr>
                <w:sz w:val="20"/>
                <w:szCs w:val="20"/>
                <w:lang w:eastAsia="en-GB"/>
              </w:rPr>
              <w:t>7</w:t>
            </w:r>
          </w:p>
        </w:tc>
        <w:tc>
          <w:tcPr>
            <w:tcW w:w="1649" w:type="dxa"/>
            <w:gridSpan w:val="2"/>
            <w:tcBorders>
              <w:top w:val="nil"/>
              <w:left w:val="nil"/>
              <w:bottom w:val="nil"/>
              <w:right w:val="nil"/>
            </w:tcBorders>
            <w:shd w:val="clear" w:color="auto" w:fill="auto"/>
            <w:noWrap/>
            <w:vAlign w:val="center"/>
            <w:hideMark/>
          </w:tcPr>
          <w:p w14:paraId="4A525D32" w14:textId="77777777" w:rsidR="00E44119" w:rsidRPr="00555058" w:rsidRDefault="00E44119" w:rsidP="00E44119">
            <w:pPr>
              <w:jc w:val="center"/>
              <w:rPr>
                <w:sz w:val="20"/>
                <w:szCs w:val="20"/>
                <w:lang w:eastAsia="en-GB"/>
              </w:rPr>
            </w:pPr>
            <w:r w:rsidRPr="00555058">
              <w:rPr>
                <w:sz w:val="20"/>
                <w:szCs w:val="20"/>
                <w:lang w:eastAsia="en-GB"/>
              </w:rPr>
              <w:t>1</w:t>
            </w:r>
          </w:p>
        </w:tc>
      </w:tr>
      <w:tr w:rsidR="00E44119" w:rsidRPr="00555058" w14:paraId="33F268A1" w14:textId="77777777" w:rsidTr="001D64DC">
        <w:trPr>
          <w:trHeight w:val="320"/>
        </w:trPr>
        <w:tc>
          <w:tcPr>
            <w:tcW w:w="1532" w:type="dxa"/>
            <w:tcBorders>
              <w:top w:val="nil"/>
              <w:left w:val="nil"/>
              <w:bottom w:val="nil"/>
              <w:right w:val="nil"/>
            </w:tcBorders>
            <w:shd w:val="clear" w:color="auto" w:fill="auto"/>
            <w:noWrap/>
            <w:vAlign w:val="center"/>
            <w:hideMark/>
          </w:tcPr>
          <w:p w14:paraId="01D240AE" w14:textId="77777777" w:rsidR="00E44119" w:rsidRPr="00555058" w:rsidRDefault="00E44119" w:rsidP="00E44119">
            <w:pPr>
              <w:rPr>
                <w:sz w:val="20"/>
                <w:szCs w:val="20"/>
                <w:lang w:eastAsia="en-GB"/>
              </w:rPr>
            </w:pPr>
            <w:proofErr w:type="spellStart"/>
            <w:r w:rsidRPr="00555058">
              <w:rPr>
                <w:sz w:val="20"/>
                <w:szCs w:val="20"/>
                <w:lang w:eastAsia="en-GB"/>
              </w:rPr>
              <w:t>Greece</w:t>
            </w:r>
            <w:r w:rsidRPr="00555058">
              <w:rPr>
                <w:sz w:val="20"/>
                <w:szCs w:val="20"/>
                <w:vertAlign w:val="superscript"/>
                <w:lang w:eastAsia="en-GB"/>
              </w:rPr>
              <w:t>a</w:t>
            </w:r>
            <w:proofErr w:type="spellEnd"/>
          </w:p>
        </w:tc>
        <w:tc>
          <w:tcPr>
            <w:tcW w:w="736" w:type="dxa"/>
            <w:tcBorders>
              <w:top w:val="nil"/>
              <w:left w:val="nil"/>
              <w:bottom w:val="nil"/>
              <w:right w:val="nil"/>
            </w:tcBorders>
            <w:shd w:val="clear" w:color="auto" w:fill="auto"/>
            <w:noWrap/>
            <w:vAlign w:val="center"/>
            <w:hideMark/>
          </w:tcPr>
          <w:p w14:paraId="7A07F97F" w14:textId="77777777" w:rsidR="00E44119" w:rsidRPr="00555058" w:rsidRDefault="00E44119" w:rsidP="00E44119">
            <w:pPr>
              <w:jc w:val="center"/>
              <w:rPr>
                <w:sz w:val="20"/>
                <w:szCs w:val="20"/>
                <w:lang w:eastAsia="en-GB"/>
              </w:rPr>
            </w:pPr>
            <w:r w:rsidRPr="00555058">
              <w:rPr>
                <w:sz w:val="20"/>
                <w:szCs w:val="20"/>
                <w:lang w:eastAsia="en-GB"/>
              </w:rPr>
              <w:t>1974</w:t>
            </w:r>
          </w:p>
        </w:tc>
        <w:tc>
          <w:tcPr>
            <w:tcW w:w="709" w:type="dxa"/>
            <w:tcBorders>
              <w:top w:val="nil"/>
              <w:left w:val="nil"/>
              <w:bottom w:val="nil"/>
              <w:right w:val="nil"/>
            </w:tcBorders>
            <w:shd w:val="clear" w:color="auto" w:fill="auto"/>
            <w:noWrap/>
            <w:vAlign w:val="center"/>
            <w:hideMark/>
          </w:tcPr>
          <w:p w14:paraId="1EFB7660" w14:textId="77777777" w:rsidR="00E44119" w:rsidRPr="00555058" w:rsidRDefault="00E44119" w:rsidP="00E44119">
            <w:pPr>
              <w:jc w:val="center"/>
              <w:rPr>
                <w:sz w:val="20"/>
                <w:szCs w:val="20"/>
                <w:lang w:eastAsia="en-GB"/>
              </w:rPr>
            </w:pPr>
            <w:r w:rsidRPr="00555058">
              <w:rPr>
                <w:sz w:val="20"/>
                <w:szCs w:val="20"/>
                <w:lang w:eastAsia="en-GB"/>
              </w:rPr>
              <w:t>2015</w:t>
            </w:r>
          </w:p>
        </w:tc>
        <w:tc>
          <w:tcPr>
            <w:tcW w:w="1134" w:type="dxa"/>
            <w:tcBorders>
              <w:top w:val="nil"/>
              <w:left w:val="nil"/>
              <w:bottom w:val="nil"/>
              <w:right w:val="nil"/>
            </w:tcBorders>
            <w:shd w:val="clear" w:color="auto" w:fill="auto"/>
            <w:noWrap/>
            <w:vAlign w:val="center"/>
            <w:hideMark/>
          </w:tcPr>
          <w:p w14:paraId="2FF90762" w14:textId="77777777" w:rsidR="00E44119" w:rsidRPr="00555058" w:rsidRDefault="00E44119" w:rsidP="00E44119">
            <w:pPr>
              <w:jc w:val="center"/>
              <w:rPr>
                <w:sz w:val="20"/>
                <w:szCs w:val="20"/>
                <w:lang w:eastAsia="en-GB"/>
              </w:rPr>
            </w:pPr>
            <w:r w:rsidRPr="00555058">
              <w:rPr>
                <w:sz w:val="20"/>
                <w:szCs w:val="20"/>
                <w:lang w:eastAsia="en-GB"/>
              </w:rPr>
              <w:t>17</w:t>
            </w:r>
          </w:p>
        </w:tc>
        <w:tc>
          <w:tcPr>
            <w:tcW w:w="851" w:type="dxa"/>
            <w:tcBorders>
              <w:top w:val="nil"/>
              <w:left w:val="nil"/>
              <w:bottom w:val="nil"/>
              <w:right w:val="nil"/>
            </w:tcBorders>
            <w:shd w:val="clear" w:color="auto" w:fill="auto"/>
            <w:noWrap/>
            <w:vAlign w:val="center"/>
            <w:hideMark/>
          </w:tcPr>
          <w:p w14:paraId="7F9D1184" w14:textId="77777777" w:rsidR="00E44119" w:rsidRPr="00555058" w:rsidRDefault="00E44119" w:rsidP="00E44119">
            <w:pPr>
              <w:jc w:val="center"/>
              <w:rPr>
                <w:sz w:val="20"/>
                <w:szCs w:val="20"/>
                <w:lang w:eastAsia="en-GB"/>
              </w:rPr>
            </w:pPr>
            <w:r w:rsidRPr="00555058">
              <w:rPr>
                <w:sz w:val="20"/>
                <w:szCs w:val="20"/>
                <w:lang w:eastAsia="en-GB"/>
              </w:rPr>
              <w:t>9</w:t>
            </w:r>
          </w:p>
        </w:tc>
        <w:tc>
          <w:tcPr>
            <w:tcW w:w="1984" w:type="dxa"/>
            <w:tcBorders>
              <w:top w:val="nil"/>
              <w:left w:val="nil"/>
              <w:bottom w:val="nil"/>
              <w:right w:val="nil"/>
            </w:tcBorders>
            <w:shd w:val="clear" w:color="auto" w:fill="auto"/>
            <w:noWrap/>
            <w:vAlign w:val="center"/>
            <w:hideMark/>
          </w:tcPr>
          <w:p w14:paraId="47B5E9C4"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41</w:t>
            </w:r>
          </w:p>
        </w:tc>
        <w:tc>
          <w:tcPr>
            <w:tcW w:w="1843" w:type="dxa"/>
            <w:tcBorders>
              <w:top w:val="nil"/>
              <w:left w:val="nil"/>
              <w:bottom w:val="nil"/>
              <w:right w:val="nil"/>
            </w:tcBorders>
            <w:shd w:val="clear" w:color="auto" w:fill="auto"/>
            <w:noWrap/>
            <w:vAlign w:val="center"/>
            <w:hideMark/>
          </w:tcPr>
          <w:p w14:paraId="28D5E4F0"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12</w:t>
            </w:r>
          </w:p>
        </w:tc>
        <w:tc>
          <w:tcPr>
            <w:tcW w:w="1701" w:type="dxa"/>
            <w:tcBorders>
              <w:top w:val="nil"/>
              <w:left w:val="nil"/>
              <w:bottom w:val="nil"/>
              <w:right w:val="nil"/>
            </w:tcBorders>
            <w:vAlign w:val="center"/>
          </w:tcPr>
          <w:p w14:paraId="1EE4B650" w14:textId="7D57477D" w:rsidR="00E44119" w:rsidRPr="00555058" w:rsidRDefault="00D43AA7" w:rsidP="00E44119">
            <w:pPr>
              <w:jc w:val="center"/>
              <w:rPr>
                <w:sz w:val="20"/>
                <w:szCs w:val="20"/>
                <w:lang w:eastAsia="en-GB"/>
              </w:rPr>
            </w:pPr>
            <w:r>
              <w:rPr>
                <w:sz w:val="20"/>
                <w:szCs w:val="20"/>
                <w:lang w:eastAsia="en-GB"/>
              </w:rPr>
              <w:t>-</w:t>
            </w:r>
          </w:p>
        </w:tc>
        <w:tc>
          <w:tcPr>
            <w:tcW w:w="1801" w:type="dxa"/>
            <w:tcBorders>
              <w:top w:val="nil"/>
              <w:left w:val="nil"/>
              <w:bottom w:val="nil"/>
              <w:right w:val="nil"/>
            </w:tcBorders>
            <w:shd w:val="clear" w:color="auto" w:fill="auto"/>
            <w:noWrap/>
            <w:vAlign w:val="center"/>
            <w:hideMark/>
          </w:tcPr>
          <w:p w14:paraId="30BC91C5" w14:textId="1BFA745D" w:rsidR="00E44119" w:rsidRPr="00555058" w:rsidRDefault="00E44119" w:rsidP="00E44119">
            <w:pPr>
              <w:jc w:val="center"/>
              <w:rPr>
                <w:sz w:val="20"/>
                <w:szCs w:val="20"/>
                <w:lang w:eastAsia="en-GB"/>
              </w:rPr>
            </w:pPr>
            <w:r w:rsidRPr="00555058">
              <w:rPr>
                <w:sz w:val="20"/>
                <w:szCs w:val="20"/>
                <w:lang w:eastAsia="en-GB"/>
              </w:rPr>
              <w:t>0</w:t>
            </w:r>
          </w:p>
        </w:tc>
        <w:tc>
          <w:tcPr>
            <w:tcW w:w="1649" w:type="dxa"/>
            <w:gridSpan w:val="2"/>
            <w:tcBorders>
              <w:top w:val="nil"/>
              <w:left w:val="nil"/>
              <w:bottom w:val="nil"/>
              <w:right w:val="nil"/>
            </w:tcBorders>
            <w:shd w:val="clear" w:color="auto" w:fill="auto"/>
            <w:noWrap/>
            <w:vAlign w:val="center"/>
            <w:hideMark/>
          </w:tcPr>
          <w:p w14:paraId="6E50FC78" w14:textId="77777777" w:rsidR="00E44119" w:rsidRPr="00555058" w:rsidRDefault="00E44119" w:rsidP="00E44119">
            <w:pPr>
              <w:jc w:val="center"/>
              <w:rPr>
                <w:sz w:val="20"/>
                <w:szCs w:val="20"/>
                <w:lang w:eastAsia="en-GB"/>
              </w:rPr>
            </w:pPr>
            <w:r w:rsidRPr="00555058">
              <w:rPr>
                <w:sz w:val="20"/>
                <w:szCs w:val="20"/>
                <w:lang w:eastAsia="en-GB"/>
              </w:rPr>
              <w:t>0</w:t>
            </w:r>
          </w:p>
        </w:tc>
      </w:tr>
      <w:tr w:rsidR="00E44119" w:rsidRPr="00555058" w14:paraId="7CDBB865" w14:textId="77777777" w:rsidTr="001D64DC">
        <w:trPr>
          <w:trHeight w:val="320"/>
        </w:trPr>
        <w:tc>
          <w:tcPr>
            <w:tcW w:w="1532" w:type="dxa"/>
            <w:tcBorders>
              <w:top w:val="nil"/>
              <w:left w:val="nil"/>
              <w:bottom w:val="nil"/>
              <w:right w:val="nil"/>
            </w:tcBorders>
            <w:shd w:val="clear" w:color="auto" w:fill="auto"/>
            <w:noWrap/>
            <w:vAlign w:val="center"/>
            <w:hideMark/>
          </w:tcPr>
          <w:p w14:paraId="75A4A4A7" w14:textId="77777777" w:rsidR="00E44119" w:rsidRPr="00555058" w:rsidRDefault="00E44119" w:rsidP="00E44119">
            <w:pPr>
              <w:rPr>
                <w:sz w:val="20"/>
                <w:szCs w:val="20"/>
                <w:lang w:eastAsia="en-GB"/>
              </w:rPr>
            </w:pPr>
            <w:proofErr w:type="spellStart"/>
            <w:r w:rsidRPr="00555058">
              <w:rPr>
                <w:sz w:val="20"/>
                <w:szCs w:val="20"/>
                <w:lang w:eastAsia="en-GB"/>
              </w:rPr>
              <w:t>Iceland</w:t>
            </w:r>
            <w:proofErr w:type="spellEnd"/>
          </w:p>
        </w:tc>
        <w:tc>
          <w:tcPr>
            <w:tcW w:w="736" w:type="dxa"/>
            <w:tcBorders>
              <w:top w:val="nil"/>
              <w:left w:val="nil"/>
              <w:bottom w:val="nil"/>
              <w:right w:val="nil"/>
            </w:tcBorders>
            <w:shd w:val="clear" w:color="auto" w:fill="auto"/>
            <w:noWrap/>
            <w:vAlign w:val="center"/>
            <w:hideMark/>
          </w:tcPr>
          <w:p w14:paraId="484D9566" w14:textId="77777777" w:rsidR="00E44119" w:rsidRPr="00555058" w:rsidRDefault="00E44119" w:rsidP="00E44119">
            <w:pPr>
              <w:jc w:val="center"/>
              <w:rPr>
                <w:sz w:val="20"/>
                <w:szCs w:val="20"/>
                <w:lang w:eastAsia="en-GB"/>
              </w:rPr>
            </w:pPr>
            <w:r w:rsidRPr="00555058">
              <w:rPr>
                <w:sz w:val="20"/>
                <w:szCs w:val="20"/>
                <w:lang w:eastAsia="en-GB"/>
              </w:rPr>
              <w:t>1946</w:t>
            </w:r>
          </w:p>
        </w:tc>
        <w:tc>
          <w:tcPr>
            <w:tcW w:w="709" w:type="dxa"/>
            <w:tcBorders>
              <w:top w:val="nil"/>
              <w:left w:val="nil"/>
              <w:bottom w:val="nil"/>
              <w:right w:val="nil"/>
            </w:tcBorders>
            <w:shd w:val="clear" w:color="auto" w:fill="auto"/>
            <w:noWrap/>
            <w:vAlign w:val="center"/>
            <w:hideMark/>
          </w:tcPr>
          <w:p w14:paraId="63695846" w14:textId="77777777" w:rsidR="00E44119" w:rsidRPr="00555058" w:rsidRDefault="00E44119" w:rsidP="00E44119">
            <w:pPr>
              <w:jc w:val="center"/>
              <w:rPr>
                <w:sz w:val="20"/>
                <w:szCs w:val="20"/>
                <w:lang w:eastAsia="en-GB"/>
              </w:rPr>
            </w:pPr>
            <w:r w:rsidRPr="00555058">
              <w:rPr>
                <w:sz w:val="20"/>
                <w:szCs w:val="20"/>
                <w:lang w:eastAsia="en-GB"/>
              </w:rPr>
              <w:t>2013</w:t>
            </w:r>
          </w:p>
        </w:tc>
        <w:tc>
          <w:tcPr>
            <w:tcW w:w="1134" w:type="dxa"/>
            <w:tcBorders>
              <w:top w:val="nil"/>
              <w:left w:val="nil"/>
              <w:bottom w:val="nil"/>
              <w:right w:val="nil"/>
            </w:tcBorders>
            <w:shd w:val="clear" w:color="auto" w:fill="auto"/>
            <w:noWrap/>
            <w:vAlign w:val="center"/>
            <w:hideMark/>
          </w:tcPr>
          <w:p w14:paraId="5B6C56AF" w14:textId="77777777" w:rsidR="00E44119" w:rsidRPr="00555058" w:rsidRDefault="00E44119" w:rsidP="00E44119">
            <w:pPr>
              <w:jc w:val="center"/>
              <w:rPr>
                <w:sz w:val="20"/>
                <w:szCs w:val="20"/>
                <w:lang w:eastAsia="en-GB"/>
              </w:rPr>
            </w:pPr>
            <w:r w:rsidRPr="00555058">
              <w:rPr>
                <w:sz w:val="20"/>
                <w:szCs w:val="20"/>
                <w:lang w:eastAsia="en-GB"/>
              </w:rPr>
              <w:t>21</w:t>
            </w:r>
          </w:p>
        </w:tc>
        <w:tc>
          <w:tcPr>
            <w:tcW w:w="851" w:type="dxa"/>
            <w:tcBorders>
              <w:top w:val="nil"/>
              <w:left w:val="nil"/>
              <w:bottom w:val="nil"/>
              <w:right w:val="nil"/>
            </w:tcBorders>
            <w:shd w:val="clear" w:color="auto" w:fill="auto"/>
            <w:noWrap/>
            <w:vAlign w:val="center"/>
            <w:hideMark/>
          </w:tcPr>
          <w:p w14:paraId="66466EEF" w14:textId="77777777" w:rsidR="00E44119" w:rsidRPr="00555058" w:rsidRDefault="00E44119" w:rsidP="00E44119">
            <w:pPr>
              <w:jc w:val="center"/>
              <w:rPr>
                <w:sz w:val="20"/>
                <w:szCs w:val="20"/>
                <w:lang w:eastAsia="en-GB"/>
              </w:rPr>
            </w:pPr>
            <w:r w:rsidRPr="00555058">
              <w:rPr>
                <w:sz w:val="20"/>
                <w:szCs w:val="20"/>
                <w:lang w:eastAsia="en-GB"/>
              </w:rPr>
              <w:t>9</w:t>
            </w:r>
          </w:p>
        </w:tc>
        <w:tc>
          <w:tcPr>
            <w:tcW w:w="1984" w:type="dxa"/>
            <w:tcBorders>
              <w:top w:val="nil"/>
              <w:left w:val="nil"/>
              <w:bottom w:val="nil"/>
              <w:right w:val="nil"/>
            </w:tcBorders>
            <w:shd w:val="clear" w:color="auto" w:fill="auto"/>
            <w:noWrap/>
            <w:vAlign w:val="center"/>
            <w:hideMark/>
          </w:tcPr>
          <w:p w14:paraId="371AAE3A"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33</w:t>
            </w:r>
          </w:p>
        </w:tc>
        <w:tc>
          <w:tcPr>
            <w:tcW w:w="1843" w:type="dxa"/>
            <w:tcBorders>
              <w:top w:val="nil"/>
              <w:left w:val="nil"/>
              <w:bottom w:val="nil"/>
              <w:right w:val="nil"/>
            </w:tcBorders>
            <w:shd w:val="clear" w:color="auto" w:fill="auto"/>
            <w:noWrap/>
            <w:vAlign w:val="center"/>
            <w:hideMark/>
          </w:tcPr>
          <w:p w14:paraId="159AB406"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10</w:t>
            </w:r>
          </w:p>
        </w:tc>
        <w:tc>
          <w:tcPr>
            <w:tcW w:w="1701" w:type="dxa"/>
            <w:tcBorders>
              <w:top w:val="nil"/>
              <w:left w:val="nil"/>
              <w:bottom w:val="nil"/>
              <w:right w:val="nil"/>
            </w:tcBorders>
            <w:vAlign w:val="center"/>
          </w:tcPr>
          <w:p w14:paraId="07F2DEB7" w14:textId="2E3701EB"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6AF9128F" w14:textId="5495379F" w:rsidR="00E44119" w:rsidRPr="00555058" w:rsidRDefault="00E44119" w:rsidP="00E44119">
            <w:pPr>
              <w:jc w:val="center"/>
              <w:rPr>
                <w:sz w:val="20"/>
                <w:szCs w:val="20"/>
                <w:lang w:eastAsia="en-GB"/>
              </w:rPr>
            </w:pPr>
            <w:r w:rsidRPr="00555058">
              <w:rPr>
                <w:sz w:val="20"/>
                <w:szCs w:val="20"/>
                <w:lang w:eastAsia="en-GB"/>
              </w:rPr>
              <w:t>1</w:t>
            </w:r>
          </w:p>
        </w:tc>
        <w:tc>
          <w:tcPr>
            <w:tcW w:w="1649" w:type="dxa"/>
            <w:gridSpan w:val="2"/>
            <w:tcBorders>
              <w:top w:val="nil"/>
              <w:left w:val="nil"/>
              <w:bottom w:val="nil"/>
              <w:right w:val="nil"/>
            </w:tcBorders>
            <w:shd w:val="clear" w:color="auto" w:fill="auto"/>
            <w:noWrap/>
            <w:vAlign w:val="center"/>
            <w:hideMark/>
          </w:tcPr>
          <w:p w14:paraId="5DAE2559" w14:textId="77777777" w:rsidR="00E44119" w:rsidRPr="00555058" w:rsidRDefault="00E44119" w:rsidP="00E44119">
            <w:pPr>
              <w:jc w:val="center"/>
              <w:rPr>
                <w:sz w:val="20"/>
                <w:szCs w:val="20"/>
                <w:lang w:eastAsia="en-GB"/>
              </w:rPr>
            </w:pPr>
            <w:r w:rsidRPr="00555058">
              <w:rPr>
                <w:sz w:val="20"/>
                <w:szCs w:val="20"/>
                <w:lang w:eastAsia="en-GB"/>
              </w:rPr>
              <w:t>7</w:t>
            </w:r>
          </w:p>
        </w:tc>
      </w:tr>
      <w:tr w:rsidR="00E44119" w:rsidRPr="00555058" w14:paraId="2B029B11" w14:textId="77777777" w:rsidTr="001D64DC">
        <w:trPr>
          <w:trHeight w:val="320"/>
        </w:trPr>
        <w:tc>
          <w:tcPr>
            <w:tcW w:w="1532" w:type="dxa"/>
            <w:tcBorders>
              <w:top w:val="nil"/>
              <w:left w:val="nil"/>
              <w:bottom w:val="nil"/>
              <w:right w:val="nil"/>
            </w:tcBorders>
            <w:shd w:val="clear" w:color="auto" w:fill="auto"/>
            <w:noWrap/>
            <w:vAlign w:val="center"/>
            <w:hideMark/>
          </w:tcPr>
          <w:p w14:paraId="143DFE91" w14:textId="77777777" w:rsidR="00E44119" w:rsidRPr="00555058" w:rsidRDefault="00E44119" w:rsidP="00E44119">
            <w:pPr>
              <w:rPr>
                <w:sz w:val="20"/>
                <w:szCs w:val="20"/>
                <w:lang w:eastAsia="en-GB"/>
              </w:rPr>
            </w:pPr>
            <w:r w:rsidRPr="00555058">
              <w:rPr>
                <w:sz w:val="20"/>
                <w:szCs w:val="20"/>
                <w:lang w:eastAsia="en-GB"/>
              </w:rPr>
              <w:t>Japan</w:t>
            </w:r>
          </w:p>
        </w:tc>
        <w:tc>
          <w:tcPr>
            <w:tcW w:w="736" w:type="dxa"/>
            <w:tcBorders>
              <w:top w:val="nil"/>
              <w:left w:val="nil"/>
              <w:bottom w:val="nil"/>
              <w:right w:val="nil"/>
            </w:tcBorders>
            <w:shd w:val="clear" w:color="auto" w:fill="auto"/>
            <w:noWrap/>
            <w:vAlign w:val="center"/>
            <w:hideMark/>
          </w:tcPr>
          <w:p w14:paraId="295BCE87" w14:textId="77777777" w:rsidR="00E44119" w:rsidRPr="00555058" w:rsidRDefault="00E44119" w:rsidP="00E44119">
            <w:pPr>
              <w:jc w:val="center"/>
              <w:rPr>
                <w:sz w:val="20"/>
                <w:szCs w:val="20"/>
                <w:lang w:eastAsia="en-GB"/>
              </w:rPr>
            </w:pPr>
            <w:r w:rsidRPr="00555058">
              <w:rPr>
                <w:sz w:val="20"/>
                <w:szCs w:val="20"/>
                <w:lang w:eastAsia="en-GB"/>
              </w:rPr>
              <w:t>1946</w:t>
            </w:r>
          </w:p>
        </w:tc>
        <w:tc>
          <w:tcPr>
            <w:tcW w:w="709" w:type="dxa"/>
            <w:tcBorders>
              <w:top w:val="nil"/>
              <w:left w:val="nil"/>
              <w:bottom w:val="nil"/>
              <w:right w:val="nil"/>
            </w:tcBorders>
            <w:shd w:val="clear" w:color="auto" w:fill="auto"/>
            <w:noWrap/>
            <w:vAlign w:val="center"/>
            <w:hideMark/>
          </w:tcPr>
          <w:p w14:paraId="420EE051" w14:textId="77777777" w:rsidR="00E44119" w:rsidRPr="00555058" w:rsidRDefault="00E44119" w:rsidP="00E44119">
            <w:pPr>
              <w:jc w:val="center"/>
              <w:rPr>
                <w:sz w:val="20"/>
                <w:szCs w:val="20"/>
                <w:lang w:eastAsia="en-GB"/>
              </w:rPr>
            </w:pPr>
            <w:r w:rsidRPr="00555058">
              <w:rPr>
                <w:sz w:val="20"/>
                <w:szCs w:val="20"/>
                <w:lang w:eastAsia="en-GB"/>
              </w:rPr>
              <w:t>2014</w:t>
            </w:r>
          </w:p>
        </w:tc>
        <w:tc>
          <w:tcPr>
            <w:tcW w:w="1134" w:type="dxa"/>
            <w:tcBorders>
              <w:top w:val="nil"/>
              <w:left w:val="nil"/>
              <w:bottom w:val="nil"/>
              <w:right w:val="nil"/>
            </w:tcBorders>
            <w:shd w:val="clear" w:color="auto" w:fill="auto"/>
            <w:noWrap/>
            <w:vAlign w:val="center"/>
            <w:hideMark/>
          </w:tcPr>
          <w:p w14:paraId="4FC06402" w14:textId="77777777" w:rsidR="00E44119" w:rsidRPr="00555058" w:rsidRDefault="00E44119" w:rsidP="00E44119">
            <w:pPr>
              <w:jc w:val="center"/>
              <w:rPr>
                <w:sz w:val="20"/>
                <w:szCs w:val="20"/>
                <w:lang w:eastAsia="en-GB"/>
              </w:rPr>
            </w:pPr>
            <w:r w:rsidRPr="00555058">
              <w:rPr>
                <w:sz w:val="20"/>
                <w:szCs w:val="20"/>
                <w:lang w:eastAsia="en-GB"/>
              </w:rPr>
              <w:t>26</w:t>
            </w:r>
          </w:p>
        </w:tc>
        <w:tc>
          <w:tcPr>
            <w:tcW w:w="851" w:type="dxa"/>
            <w:tcBorders>
              <w:top w:val="nil"/>
              <w:left w:val="nil"/>
              <w:bottom w:val="nil"/>
              <w:right w:val="nil"/>
            </w:tcBorders>
            <w:shd w:val="clear" w:color="auto" w:fill="auto"/>
            <w:noWrap/>
            <w:vAlign w:val="center"/>
            <w:hideMark/>
          </w:tcPr>
          <w:p w14:paraId="22C97FBD" w14:textId="77777777" w:rsidR="00E44119" w:rsidRPr="00555058" w:rsidRDefault="00E44119" w:rsidP="00E44119">
            <w:pPr>
              <w:jc w:val="center"/>
              <w:rPr>
                <w:sz w:val="20"/>
                <w:szCs w:val="20"/>
                <w:lang w:eastAsia="en-GB"/>
              </w:rPr>
            </w:pPr>
            <w:r w:rsidRPr="00555058">
              <w:rPr>
                <w:sz w:val="20"/>
                <w:szCs w:val="20"/>
                <w:lang w:eastAsia="en-GB"/>
              </w:rPr>
              <w:t>9</w:t>
            </w:r>
          </w:p>
        </w:tc>
        <w:tc>
          <w:tcPr>
            <w:tcW w:w="1984" w:type="dxa"/>
            <w:tcBorders>
              <w:top w:val="nil"/>
              <w:left w:val="nil"/>
              <w:bottom w:val="nil"/>
              <w:right w:val="nil"/>
            </w:tcBorders>
            <w:shd w:val="clear" w:color="auto" w:fill="auto"/>
            <w:noWrap/>
            <w:vAlign w:val="center"/>
            <w:hideMark/>
          </w:tcPr>
          <w:p w14:paraId="2736356D"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27</w:t>
            </w:r>
          </w:p>
        </w:tc>
        <w:tc>
          <w:tcPr>
            <w:tcW w:w="1843" w:type="dxa"/>
            <w:tcBorders>
              <w:top w:val="nil"/>
              <w:left w:val="nil"/>
              <w:bottom w:val="nil"/>
              <w:right w:val="nil"/>
            </w:tcBorders>
            <w:shd w:val="clear" w:color="auto" w:fill="auto"/>
            <w:noWrap/>
            <w:vAlign w:val="center"/>
            <w:hideMark/>
          </w:tcPr>
          <w:p w14:paraId="65AC602D"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14</w:t>
            </w:r>
          </w:p>
        </w:tc>
        <w:tc>
          <w:tcPr>
            <w:tcW w:w="1701" w:type="dxa"/>
            <w:tcBorders>
              <w:top w:val="nil"/>
              <w:left w:val="nil"/>
              <w:bottom w:val="nil"/>
              <w:right w:val="nil"/>
            </w:tcBorders>
            <w:vAlign w:val="center"/>
          </w:tcPr>
          <w:p w14:paraId="1C428AAD" w14:textId="0F51666C" w:rsidR="00E44119" w:rsidRPr="00555058" w:rsidRDefault="00E44119" w:rsidP="00E44119">
            <w:pPr>
              <w:jc w:val="center"/>
              <w:rPr>
                <w:sz w:val="20"/>
                <w:szCs w:val="20"/>
                <w:lang w:eastAsia="en-GB"/>
              </w:rPr>
            </w:pPr>
            <w:r w:rsidRPr="00555058">
              <w:rPr>
                <w:sz w:val="20"/>
                <w:szCs w:val="20"/>
                <w:lang w:eastAsia="en-GB"/>
              </w:rPr>
              <w:t>1</w:t>
            </w:r>
          </w:p>
        </w:tc>
        <w:tc>
          <w:tcPr>
            <w:tcW w:w="1801" w:type="dxa"/>
            <w:tcBorders>
              <w:top w:val="nil"/>
              <w:left w:val="nil"/>
              <w:bottom w:val="nil"/>
              <w:right w:val="nil"/>
            </w:tcBorders>
            <w:shd w:val="clear" w:color="auto" w:fill="auto"/>
            <w:noWrap/>
            <w:vAlign w:val="center"/>
            <w:hideMark/>
          </w:tcPr>
          <w:p w14:paraId="20F2866D" w14:textId="06189FEA" w:rsidR="00E44119" w:rsidRPr="00555058" w:rsidRDefault="00E44119" w:rsidP="00E44119">
            <w:pPr>
              <w:jc w:val="center"/>
              <w:rPr>
                <w:sz w:val="20"/>
                <w:szCs w:val="20"/>
                <w:lang w:eastAsia="en-GB"/>
              </w:rPr>
            </w:pPr>
            <w:r w:rsidRPr="00555058">
              <w:rPr>
                <w:sz w:val="20"/>
                <w:szCs w:val="20"/>
                <w:lang w:eastAsia="en-GB"/>
              </w:rPr>
              <w:t>4</w:t>
            </w:r>
          </w:p>
        </w:tc>
        <w:tc>
          <w:tcPr>
            <w:tcW w:w="1649" w:type="dxa"/>
            <w:gridSpan w:val="2"/>
            <w:tcBorders>
              <w:top w:val="nil"/>
              <w:left w:val="nil"/>
              <w:bottom w:val="nil"/>
              <w:right w:val="nil"/>
            </w:tcBorders>
            <w:shd w:val="clear" w:color="auto" w:fill="auto"/>
            <w:noWrap/>
            <w:vAlign w:val="center"/>
            <w:hideMark/>
          </w:tcPr>
          <w:p w14:paraId="2B02F1CA" w14:textId="77777777" w:rsidR="00E44119" w:rsidRPr="00555058" w:rsidRDefault="00E44119" w:rsidP="00E44119">
            <w:pPr>
              <w:jc w:val="center"/>
              <w:rPr>
                <w:sz w:val="20"/>
                <w:szCs w:val="20"/>
                <w:lang w:eastAsia="en-GB"/>
              </w:rPr>
            </w:pPr>
            <w:r w:rsidRPr="00555058">
              <w:rPr>
                <w:sz w:val="20"/>
                <w:szCs w:val="20"/>
                <w:lang w:eastAsia="en-GB"/>
              </w:rPr>
              <w:t>0</w:t>
            </w:r>
          </w:p>
        </w:tc>
      </w:tr>
      <w:tr w:rsidR="00E44119" w:rsidRPr="00555058" w14:paraId="187AE53F" w14:textId="77777777" w:rsidTr="001D64DC">
        <w:trPr>
          <w:trHeight w:val="320"/>
        </w:trPr>
        <w:tc>
          <w:tcPr>
            <w:tcW w:w="1532" w:type="dxa"/>
            <w:tcBorders>
              <w:top w:val="nil"/>
              <w:left w:val="nil"/>
              <w:bottom w:val="nil"/>
              <w:right w:val="nil"/>
            </w:tcBorders>
            <w:shd w:val="clear" w:color="auto" w:fill="auto"/>
            <w:noWrap/>
            <w:vAlign w:val="center"/>
            <w:hideMark/>
          </w:tcPr>
          <w:p w14:paraId="1E0395FF" w14:textId="77777777" w:rsidR="00E44119" w:rsidRPr="00555058" w:rsidRDefault="00E44119" w:rsidP="00E44119">
            <w:pPr>
              <w:rPr>
                <w:sz w:val="20"/>
                <w:szCs w:val="20"/>
                <w:lang w:eastAsia="en-GB"/>
              </w:rPr>
            </w:pPr>
            <w:proofErr w:type="spellStart"/>
            <w:r w:rsidRPr="00555058">
              <w:rPr>
                <w:sz w:val="20"/>
                <w:szCs w:val="20"/>
                <w:lang w:eastAsia="en-GB"/>
              </w:rPr>
              <w:t>Netherlands</w:t>
            </w:r>
            <w:proofErr w:type="spellEnd"/>
          </w:p>
        </w:tc>
        <w:tc>
          <w:tcPr>
            <w:tcW w:w="736" w:type="dxa"/>
            <w:tcBorders>
              <w:top w:val="nil"/>
              <w:left w:val="nil"/>
              <w:bottom w:val="nil"/>
              <w:right w:val="nil"/>
            </w:tcBorders>
            <w:shd w:val="clear" w:color="auto" w:fill="auto"/>
            <w:noWrap/>
            <w:vAlign w:val="center"/>
            <w:hideMark/>
          </w:tcPr>
          <w:p w14:paraId="0A9E21AB" w14:textId="77777777" w:rsidR="00E44119" w:rsidRPr="00555058" w:rsidRDefault="00E44119" w:rsidP="00E44119">
            <w:pPr>
              <w:jc w:val="center"/>
              <w:rPr>
                <w:sz w:val="20"/>
                <w:szCs w:val="20"/>
                <w:lang w:eastAsia="en-GB"/>
              </w:rPr>
            </w:pPr>
            <w:r w:rsidRPr="00555058">
              <w:rPr>
                <w:sz w:val="20"/>
                <w:szCs w:val="20"/>
                <w:lang w:eastAsia="en-GB"/>
              </w:rPr>
              <w:t>1946</w:t>
            </w:r>
          </w:p>
        </w:tc>
        <w:tc>
          <w:tcPr>
            <w:tcW w:w="709" w:type="dxa"/>
            <w:tcBorders>
              <w:top w:val="nil"/>
              <w:left w:val="nil"/>
              <w:bottom w:val="nil"/>
              <w:right w:val="nil"/>
            </w:tcBorders>
            <w:shd w:val="clear" w:color="auto" w:fill="auto"/>
            <w:noWrap/>
            <w:vAlign w:val="center"/>
            <w:hideMark/>
          </w:tcPr>
          <w:p w14:paraId="6F7E6247" w14:textId="77777777" w:rsidR="00E44119" w:rsidRPr="00555058" w:rsidRDefault="00E44119" w:rsidP="00E44119">
            <w:pPr>
              <w:jc w:val="center"/>
              <w:rPr>
                <w:sz w:val="20"/>
                <w:szCs w:val="20"/>
                <w:lang w:eastAsia="en-GB"/>
              </w:rPr>
            </w:pPr>
            <w:r w:rsidRPr="00555058">
              <w:rPr>
                <w:sz w:val="20"/>
                <w:szCs w:val="20"/>
                <w:lang w:eastAsia="en-GB"/>
              </w:rPr>
              <w:t>2012</w:t>
            </w:r>
          </w:p>
        </w:tc>
        <w:tc>
          <w:tcPr>
            <w:tcW w:w="1134" w:type="dxa"/>
            <w:tcBorders>
              <w:top w:val="nil"/>
              <w:left w:val="nil"/>
              <w:bottom w:val="nil"/>
              <w:right w:val="nil"/>
            </w:tcBorders>
            <w:shd w:val="clear" w:color="auto" w:fill="auto"/>
            <w:noWrap/>
            <w:vAlign w:val="center"/>
            <w:hideMark/>
          </w:tcPr>
          <w:p w14:paraId="5E8D30BB" w14:textId="77777777" w:rsidR="00E44119" w:rsidRPr="00555058" w:rsidRDefault="00E44119" w:rsidP="00E44119">
            <w:pPr>
              <w:jc w:val="center"/>
              <w:rPr>
                <w:sz w:val="20"/>
                <w:szCs w:val="20"/>
                <w:lang w:eastAsia="en-GB"/>
              </w:rPr>
            </w:pPr>
            <w:r w:rsidRPr="00555058">
              <w:rPr>
                <w:sz w:val="20"/>
                <w:szCs w:val="20"/>
                <w:lang w:eastAsia="en-GB"/>
              </w:rPr>
              <w:t>21</w:t>
            </w:r>
          </w:p>
        </w:tc>
        <w:tc>
          <w:tcPr>
            <w:tcW w:w="851" w:type="dxa"/>
            <w:tcBorders>
              <w:top w:val="nil"/>
              <w:left w:val="nil"/>
              <w:bottom w:val="nil"/>
              <w:right w:val="nil"/>
            </w:tcBorders>
            <w:shd w:val="clear" w:color="auto" w:fill="auto"/>
            <w:noWrap/>
            <w:vAlign w:val="center"/>
            <w:hideMark/>
          </w:tcPr>
          <w:p w14:paraId="69936859" w14:textId="77777777" w:rsidR="00E44119" w:rsidRPr="00555058" w:rsidRDefault="00E44119" w:rsidP="00E44119">
            <w:pPr>
              <w:jc w:val="center"/>
              <w:rPr>
                <w:sz w:val="20"/>
                <w:szCs w:val="20"/>
                <w:lang w:eastAsia="en-GB"/>
              </w:rPr>
            </w:pPr>
            <w:r w:rsidRPr="00555058">
              <w:rPr>
                <w:sz w:val="20"/>
                <w:szCs w:val="20"/>
                <w:lang w:eastAsia="en-GB"/>
              </w:rPr>
              <w:t>9</w:t>
            </w:r>
          </w:p>
        </w:tc>
        <w:tc>
          <w:tcPr>
            <w:tcW w:w="1984" w:type="dxa"/>
            <w:tcBorders>
              <w:top w:val="nil"/>
              <w:left w:val="nil"/>
              <w:bottom w:val="nil"/>
              <w:right w:val="nil"/>
            </w:tcBorders>
            <w:shd w:val="clear" w:color="auto" w:fill="auto"/>
            <w:noWrap/>
            <w:vAlign w:val="center"/>
            <w:hideMark/>
          </w:tcPr>
          <w:p w14:paraId="5717062E"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33</w:t>
            </w:r>
          </w:p>
        </w:tc>
        <w:tc>
          <w:tcPr>
            <w:tcW w:w="1843" w:type="dxa"/>
            <w:tcBorders>
              <w:top w:val="nil"/>
              <w:left w:val="nil"/>
              <w:bottom w:val="nil"/>
              <w:right w:val="nil"/>
            </w:tcBorders>
            <w:shd w:val="clear" w:color="auto" w:fill="auto"/>
            <w:noWrap/>
            <w:vAlign w:val="center"/>
            <w:hideMark/>
          </w:tcPr>
          <w:p w14:paraId="29550979"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16</w:t>
            </w:r>
          </w:p>
        </w:tc>
        <w:tc>
          <w:tcPr>
            <w:tcW w:w="1701" w:type="dxa"/>
            <w:tcBorders>
              <w:top w:val="nil"/>
              <w:left w:val="nil"/>
              <w:bottom w:val="nil"/>
              <w:right w:val="nil"/>
            </w:tcBorders>
            <w:vAlign w:val="center"/>
          </w:tcPr>
          <w:p w14:paraId="7D09D8E7" w14:textId="40D2ECBD" w:rsidR="00E44119" w:rsidRPr="00555058" w:rsidRDefault="00E44119" w:rsidP="00E44119">
            <w:pPr>
              <w:jc w:val="center"/>
              <w:rPr>
                <w:sz w:val="20"/>
                <w:szCs w:val="20"/>
                <w:lang w:eastAsia="en-GB"/>
              </w:rPr>
            </w:pPr>
            <w:r w:rsidRPr="00555058">
              <w:rPr>
                <w:sz w:val="20"/>
                <w:szCs w:val="20"/>
                <w:lang w:eastAsia="en-GB"/>
              </w:rPr>
              <w:t>5</w:t>
            </w:r>
          </w:p>
        </w:tc>
        <w:tc>
          <w:tcPr>
            <w:tcW w:w="1801" w:type="dxa"/>
            <w:tcBorders>
              <w:top w:val="nil"/>
              <w:left w:val="nil"/>
              <w:bottom w:val="nil"/>
              <w:right w:val="nil"/>
            </w:tcBorders>
            <w:shd w:val="clear" w:color="auto" w:fill="auto"/>
            <w:noWrap/>
            <w:vAlign w:val="center"/>
            <w:hideMark/>
          </w:tcPr>
          <w:p w14:paraId="3E593CFA" w14:textId="27FF0C1A" w:rsidR="00E44119" w:rsidRPr="00555058" w:rsidRDefault="00E44119" w:rsidP="00E44119">
            <w:pPr>
              <w:jc w:val="center"/>
              <w:rPr>
                <w:sz w:val="20"/>
                <w:szCs w:val="20"/>
                <w:lang w:eastAsia="en-GB"/>
              </w:rPr>
            </w:pPr>
            <w:r w:rsidRPr="00555058">
              <w:rPr>
                <w:sz w:val="20"/>
                <w:szCs w:val="20"/>
                <w:lang w:eastAsia="en-GB"/>
              </w:rPr>
              <w:t>3</w:t>
            </w:r>
          </w:p>
        </w:tc>
        <w:tc>
          <w:tcPr>
            <w:tcW w:w="1649" w:type="dxa"/>
            <w:gridSpan w:val="2"/>
            <w:tcBorders>
              <w:top w:val="nil"/>
              <w:left w:val="nil"/>
              <w:bottom w:val="nil"/>
              <w:right w:val="nil"/>
            </w:tcBorders>
            <w:shd w:val="clear" w:color="auto" w:fill="auto"/>
            <w:noWrap/>
            <w:vAlign w:val="center"/>
            <w:hideMark/>
          </w:tcPr>
          <w:p w14:paraId="0AEBF0A0" w14:textId="77777777" w:rsidR="00E44119" w:rsidRPr="00555058" w:rsidRDefault="00E44119" w:rsidP="00E44119">
            <w:pPr>
              <w:jc w:val="center"/>
              <w:rPr>
                <w:sz w:val="20"/>
                <w:szCs w:val="20"/>
                <w:lang w:eastAsia="en-GB"/>
              </w:rPr>
            </w:pPr>
            <w:r w:rsidRPr="00555058">
              <w:rPr>
                <w:sz w:val="20"/>
                <w:szCs w:val="20"/>
                <w:lang w:eastAsia="en-GB"/>
              </w:rPr>
              <w:t>6</w:t>
            </w:r>
          </w:p>
        </w:tc>
      </w:tr>
      <w:tr w:rsidR="00E44119" w:rsidRPr="00555058" w14:paraId="66F04A33" w14:textId="77777777" w:rsidTr="001D64DC">
        <w:trPr>
          <w:trHeight w:val="320"/>
        </w:trPr>
        <w:tc>
          <w:tcPr>
            <w:tcW w:w="1532" w:type="dxa"/>
            <w:tcBorders>
              <w:top w:val="nil"/>
              <w:left w:val="nil"/>
              <w:bottom w:val="nil"/>
              <w:right w:val="nil"/>
            </w:tcBorders>
            <w:shd w:val="clear" w:color="auto" w:fill="auto"/>
            <w:noWrap/>
            <w:vAlign w:val="center"/>
            <w:hideMark/>
          </w:tcPr>
          <w:p w14:paraId="3DB96CEE" w14:textId="77777777" w:rsidR="00E44119" w:rsidRPr="00555058" w:rsidRDefault="00E44119" w:rsidP="00E44119">
            <w:pPr>
              <w:rPr>
                <w:sz w:val="20"/>
                <w:szCs w:val="20"/>
                <w:lang w:eastAsia="en-GB"/>
              </w:rPr>
            </w:pPr>
            <w:proofErr w:type="spellStart"/>
            <w:r w:rsidRPr="00555058">
              <w:rPr>
                <w:sz w:val="20"/>
                <w:szCs w:val="20"/>
                <w:lang w:eastAsia="en-GB"/>
              </w:rPr>
              <w:lastRenderedPageBreak/>
              <w:t>Ireland</w:t>
            </w:r>
            <w:proofErr w:type="spellEnd"/>
          </w:p>
        </w:tc>
        <w:tc>
          <w:tcPr>
            <w:tcW w:w="736" w:type="dxa"/>
            <w:tcBorders>
              <w:top w:val="nil"/>
              <w:left w:val="nil"/>
              <w:bottom w:val="nil"/>
              <w:right w:val="nil"/>
            </w:tcBorders>
            <w:shd w:val="clear" w:color="auto" w:fill="auto"/>
            <w:noWrap/>
            <w:vAlign w:val="center"/>
            <w:hideMark/>
          </w:tcPr>
          <w:p w14:paraId="0D94A9CA" w14:textId="77777777" w:rsidR="00E44119" w:rsidRPr="00555058" w:rsidRDefault="00E44119" w:rsidP="00E44119">
            <w:pPr>
              <w:jc w:val="center"/>
              <w:rPr>
                <w:sz w:val="20"/>
                <w:szCs w:val="20"/>
                <w:lang w:eastAsia="en-GB"/>
              </w:rPr>
            </w:pPr>
            <w:r w:rsidRPr="00555058">
              <w:rPr>
                <w:sz w:val="20"/>
                <w:szCs w:val="20"/>
                <w:lang w:eastAsia="en-GB"/>
              </w:rPr>
              <w:t>1948</w:t>
            </w:r>
          </w:p>
        </w:tc>
        <w:tc>
          <w:tcPr>
            <w:tcW w:w="709" w:type="dxa"/>
            <w:tcBorders>
              <w:top w:val="nil"/>
              <w:left w:val="nil"/>
              <w:bottom w:val="nil"/>
              <w:right w:val="nil"/>
            </w:tcBorders>
            <w:shd w:val="clear" w:color="auto" w:fill="auto"/>
            <w:noWrap/>
            <w:vAlign w:val="center"/>
            <w:hideMark/>
          </w:tcPr>
          <w:p w14:paraId="1B42528C" w14:textId="77777777" w:rsidR="00E44119" w:rsidRPr="00555058" w:rsidRDefault="00E44119" w:rsidP="00E44119">
            <w:pPr>
              <w:jc w:val="center"/>
              <w:rPr>
                <w:sz w:val="20"/>
                <w:szCs w:val="20"/>
                <w:lang w:eastAsia="en-GB"/>
              </w:rPr>
            </w:pPr>
            <w:r w:rsidRPr="00555058">
              <w:rPr>
                <w:sz w:val="20"/>
                <w:szCs w:val="20"/>
                <w:lang w:eastAsia="en-GB"/>
              </w:rPr>
              <w:t>2011</w:t>
            </w:r>
          </w:p>
        </w:tc>
        <w:tc>
          <w:tcPr>
            <w:tcW w:w="1134" w:type="dxa"/>
            <w:tcBorders>
              <w:top w:val="nil"/>
              <w:left w:val="nil"/>
              <w:bottom w:val="nil"/>
              <w:right w:val="nil"/>
            </w:tcBorders>
            <w:shd w:val="clear" w:color="auto" w:fill="auto"/>
            <w:noWrap/>
            <w:vAlign w:val="center"/>
            <w:hideMark/>
          </w:tcPr>
          <w:p w14:paraId="5A65861F" w14:textId="77777777" w:rsidR="00E44119" w:rsidRPr="00555058" w:rsidRDefault="00E44119" w:rsidP="00E44119">
            <w:pPr>
              <w:jc w:val="center"/>
              <w:rPr>
                <w:sz w:val="20"/>
                <w:szCs w:val="20"/>
                <w:lang w:eastAsia="en-GB"/>
              </w:rPr>
            </w:pPr>
            <w:r w:rsidRPr="00555058">
              <w:rPr>
                <w:sz w:val="20"/>
                <w:szCs w:val="20"/>
                <w:lang w:eastAsia="en-GB"/>
              </w:rPr>
              <w:t>19</w:t>
            </w:r>
          </w:p>
        </w:tc>
        <w:tc>
          <w:tcPr>
            <w:tcW w:w="851" w:type="dxa"/>
            <w:tcBorders>
              <w:top w:val="nil"/>
              <w:left w:val="nil"/>
              <w:bottom w:val="nil"/>
              <w:right w:val="nil"/>
            </w:tcBorders>
            <w:shd w:val="clear" w:color="auto" w:fill="auto"/>
            <w:noWrap/>
            <w:vAlign w:val="center"/>
            <w:hideMark/>
          </w:tcPr>
          <w:p w14:paraId="03D7351F" w14:textId="77777777" w:rsidR="00E44119" w:rsidRPr="00555058" w:rsidRDefault="00E44119" w:rsidP="00E44119">
            <w:pPr>
              <w:jc w:val="center"/>
              <w:rPr>
                <w:sz w:val="20"/>
                <w:szCs w:val="20"/>
                <w:lang w:eastAsia="en-GB"/>
              </w:rPr>
            </w:pPr>
            <w:r w:rsidRPr="00555058">
              <w:rPr>
                <w:sz w:val="20"/>
                <w:szCs w:val="20"/>
                <w:lang w:eastAsia="en-GB"/>
              </w:rPr>
              <w:t>8</w:t>
            </w:r>
          </w:p>
        </w:tc>
        <w:tc>
          <w:tcPr>
            <w:tcW w:w="1984" w:type="dxa"/>
            <w:tcBorders>
              <w:top w:val="nil"/>
              <w:left w:val="nil"/>
              <w:bottom w:val="nil"/>
              <w:right w:val="nil"/>
            </w:tcBorders>
            <w:shd w:val="clear" w:color="auto" w:fill="auto"/>
            <w:noWrap/>
            <w:vAlign w:val="center"/>
            <w:hideMark/>
          </w:tcPr>
          <w:p w14:paraId="721DA247"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37</w:t>
            </w:r>
          </w:p>
        </w:tc>
        <w:tc>
          <w:tcPr>
            <w:tcW w:w="1843" w:type="dxa"/>
            <w:tcBorders>
              <w:top w:val="nil"/>
              <w:left w:val="nil"/>
              <w:bottom w:val="nil"/>
              <w:right w:val="nil"/>
            </w:tcBorders>
            <w:shd w:val="clear" w:color="auto" w:fill="auto"/>
            <w:noWrap/>
            <w:vAlign w:val="center"/>
            <w:hideMark/>
          </w:tcPr>
          <w:p w14:paraId="75E76A96"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18</w:t>
            </w:r>
          </w:p>
        </w:tc>
        <w:tc>
          <w:tcPr>
            <w:tcW w:w="1701" w:type="dxa"/>
            <w:tcBorders>
              <w:top w:val="nil"/>
              <w:left w:val="nil"/>
              <w:bottom w:val="nil"/>
              <w:right w:val="nil"/>
            </w:tcBorders>
            <w:vAlign w:val="center"/>
          </w:tcPr>
          <w:p w14:paraId="25ED760C" w14:textId="76D0EEA4" w:rsidR="00E44119" w:rsidRPr="00555058" w:rsidRDefault="00E44119" w:rsidP="00E44119">
            <w:pPr>
              <w:jc w:val="center"/>
              <w:rPr>
                <w:sz w:val="20"/>
                <w:szCs w:val="20"/>
                <w:lang w:eastAsia="en-GB"/>
              </w:rPr>
            </w:pPr>
            <w:r w:rsidRPr="00555058">
              <w:rPr>
                <w:sz w:val="20"/>
                <w:szCs w:val="20"/>
                <w:lang w:eastAsia="en-GB"/>
              </w:rPr>
              <w:t>5</w:t>
            </w:r>
          </w:p>
        </w:tc>
        <w:tc>
          <w:tcPr>
            <w:tcW w:w="1801" w:type="dxa"/>
            <w:tcBorders>
              <w:top w:val="nil"/>
              <w:left w:val="nil"/>
              <w:bottom w:val="nil"/>
              <w:right w:val="nil"/>
            </w:tcBorders>
            <w:shd w:val="clear" w:color="auto" w:fill="auto"/>
            <w:noWrap/>
            <w:vAlign w:val="center"/>
            <w:hideMark/>
          </w:tcPr>
          <w:p w14:paraId="49F0F2CE" w14:textId="13199767" w:rsidR="00E44119" w:rsidRPr="00555058" w:rsidRDefault="00E44119" w:rsidP="00E44119">
            <w:pPr>
              <w:jc w:val="center"/>
              <w:rPr>
                <w:sz w:val="20"/>
                <w:szCs w:val="20"/>
                <w:lang w:eastAsia="en-GB"/>
              </w:rPr>
            </w:pPr>
            <w:r w:rsidRPr="00555058">
              <w:rPr>
                <w:sz w:val="20"/>
                <w:szCs w:val="20"/>
                <w:lang w:eastAsia="en-GB"/>
              </w:rPr>
              <w:t>5</w:t>
            </w:r>
          </w:p>
        </w:tc>
        <w:tc>
          <w:tcPr>
            <w:tcW w:w="1649" w:type="dxa"/>
            <w:gridSpan w:val="2"/>
            <w:tcBorders>
              <w:top w:val="nil"/>
              <w:left w:val="nil"/>
              <w:bottom w:val="nil"/>
              <w:right w:val="nil"/>
            </w:tcBorders>
            <w:shd w:val="clear" w:color="auto" w:fill="auto"/>
            <w:noWrap/>
            <w:vAlign w:val="center"/>
            <w:hideMark/>
          </w:tcPr>
          <w:p w14:paraId="751CA4EF" w14:textId="77777777" w:rsidR="00E44119" w:rsidRPr="00555058" w:rsidRDefault="00E44119" w:rsidP="00E44119">
            <w:pPr>
              <w:jc w:val="center"/>
              <w:rPr>
                <w:sz w:val="20"/>
                <w:szCs w:val="20"/>
                <w:lang w:eastAsia="en-GB"/>
              </w:rPr>
            </w:pPr>
            <w:r w:rsidRPr="00555058">
              <w:rPr>
                <w:sz w:val="20"/>
                <w:szCs w:val="20"/>
                <w:lang w:eastAsia="en-GB"/>
              </w:rPr>
              <w:t>3</w:t>
            </w:r>
          </w:p>
        </w:tc>
      </w:tr>
      <w:tr w:rsidR="00E44119" w:rsidRPr="00555058" w14:paraId="661DADE4" w14:textId="77777777" w:rsidTr="001D64DC">
        <w:trPr>
          <w:trHeight w:val="320"/>
        </w:trPr>
        <w:tc>
          <w:tcPr>
            <w:tcW w:w="1532" w:type="dxa"/>
            <w:tcBorders>
              <w:top w:val="nil"/>
              <w:left w:val="nil"/>
              <w:bottom w:val="nil"/>
              <w:right w:val="nil"/>
            </w:tcBorders>
            <w:shd w:val="clear" w:color="auto" w:fill="auto"/>
            <w:noWrap/>
            <w:vAlign w:val="center"/>
            <w:hideMark/>
          </w:tcPr>
          <w:p w14:paraId="2B5B7D97" w14:textId="77777777" w:rsidR="00E44119" w:rsidRPr="00555058" w:rsidRDefault="00E44119" w:rsidP="00E44119">
            <w:pPr>
              <w:rPr>
                <w:sz w:val="20"/>
                <w:szCs w:val="20"/>
                <w:lang w:eastAsia="en-GB"/>
              </w:rPr>
            </w:pPr>
            <w:r w:rsidRPr="00555058">
              <w:rPr>
                <w:sz w:val="20"/>
                <w:szCs w:val="20"/>
                <w:lang w:eastAsia="en-GB"/>
              </w:rPr>
              <w:t xml:space="preserve">New </w:t>
            </w:r>
            <w:proofErr w:type="spellStart"/>
            <w:r w:rsidRPr="00555058">
              <w:rPr>
                <w:sz w:val="20"/>
                <w:szCs w:val="20"/>
                <w:lang w:eastAsia="en-GB"/>
              </w:rPr>
              <w:t>Zealand</w:t>
            </w:r>
            <w:proofErr w:type="spellEnd"/>
          </w:p>
        </w:tc>
        <w:tc>
          <w:tcPr>
            <w:tcW w:w="736" w:type="dxa"/>
            <w:tcBorders>
              <w:top w:val="nil"/>
              <w:left w:val="nil"/>
              <w:bottom w:val="nil"/>
              <w:right w:val="nil"/>
            </w:tcBorders>
            <w:shd w:val="clear" w:color="auto" w:fill="auto"/>
            <w:noWrap/>
            <w:vAlign w:val="center"/>
            <w:hideMark/>
          </w:tcPr>
          <w:p w14:paraId="6FEDD561" w14:textId="77777777" w:rsidR="00E44119" w:rsidRPr="00555058" w:rsidRDefault="00E44119" w:rsidP="00E44119">
            <w:pPr>
              <w:jc w:val="center"/>
              <w:rPr>
                <w:sz w:val="20"/>
                <w:szCs w:val="20"/>
                <w:lang w:eastAsia="en-GB"/>
              </w:rPr>
            </w:pPr>
            <w:r w:rsidRPr="00555058">
              <w:rPr>
                <w:sz w:val="20"/>
                <w:szCs w:val="20"/>
                <w:lang w:eastAsia="en-GB"/>
              </w:rPr>
              <w:t>1946</w:t>
            </w:r>
          </w:p>
        </w:tc>
        <w:tc>
          <w:tcPr>
            <w:tcW w:w="709" w:type="dxa"/>
            <w:tcBorders>
              <w:top w:val="nil"/>
              <w:left w:val="nil"/>
              <w:bottom w:val="nil"/>
              <w:right w:val="nil"/>
            </w:tcBorders>
            <w:shd w:val="clear" w:color="auto" w:fill="auto"/>
            <w:noWrap/>
            <w:vAlign w:val="center"/>
            <w:hideMark/>
          </w:tcPr>
          <w:p w14:paraId="121FEE0A" w14:textId="77777777" w:rsidR="00E44119" w:rsidRPr="00555058" w:rsidRDefault="00E44119" w:rsidP="00E44119">
            <w:pPr>
              <w:jc w:val="center"/>
              <w:rPr>
                <w:sz w:val="20"/>
                <w:szCs w:val="20"/>
                <w:lang w:eastAsia="en-GB"/>
              </w:rPr>
            </w:pPr>
            <w:r w:rsidRPr="00555058">
              <w:rPr>
                <w:sz w:val="20"/>
                <w:szCs w:val="20"/>
                <w:lang w:eastAsia="en-GB"/>
              </w:rPr>
              <w:t>2014</w:t>
            </w:r>
          </w:p>
        </w:tc>
        <w:tc>
          <w:tcPr>
            <w:tcW w:w="1134" w:type="dxa"/>
            <w:tcBorders>
              <w:top w:val="nil"/>
              <w:left w:val="nil"/>
              <w:bottom w:val="nil"/>
              <w:right w:val="nil"/>
            </w:tcBorders>
            <w:shd w:val="clear" w:color="auto" w:fill="auto"/>
            <w:noWrap/>
            <w:vAlign w:val="center"/>
            <w:hideMark/>
          </w:tcPr>
          <w:p w14:paraId="6DFBBC96" w14:textId="77777777" w:rsidR="00E44119" w:rsidRPr="00555058" w:rsidRDefault="00E44119" w:rsidP="00E44119">
            <w:pPr>
              <w:jc w:val="center"/>
              <w:rPr>
                <w:sz w:val="20"/>
                <w:szCs w:val="20"/>
                <w:lang w:eastAsia="en-GB"/>
              </w:rPr>
            </w:pPr>
            <w:r w:rsidRPr="00555058">
              <w:rPr>
                <w:sz w:val="20"/>
                <w:szCs w:val="20"/>
                <w:lang w:eastAsia="en-GB"/>
              </w:rPr>
              <w:t>24</w:t>
            </w:r>
          </w:p>
        </w:tc>
        <w:tc>
          <w:tcPr>
            <w:tcW w:w="851" w:type="dxa"/>
            <w:tcBorders>
              <w:top w:val="nil"/>
              <w:left w:val="nil"/>
              <w:bottom w:val="nil"/>
              <w:right w:val="nil"/>
            </w:tcBorders>
            <w:shd w:val="clear" w:color="auto" w:fill="auto"/>
            <w:noWrap/>
            <w:vAlign w:val="center"/>
            <w:hideMark/>
          </w:tcPr>
          <w:p w14:paraId="6D7EC737" w14:textId="77777777" w:rsidR="00E44119" w:rsidRPr="00555058" w:rsidRDefault="00E44119" w:rsidP="00E44119">
            <w:pPr>
              <w:jc w:val="center"/>
              <w:rPr>
                <w:sz w:val="20"/>
                <w:szCs w:val="20"/>
                <w:lang w:eastAsia="en-GB"/>
              </w:rPr>
            </w:pPr>
            <w:r w:rsidRPr="00555058">
              <w:rPr>
                <w:sz w:val="20"/>
                <w:szCs w:val="20"/>
                <w:lang w:eastAsia="en-GB"/>
              </w:rPr>
              <w:t>8</w:t>
            </w:r>
          </w:p>
        </w:tc>
        <w:tc>
          <w:tcPr>
            <w:tcW w:w="1984" w:type="dxa"/>
            <w:tcBorders>
              <w:top w:val="nil"/>
              <w:left w:val="nil"/>
              <w:bottom w:val="nil"/>
              <w:right w:val="nil"/>
            </w:tcBorders>
            <w:shd w:val="clear" w:color="auto" w:fill="auto"/>
            <w:noWrap/>
            <w:vAlign w:val="center"/>
            <w:hideMark/>
          </w:tcPr>
          <w:p w14:paraId="33AD8B95"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25</w:t>
            </w:r>
          </w:p>
        </w:tc>
        <w:tc>
          <w:tcPr>
            <w:tcW w:w="1843" w:type="dxa"/>
            <w:tcBorders>
              <w:top w:val="nil"/>
              <w:left w:val="nil"/>
              <w:bottom w:val="nil"/>
              <w:right w:val="nil"/>
            </w:tcBorders>
            <w:shd w:val="clear" w:color="auto" w:fill="auto"/>
            <w:noWrap/>
            <w:vAlign w:val="center"/>
            <w:hideMark/>
          </w:tcPr>
          <w:p w14:paraId="23D09DAF"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08</w:t>
            </w:r>
          </w:p>
        </w:tc>
        <w:tc>
          <w:tcPr>
            <w:tcW w:w="1701" w:type="dxa"/>
            <w:tcBorders>
              <w:top w:val="nil"/>
              <w:left w:val="nil"/>
              <w:bottom w:val="nil"/>
              <w:right w:val="nil"/>
            </w:tcBorders>
            <w:vAlign w:val="center"/>
          </w:tcPr>
          <w:p w14:paraId="3808AA58" w14:textId="485FFD91"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153E1227" w14:textId="2EE08209" w:rsidR="00E44119" w:rsidRPr="00555058" w:rsidRDefault="00E44119" w:rsidP="00E44119">
            <w:pPr>
              <w:jc w:val="center"/>
              <w:rPr>
                <w:sz w:val="20"/>
                <w:szCs w:val="20"/>
                <w:lang w:eastAsia="en-GB"/>
              </w:rPr>
            </w:pPr>
            <w:r w:rsidRPr="00555058">
              <w:rPr>
                <w:sz w:val="20"/>
                <w:szCs w:val="20"/>
                <w:lang w:eastAsia="en-GB"/>
              </w:rPr>
              <w:t>1</w:t>
            </w:r>
          </w:p>
        </w:tc>
        <w:tc>
          <w:tcPr>
            <w:tcW w:w="1649" w:type="dxa"/>
            <w:gridSpan w:val="2"/>
            <w:tcBorders>
              <w:top w:val="nil"/>
              <w:left w:val="nil"/>
              <w:bottom w:val="nil"/>
              <w:right w:val="nil"/>
            </w:tcBorders>
            <w:shd w:val="clear" w:color="auto" w:fill="auto"/>
            <w:noWrap/>
            <w:vAlign w:val="center"/>
            <w:hideMark/>
          </w:tcPr>
          <w:p w14:paraId="1FFA7315" w14:textId="77777777" w:rsidR="00E44119" w:rsidRPr="00555058" w:rsidRDefault="00E44119" w:rsidP="00E44119">
            <w:pPr>
              <w:jc w:val="center"/>
              <w:rPr>
                <w:sz w:val="20"/>
                <w:szCs w:val="20"/>
                <w:lang w:eastAsia="en-GB"/>
              </w:rPr>
            </w:pPr>
            <w:r w:rsidRPr="00555058">
              <w:rPr>
                <w:sz w:val="20"/>
                <w:szCs w:val="20"/>
                <w:lang w:eastAsia="en-GB"/>
              </w:rPr>
              <w:t>3</w:t>
            </w:r>
          </w:p>
        </w:tc>
      </w:tr>
      <w:tr w:rsidR="00E44119" w:rsidRPr="00555058" w14:paraId="6EA9BAA1" w14:textId="77777777" w:rsidTr="001D64DC">
        <w:trPr>
          <w:trHeight w:val="320"/>
        </w:trPr>
        <w:tc>
          <w:tcPr>
            <w:tcW w:w="1532" w:type="dxa"/>
            <w:tcBorders>
              <w:top w:val="nil"/>
              <w:left w:val="nil"/>
              <w:bottom w:val="nil"/>
              <w:right w:val="nil"/>
            </w:tcBorders>
            <w:shd w:val="clear" w:color="auto" w:fill="auto"/>
            <w:noWrap/>
            <w:vAlign w:val="center"/>
            <w:hideMark/>
          </w:tcPr>
          <w:p w14:paraId="1BA4E5B0" w14:textId="77777777" w:rsidR="00E44119" w:rsidRPr="00555058" w:rsidRDefault="00E44119" w:rsidP="00E44119">
            <w:pPr>
              <w:rPr>
                <w:sz w:val="20"/>
                <w:szCs w:val="20"/>
                <w:lang w:eastAsia="en-GB"/>
              </w:rPr>
            </w:pPr>
            <w:proofErr w:type="spellStart"/>
            <w:r w:rsidRPr="00555058">
              <w:rPr>
                <w:sz w:val="20"/>
                <w:szCs w:val="20"/>
                <w:lang w:eastAsia="en-GB"/>
              </w:rPr>
              <w:t>Slovenia</w:t>
            </w:r>
            <w:proofErr w:type="spellEnd"/>
          </w:p>
        </w:tc>
        <w:tc>
          <w:tcPr>
            <w:tcW w:w="736" w:type="dxa"/>
            <w:tcBorders>
              <w:top w:val="nil"/>
              <w:left w:val="nil"/>
              <w:bottom w:val="nil"/>
              <w:right w:val="nil"/>
            </w:tcBorders>
            <w:shd w:val="clear" w:color="auto" w:fill="auto"/>
            <w:noWrap/>
            <w:vAlign w:val="center"/>
            <w:hideMark/>
          </w:tcPr>
          <w:p w14:paraId="200C4CF5" w14:textId="77777777" w:rsidR="00E44119" w:rsidRPr="00555058" w:rsidRDefault="00E44119" w:rsidP="00E44119">
            <w:pPr>
              <w:jc w:val="center"/>
              <w:rPr>
                <w:sz w:val="20"/>
                <w:szCs w:val="20"/>
                <w:lang w:eastAsia="en-GB"/>
              </w:rPr>
            </w:pPr>
            <w:r w:rsidRPr="00555058">
              <w:rPr>
                <w:sz w:val="20"/>
                <w:szCs w:val="20"/>
                <w:lang w:eastAsia="en-GB"/>
              </w:rPr>
              <w:t>1990</w:t>
            </w:r>
          </w:p>
        </w:tc>
        <w:tc>
          <w:tcPr>
            <w:tcW w:w="709" w:type="dxa"/>
            <w:tcBorders>
              <w:top w:val="nil"/>
              <w:left w:val="nil"/>
              <w:bottom w:val="nil"/>
              <w:right w:val="nil"/>
            </w:tcBorders>
            <w:shd w:val="clear" w:color="auto" w:fill="auto"/>
            <w:noWrap/>
            <w:vAlign w:val="center"/>
            <w:hideMark/>
          </w:tcPr>
          <w:p w14:paraId="12F11971" w14:textId="77777777" w:rsidR="00E44119" w:rsidRPr="00555058" w:rsidRDefault="00E44119" w:rsidP="00E44119">
            <w:pPr>
              <w:jc w:val="center"/>
              <w:rPr>
                <w:sz w:val="20"/>
                <w:szCs w:val="20"/>
                <w:lang w:eastAsia="en-GB"/>
              </w:rPr>
            </w:pPr>
            <w:r w:rsidRPr="00555058">
              <w:rPr>
                <w:sz w:val="20"/>
                <w:szCs w:val="20"/>
                <w:lang w:eastAsia="en-GB"/>
              </w:rPr>
              <w:t>2014</w:t>
            </w:r>
          </w:p>
        </w:tc>
        <w:tc>
          <w:tcPr>
            <w:tcW w:w="1134" w:type="dxa"/>
            <w:tcBorders>
              <w:top w:val="nil"/>
              <w:left w:val="nil"/>
              <w:bottom w:val="nil"/>
              <w:right w:val="nil"/>
            </w:tcBorders>
            <w:shd w:val="clear" w:color="auto" w:fill="auto"/>
            <w:noWrap/>
            <w:vAlign w:val="center"/>
            <w:hideMark/>
          </w:tcPr>
          <w:p w14:paraId="4669ADA3" w14:textId="77777777" w:rsidR="00E44119" w:rsidRPr="00555058" w:rsidRDefault="00E44119" w:rsidP="00E44119">
            <w:pPr>
              <w:jc w:val="center"/>
              <w:rPr>
                <w:sz w:val="20"/>
                <w:szCs w:val="20"/>
                <w:lang w:eastAsia="en-GB"/>
              </w:rPr>
            </w:pPr>
            <w:r w:rsidRPr="00555058">
              <w:rPr>
                <w:sz w:val="20"/>
                <w:szCs w:val="20"/>
                <w:lang w:eastAsia="en-GB"/>
              </w:rPr>
              <w:t>8</w:t>
            </w:r>
          </w:p>
        </w:tc>
        <w:tc>
          <w:tcPr>
            <w:tcW w:w="851" w:type="dxa"/>
            <w:tcBorders>
              <w:top w:val="nil"/>
              <w:left w:val="nil"/>
              <w:bottom w:val="nil"/>
              <w:right w:val="nil"/>
            </w:tcBorders>
            <w:shd w:val="clear" w:color="auto" w:fill="auto"/>
            <w:noWrap/>
            <w:vAlign w:val="center"/>
            <w:hideMark/>
          </w:tcPr>
          <w:p w14:paraId="5F3718C9" w14:textId="77777777" w:rsidR="00E44119" w:rsidRPr="00555058" w:rsidRDefault="00E44119" w:rsidP="00E44119">
            <w:pPr>
              <w:jc w:val="center"/>
              <w:rPr>
                <w:sz w:val="20"/>
                <w:szCs w:val="20"/>
                <w:lang w:eastAsia="en-GB"/>
              </w:rPr>
            </w:pPr>
            <w:r w:rsidRPr="00555058">
              <w:rPr>
                <w:sz w:val="20"/>
                <w:szCs w:val="20"/>
                <w:lang w:eastAsia="en-GB"/>
              </w:rPr>
              <w:t>7</w:t>
            </w:r>
          </w:p>
        </w:tc>
        <w:tc>
          <w:tcPr>
            <w:tcW w:w="1984" w:type="dxa"/>
            <w:tcBorders>
              <w:top w:val="nil"/>
              <w:left w:val="nil"/>
              <w:bottom w:val="nil"/>
              <w:right w:val="nil"/>
            </w:tcBorders>
            <w:shd w:val="clear" w:color="auto" w:fill="auto"/>
            <w:noWrap/>
            <w:vAlign w:val="center"/>
            <w:hideMark/>
          </w:tcPr>
          <w:p w14:paraId="5FBEB74D"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63</w:t>
            </w:r>
          </w:p>
        </w:tc>
        <w:tc>
          <w:tcPr>
            <w:tcW w:w="1843" w:type="dxa"/>
            <w:tcBorders>
              <w:top w:val="nil"/>
              <w:left w:val="nil"/>
              <w:bottom w:val="nil"/>
              <w:right w:val="nil"/>
            </w:tcBorders>
            <w:shd w:val="clear" w:color="auto" w:fill="auto"/>
            <w:noWrap/>
            <w:vAlign w:val="center"/>
            <w:hideMark/>
          </w:tcPr>
          <w:p w14:paraId="328AEE79"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28</w:t>
            </w:r>
          </w:p>
        </w:tc>
        <w:tc>
          <w:tcPr>
            <w:tcW w:w="1701" w:type="dxa"/>
            <w:tcBorders>
              <w:top w:val="nil"/>
              <w:left w:val="nil"/>
              <w:bottom w:val="nil"/>
              <w:right w:val="nil"/>
            </w:tcBorders>
            <w:vAlign w:val="center"/>
          </w:tcPr>
          <w:p w14:paraId="0CD34407" w14:textId="258F8469"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16EB6835" w14:textId="1608E87C" w:rsidR="00E44119" w:rsidRPr="00555058" w:rsidRDefault="00E44119" w:rsidP="00E44119">
            <w:pPr>
              <w:jc w:val="center"/>
              <w:rPr>
                <w:sz w:val="20"/>
                <w:szCs w:val="20"/>
                <w:lang w:eastAsia="en-GB"/>
              </w:rPr>
            </w:pPr>
            <w:r w:rsidRPr="00555058">
              <w:rPr>
                <w:sz w:val="20"/>
                <w:szCs w:val="20"/>
                <w:lang w:eastAsia="en-GB"/>
              </w:rPr>
              <w:t>1</w:t>
            </w:r>
          </w:p>
        </w:tc>
        <w:tc>
          <w:tcPr>
            <w:tcW w:w="1649" w:type="dxa"/>
            <w:gridSpan w:val="2"/>
            <w:tcBorders>
              <w:top w:val="nil"/>
              <w:left w:val="nil"/>
              <w:bottom w:val="nil"/>
              <w:right w:val="nil"/>
            </w:tcBorders>
            <w:shd w:val="clear" w:color="auto" w:fill="auto"/>
            <w:noWrap/>
            <w:vAlign w:val="center"/>
            <w:hideMark/>
          </w:tcPr>
          <w:p w14:paraId="67B3900A" w14:textId="77777777" w:rsidR="00E44119" w:rsidRPr="00555058" w:rsidRDefault="00E44119" w:rsidP="00E44119">
            <w:pPr>
              <w:jc w:val="center"/>
              <w:rPr>
                <w:sz w:val="20"/>
                <w:szCs w:val="20"/>
                <w:lang w:eastAsia="en-GB"/>
              </w:rPr>
            </w:pPr>
            <w:r w:rsidRPr="00555058">
              <w:rPr>
                <w:sz w:val="20"/>
                <w:szCs w:val="20"/>
                <w:lang w:eastAsia="en-GB"/>
              </w:rPr>
              <w:t>1</w:t>
            </w:r>
          </w:p>
        </w:tc>
      </w:tr>
      <w:tr w:rsidR="00E44119" w:rsidRPr="00555058" w14:paraId="08EF3849" w14:textId="77777777" w:rsidTr="001D64DC">
        <w:trPr>
          <w:trHeight w:val="320"/>
        </w:trPr>
        <w:tc>
          <w:tcPr>
            <w:tcW w:w="1532" w:type="dxa"/>
            <w:tcBorders>
              <w:top w:val="nil"/>
              <w:left w:val="nil"/>
              <w:bottom w:val="nil"/>
              <w:right w:val="nil"/>
            </w:tcBorders>
            <w:shd w:val="clear" w:color="auto" w:fill="auto"/>
            <w:noWrap/>
            <w:vAlign w:val="center"/>
            <w:hideMark/>
          </w:tcPr>
          <w:p w14:paraId="00699B04" w14:textId="77777777" w:rsidR="00E44119" w:rsidRPr="00555058" w:rsidRDefault="00E44119" w:rsidP="00E44119">
            <w:pPr>
              <w:rPr>
                <w:sz w:val="20"/>
                <w:szCs w:val="20"/>
                <w:lang w:eastAsia="en-GB"/>
              </w:rPr>
            </w:pPr>
            <w:proofErr w:type="spellStart"/>
            <w:r w:rsidRPr="00555058">
              <w:rPr>
                <w:sz w:val="20"/>
                <w:szCs w:val="20"/>
                <w:lang w:eastAsia="en-GB"/>
              </w:rPr>
              <w:t>Slovakia</w:t>
            </w:r>
            <w:proofErr w:type="spellEnd"/>
          </w:p>
        </w:tc>
        <w:tc>
          <w:tcPr>
            <w:tcW w:w="736" w:type="dxa"/>
            <w:tcBorders>
              <w:top w:val="nil"/>
              <w:left w:val="nil"/>
              <w:bottom w:val="nil"/>
              <w:right w:val="nil"/>
            </w:tcBorders>
            <w:shd w:val="clear" w:color="auto" w:fill="auto"/>
            <w:noWrap/>
            <w:vAlign w:val="center"/>
            <w:hideMark/>
          </w:tcPr>
          <w:p w14:paraId="6E6CAAE9" w14:textId="77777777" w:rsidR="00E44119" w:rsidRPr="00555058" w:rsidRDefault="00E44119" w:rsidP="00E44119">
            <w:pPr>
              <w:jc w:val="center"/>
              <w:rPr>
                <w:sz w:val="20"/>
                <w:szCs w:val="20"/>
                <w:lang w:eastAsia="en-GB"/>
              </w:rPr>
            </w:pPr>
            <w:r w:rsidRPr="00555058">
              <w:rPr>
                <w:sz w:val="20"/>
                <w:szCs w:val="20"/>
                <w:lang w:eastAsia="en-GB"/>
              </w:rPr>
              <w:t>1990</w:t>
            </w:r>
          </w:p>
        </w:tc>
        <w:tc>
          <w:tcPr>
            <w:tcW w:w="709" w:type="dxa"/>
            <w:tcBorders>
              <w:top w:val="nil"/>
              <w:left w:val="nil"/>
              <w:bottom w:val="nil"/>
              <w:right w:val="nil"/>
            </w:tcBorders>
            <w:shd w:val="clear" w:color="auto" w:fill="auto"/>
            <w:noWrap/>
            <w:vAlign w:val="center"/>
            <w:hideMark/>
          </w:tcPr>
          <w:p w14:paraId="59E5B145" w14:textId="77777777" w:rsidR="00E44119" w:rsidRPr="00555058" w:rsidRDefault="00E44119" w:rsidP="00E44119">
            <w:pPr>
              <w:jc w:val="center"/>
              <w:rPr>
                <w:sz w:val="20"/>
                <w:szCs w:val="20"/>
                <w:lang w:eastAsia="en-GB"/>
              </w:rPr>
            </w:pPr>
            <w:r w:rsidRPr="00555058">
              <w:rPr>
                <w:sz w:val="20"/>
                <w:szCs w:val="20"/>
                <w:lang w:eastAsia="en-GB"/>
              </w:rPr>
              <w:t>2012</w:t>
            </w:r>
          </w:p>
        </w:tc>
        <w:tc>
          <w:tcPr>
            <w:tcW w:w="1134" w:type="dxa"/>
            <w:tcBorders>
              <w:top w:val="nil"/>
              <w:left w:val="nil"/>
              <w:bottom w:val="nil"/>
              <w:right w:val="nil"/>
            </w:tcBorders>
            <w:shd w:val="clear" w:color="auto" w:fill="auto"/>
            <w:noWrap/>
            <w:vAlign w:val="center"/>
            <w:hideMark/>
          </w:tcPr>
          <w:p w14:paraId="5BCE7942" w14:textId="77777777" w:rsidR="00E44119" w:rsidRPr="00555058" w:rsidRDefault="00E44119" w:rsidP="00E44119">
            <w:pPr>
              <w:jc w:val="center"/>
              <w:rPr>
                <w:sz w:val="20"/>
                <w:szCs w:val="20"/>
                <w:lang w:eastAsia="en-GB"/>
              </w:rPr>
            </w:pPr>
            <w:r w:rsidRPr="00555058">
              <w:rPr>
                <w:sz w:val="20"/>
                <w:szCs w:val="20"/>
                <w:lang w:eastAsia="en-GB"/>
              </w:rPr>
              <w:t>8</w:t>
            </w:r>
          </w:p>
        </w:tc>
        <w:tc>
          <w:tcPr>
            <w:tcW w:w="851" w:type="dxa"/>
            <w:tcBorders>
              <w:top w:val="nil"/>
              <w:left w:val="nil"/>
              <w:bottom w:val="nil"/>
              <w:right w:val="nil"/>
            </w:tcBorders>
            <w:shd w:val="clear" w:color="auto" w:fill="auto"/>
            <w:noWrap/>
            <w:vAlign w:val="center"/>
            <w:hideMark/>
          </w:tcPr>
          <w:p w14:paraId="1B0EC6F9" w14:textId="77777777" w:rsidR="00E44119" w:rsidRPr="00555058" w:rsidRDefault="00E44119" w:rsidP="00E44119">
            <w:pPr>
              <w:jc w:val="center"/>
              <w:rPr>
                <w:sz w:val="20"/>
                <w:szCs w:val="20"/>
                <w:lang w:eastAsia="en-GB"/>
              </w:rPr>
            </w:pPr>
            <w:r w:rsidRPr="00555058">
              <w:rPr>
                <w:sz w:val="20"/>
                <w:szCs w:val="20"/>
                <w:lang w:eastAsia="en-GB"/>
              </w:rPr>
              <w:t>6</w:t>
            </w:r>
          </w:p>
        </w:tc>
        <w:tc>
          <w:tcPr>
            <w:tcW w:w="1984" w:type="dxa"/>
            <w:tcBorders>
              <w:top w:val="nil"/>
              <w:left w:val="nil"/>
              <w:bottom w:val="nil"/>
              <w:right w:val="nil"/>
            </w:tcBorders>
            <w:shd w:val="clear" w:color="auto" w:fill="auto"/>
            <w:noWrap/>
            <w:vAlign w:val="center"/>
            <w:hideMark/>
          </w:tcPr>
          <w:p w14:paraId="20F40AD0"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38</w:t>
            </w:r>
          </w:p>
        </w:tc>
        <w:tc>
          <w:tcPr>
            <w:tcW w:w="1843" w:type="dxa"/>
            <w:tcBorders>
              <w:top w:val="nil"/>
              <w:left w:val="nil"/>
              <w:bottom w:val="nil"/>
              <w:right w:val="nil"/>
            </w:tcBorders>
            <w:shd w:val="clear" w:color="auto" w:fill="auto"/>
            <w:noWrap/>
            <w:vAlign w:val="center"/>
            <w:hideMark/>
          </w:tcPr>
          <w:p w14:paraId="4D4F848F"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09</w:t>
            </w:r>
          </w:p>
        </w:tc>
        <w:tc>
          <w:tcPr>
            <w:tcW w:w="1701" w:type="dxa"/>
            <w:tcBorders>
              <w:top w:val="nil"/>
              <w:left w:val="nil"/>
              <w:bottom w:val="nil"/>
              <w:right w:val="nil"/>
            </w:tcBorders>
            <w:vAlign w:val="center"/>
          </w:tcPr>
          <w:p w14:paraId="41922AA0" w14:textId="0DD776BB"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7E9D4839" w14:textId="163A0AE7" w:rsidR="00E44119" w:rsidRPr="00555058" w:rsidRDefault="00E44119" w:rsidP="00E44119">
            <w:pPr>
              <w:jc w:val="center"/>
              <w:rPr>
                <w:sz w:val="20"/>
                <w:szCs w:val="20"/>
                <w:lang w:eastAsia="en-GB"/>
              </w:rPr>
            </w:pPr>
            <w:r w:rsidRPr="00555058">
              <w:rPr>
                <w:sz w:val="20"/>
                <w:szCs w:val="20"/>
                <w:lang w:eastAsia="en-GB"/>
              </w:rPr>
              <w:t>1</w:t>
            </w:r>
          </w:p>
        </w:tc>
        <w:tc>
          <w:tcPr>
            <w:tcW w:w="1649" w:type="dxa"/>
            <w:gridSpan w:val="2"/>
            <w:tcBorders>
              <w:top w:val="nil"/>
              <w:left w:val="nil"/>
              <w:bottom w:val="nil"/>
              <w:right w:val="nil"/>
            </w:tcBorders>
            <w:shd w:val="clear" w:color="auto" w:fill="auto"/>
            <w:noWrap/>
            <w:vAlign w:val="center"/>
            <w:hideMark/>
          </w:tcPr>
          <w:p w14:paraId="63CB4A53" w14:textId="77777777" w:rsidR="00E44119" w:rsidRPr="00555058" w:rsidRDefault="00E44119" w:rsidP="00E44119">
            <w:pPr>
              <w:jc w:val="center"/>
              <w:rPr>
                <w:sz w:val="20"/>
                <w:szCs w:val="20"/>
                <w:lang w:eastAsia="en-GB"/>
              </w:rPr>
            </w:pPr>
            <w:r w:rsidRPr="00555058">
              <w:rPr>
                <w:sz w:val="20"/>
                <w:szCs w:val="20"/>
                <w:lang w:eastAsia="en-GB"/>
              </w:rPr>
              <w:t>3</w:t>
            </w:r>
          </w:p>
        </w:tc>
      </w:tr>
      <w:tr w:rsidR="00E44119" w:rsidRPr="00555058" w14:paraId="601D5818" w14:textId="77777777" w:rsidTr="001D64DC">
        <w:trPr>
          <w:trHeight w:val="320"/>
        </w:trPr>
        <w:tc>
          <w:tcPr>
            <w:tcW w:w="1532" w:type="dxa"/>
            <w:tcBorders>
              <w:top w:val="nil"/>
              <w:left w:val="nil"/>
              <w:bottom w:val="nil"/>
              <w:right w:val="nil"/>
            </w:tcBorders>
            <w:shd w:val="clear" w:color="auto" w:fill="auto"/>
            <w:noWrap/>
            <w:vAlign w:val="center"/>
            <w:hideMark/>
          </w:tcPr>
          <w:p w14:paraId="5C4EEBBC" w14:textId="77777777" w:rsidR="00E44119" w:rsidRPr="00555058" w:rsidRDefault="00E44119" w:rsidP="00E44119">
            <w:pPr>
              <w:rPr>
                <w:sz w:val="20"/>
                <w:szCs w:val="20"/>
                <w:lang w:eastAsia="en-GB"/>
              </w:rPr>
            </w:pPr>
            <w:proofErr w:type="spellStart"/>
            <w:r w:rsidRPr="00555058">
              <w:rPr>
                <w:sz w:val="20"/>
                <w:szCs w:val="20"/>
                <w:lang w:eastAsia="en-GB"/>
              </w:rPr>
              <w:t>Finland</w:t>
            </w:r>
            <w:proofErr w:type="spellEnd"/>
          </w:p>
        </w:tc>
        <w:tc>
          <w:tcPr>
            <w:tcW w:w="736" w:type="dxa"/>
            <w:tcBorders>
              <w:top w:val="nil"/>
              <w:left w:val="nil"/>
              <w:bottom w:val="nil"/>
              <w:right w:val="nil"/>
            </w:tcBorders>
            <w:shd w:val="clear" w:color="auto" w:fill="auto"/>
            <w:noWrap/>
            <w:vAlign w:val="center"/>
            <w:hideMark/>
          </w:tcPr>
          <w:p w14:paraId="5AB6735F" w14:textId="77777777" w:rsidR="00E44119" w:rsidRPr="00555058" w:rsidRDefault="00E44119" w:rsidP="00E44119">
            <w:pPr>
              <w:jc w:val="center"/>
              <w:rPr>
                <w:sz w:val="20"/>
                <w:szCs w:val="20"/>
                <w:lang w:eastAsia="en-GB"/>
              </w:rPr>
            </w:pPr>
            <w:r w:rsidRPr="00555058">
              <w:rPr>
                <w:sz w:val="20"/>
                <w:szCs w:val="20"/>
                <w:lang w:eastAsia="en-GB"/>
              </w:rPr>
              <w:t>1945</w:t>
            </w:r>
          </w:p>
        </w:tc>
        <w:tc>
          <w:tcPr>
            <w:tcW w:w="709" w:type="dxa"/>
            <w:tcBorders>
              <w:top w:val="nil"/>
              <w:left w:val="nil"/>
              <w:bottom w:val="nil"/>
              <w:right w:val="nil"/>
            </w:tcBorders>
            <w:shd w:val="clear" w:color="auto" w:fill="auto"/>
            <w:noWrap/>
            <w:vAlign w:val="center"/>
            <w:hideMark/>
          </w:tcPr>
          <w:p w14:paraId="2474E8D1" w14:textId="77777777" w:rsidR="00E44119" w:rsidRPr="00555058" w:rsidRDefault="00E44119" w:rsidP="00E44119">
            <w:pPr>
              <w:jc w:val="center"/>
              <w:rPr>
                <w:sz w:val="20"/>
                <w:szCs w:val="20"/>
                <w:lang w:eastAsia="en-GB"/>
              </w:rPr>
            </w:pPr>
            <w:r w:rsidRPr="00555058">
              <w:rPr>
                <w:sz w:val="20"/>
                <w:szCs w:val="20"/>
                <w:lang w:eastAsia="en-GB"/>
              </w:rPr>
              <w:t>2015</w:t>
            </w:r>
          </w:p>
        </w:tc>
        <w:tc>
          <w:tcPr>
            <w:tcW w:w="1134" w:type="dxa"/>
            <w:tcBorders>
              <w:top w:val="nil"/>
              <w:left w:val="nil"/>
              <w:bottom w:val="nil"/>
              <w:right w:val="nil"/>
            </w:tcBorders>
            <w:shd w:val="clear" w:color="auto" w:fill="auto"/>
            <w:noWrap/>
            <w:vAlign w:val="center"/>
            <w:hideMark/>
          </w:tcPr>
          <w:p w14:paraId="34146395" w14:textId="77777777" w:rsidR="00E44119" w:rsidRPr="00555058" w:rsidRDefault="00E44119" w:rsidP="00E44119">
            <w:pPr>
              <w:jc w:val="center"/>
              <w:rPr>
                <w:sz w:val="20"/>
                <w:szCs w:val="20"/>
                <w:lang w:eastAsia="en-GB"/>
              </w:rPr>
            </w:pPr>
            <w:r w:rsidRPr="00555058">
              <w:rPr>
                <w:sz w:val="20"/>
                <w:szCs w:val="20"/>
                <w:lang w:eastAsia="en-GB"/>
              </w:rPr>
              <w:t>20</w:t>
            </w:r>
          </w:p>
        </w:tc>
        <w:tc>
          <w:tcPr>
            <w:tcW w:w="851" w:type="dxa"/>
            <w:tcBorders>
              <w:top w:val="nil"/>
              <w:left w:val="nil"/>
              <w:bottom w:val="nil"/>
              <w:right w:val="nil"/>
            </w:tcBorders>
            <w:shd w:val="clear" w:color="auto" w:fill="auto"/>
            <w:noWrap/>
            <w:vAlign w:val="center"/>
            <w:hideMark/>
          </w:tcPr>
          <w:p w14:paraId="0D3D13D0" w14:textId="77777777" w:rsidR="00E44119" w:rsidRPr="00555058" w:rsidRDefault="00E44119" w:rsidP="00E44119">
            <w:pPr>
              <w:jc w:val="center"/>
              <w:rPr>
                <w:sz w:val="20"/>
                <w:szCs w:val="20"/>
                <w:lang w:eastAsia="en-GB"/>
              </w:rPr>
            </w:pPr>
            <w:r w:rsidRPr="00555058">
              <w:rPr>
                <w:sz w:val="20"/>
                <w:szCs w:val="20"/>
                <w:lang w:eastAsia="en-GB"/>
              </w:rPr>
              <w:t>5</w:t>
            </w:r>
          </w:p>
        </w:tc>
        <w:tc>
          <w:tcPr>
            <w:tcW w:w="1984" w:type="dxa"/>
            <w:tcBorders>
              <w:top w:val="nil"/>
              <w:left w:val="nil"/>
              <w:bottom w:val="nil"/>
              <w:right w:val="nil"/>
            </w:tcBorders>
            <w:shd w:val="clear" w:color="auto" w:fill="auto"/>
            <w:noWrap/>
            <w:vAlign w:val="center"/>
            <w:hideMark/>
          </w:tcPr>
          <w:p w14:paraId="7B2DCD61"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20</w:t>
            </w:r>
          </w:p>
        </w:tc>
        <w:tc>
          <w:tcPr>
            <w:tcW w:w="1843" w:type="dxa"/>
            <w:tcBorders>
              <w:top w:val="nil"/>
              <w:left w:val="nil"/>
              <w:bottom w:val="nil"/>
              <w:right w:val="nil"/>
            </w:tcBorders>
            <w:shd w:val="clear" w:color="auto" w:fill="auto"/>
            <w:noWrap/>
            <w:vAlign w:val="center"/>
            <w:hideMark/>
          </w:tcPr>
          <w:p w14:paraId="272CF2A2"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06</w:t>
            </w:r>
          </w:p>
        </w:tc>
        <w:tc>
          <w:tcPr>
            <w:tcW w:w="1701" w:type="dxa"/>
            <w:tcBorders>
              <w:top w:val="nil"/>
              <w:left w:val="nil"/>
              <w:bottom w:val="nil"/>
              <w:right w:val="nil"/>
            </w:tcBorders>
            <w:vAlign w:val="center"/>
          </w:tcPr>
          <w:p w14:paraId="2975B8BB" w14:textId="1DF29B75"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0264F604" w14:textId="43B0C217" w:rsidR="00E44119" w:rsidRPr="00555058" w:rsidRDefault="00E44119" w:rsidP="00E44119">
            <w:pPr>
              <w:jc w:val="center"/>
              <w:rPr>
                <w:sz w:val="20"/>
                <w:szCs w:val="20"/>
                <w:lang w:eastAsia="en-GB"/>
              </w:rPr>
            </w:pPr>
            <w:r w:rsidRPr="00555058">
              <w:rPr>
                <w:sz w:val="20"/>
                <w:szCs w:val="20"/>
                <w:lang w:eastAsia="en-GB"/>
              </w:rPr>
              <w:t>1</w:t>
            </w:r>
          </w:p>
        </w:tc>
        <w:tc>
          <w:tcPr>
            <w:tcW w:w="1649" w:type="dxa"/>
            <w:gridSpan w:val="2"/>
            <w:tcBorders>
              <w:top w:val="nil"/>
              <w:left w:val="nil"/>
              <w:bottom w:val="nil"/>
              <w:right w:val="nil"/>
            </w:tcBorders>
            <w:shd w:val="clear" w:color="auto" w:fill="auto"/>
            <w:noWrap/>
            <w:vAlign w:val="center"/>
            <w:hideMark/>
          </w:tcPr>
          <w:p w14:paraId="5B337506" w14:textId="77777777" w:rsidR="00E44119" w:rsidRPr="00555058" w:rsidRDefault="00E44119" w:rsidP="00E44119">
            <w:pPr>
              <w:jc w:val="center"/>
              <w:rPr>
                <w:sz w:val="20"/>
                <w:szCs w:val="20"/>
                <w:lang w:eastAsia="en-GB"/>
              </w:rPr>
            </w:pPr>
            <w:r w:rsidRPr="00555058">
              <w:rPr>
                <w:sz w:val="20"/>
                <w:szCs w:val="20"/>
                <w:lang w:eastAsia="en-GB"/>
              </w:rPr>
              <w:t>1</w:t>
            </w:r>
          </w:p>
        </w:tc>
      </w:tr>
      <w:tr w:rsidR="00E44119" w:rsidRPr="00555058" w14:paraId="3A51A39B" w14:textId="77777777" w:rsidTr="001D64DC">
        <w:trPr>
          <w:trHeight w:val="320"/>
        </w:trPr>
        <w:tc>
          <w:tcPr>
            <w:tcW w:w="1532" w:type="dxa"/>
            <w:tcBorders>
              <w:top w:val="nil"/>
              <w:left w:val="nil"/>
              <w:bottom w:val="nil"/>
              <w:right w:val="nil"/>
            </w:tcBorders>
            <w:shd w:val="clear" w:color="auto" w:fill="auto"/>
            <w:noWrap/>
            <w:vAlign w:val="center"/>
            <w:hideMark/>
          </w:tcPr>
          <w:p w14:paraId="60C986A7" w14:textId="77777777" w:rsidR="00E44119" w:rsidRPr="00555058" w:rsidRDefault="00E44119" w:rsidP="00E44119">
            <w:pPr>
              <w:rPr>
                <w:sz w:val="20"/>
                <w:szCs w:val="20"/>
                <w:lang w:eastAsia="en-GB"/>
              </w:rPr>
            </w:pPr>
            <w:r w:rsidRPr="00555058">
              <w:rPr>
                <w:sz w:val="20"/>
                <w:szCs w:val="20"/>
                <w:lang w:eastAsia="en-GB"/>
              </w:rPr>
              <w:t xml:space="preserve">Czech </w:t>
            </w:r>
            <w:proofErr w:type="spellStart"/>
            <w:r w:rsidRPr="00555058">
              <w:rPr>
                <w:sz w:val="20"/>
                <w:szCs w:val="20"/>
                <w:lang w:eastAsia="en-GB"/>
              </w:rPr>
              <w:t>Republic</w:t>
            </w:r>
            <w:proofErr w:type="spellEnd"/>
          </w:p>
        </w:tc>
        <w:tc>
          <w:tcPr>
            <w:tcW w:w="736" w:type="dxa"/>
            <w:tcBorders>
              <w:top w:val="nil"/>
              <w:left w:val="nil"/>
              <w:bottom w:val="nil"/>
              <w:right w:val="nil"/>
            </w:tcBorders>
            <w:shd w:val="clear" w:color="auto" w:fill="auto"/>
            <w:noWrap/>
            <w:vAlign w:val="center"/>
            <w:hideMark/>
          </w:tcPr>
          <w:p w14:paraId="2E3FB120" w14:textId="77777777" w:rsidR="00E44119" w:rsidRPr="00555058" w:rsidRDefault="00E44119" w:rsidP="00E44119">
            <w:pPr>
              <w:jc w:val="center"/>
              <w:rPr>
                <w:sz w:val="20"/>
                <w:szCs w:val="20"/>
                <w:lang w:eastAsia="en-GB"/>
              </w:rPr>
            </w:pPr>
            <w:r w:rsidRPr="00555058">
              <w:rPr>
                <w:sz w:val="20"/>
                <w:szCs w:val="20"/>
                <w:lang w:eastAsia="en-GB"/>
              </w:rPr>
              <w:t>1990</w:t>
            </w:r>
          </w:p>
        </w:tc>
        <w:tc>
          <w:tcPr>
            <w:tcW w:w="709" w:type="dxa"/>
            <w:tcBorders>
              <w:top w:val="nil"/>
              <w:left w:val="nil"/>
              <w:bottom w:val="nil"/>
              <w:right w:val="nil"/>
            </w:tcBorders>
            <w:shd w:val="clear" w:color="auto" w:fill="auto"/>
            <w:noWrap/>
            <w:vAlign w:val="center"/>
            <w:hideMark/>
          </w:tcPr>
          <w:p w14:paraId="5C7AE726" w14:textId="77777777" w:rsidR="00E44119" w:rsidRPr="00555058" w:rsidRDefault="00E44119" w:rsidP="00E44119">
            <w:pPr>
              <w:jc w:val="center"/>
              <w:rPr>
                <w:sz w:val="20"/>
                <w:szCs w:val="20"/>
                <w:lang w:eastAsia="en-GB"/>
              </w:rPr>
            </w:pPr>
            <w:r w:rsidRPr="00555058">
              <w:rPr>
                <w:sz w:val="20"/>
                <w:szCs w:val="20"/>
                <w:lang w:eastAsia="en-GB"/>
              </w:rPr>
              <w:t>2013</w:t>
            </w:r>
          </w:p>
        </w:tc>
        <w:tc>
          <w:tcPr>
            <w:tcW w:w="1134" w:type="dxa"/>
            <w:tcBorders>
              <w:top w:val="nil"/>
              <w:left w:val="nil"/>
              <w:bottom w:val="nil"/>
              <w:right w:val="nil"/>
            </w:tcBorders>
            <w:shd w:val="clear" w:color="auto" w:fill="auto"/>
            <w:noWrap/>
            <w:vAlign w:val="center"/>
            <w:hideMark/>
          </w:tcPr>
          <w:p w14:paraId="7202846E" w14:textId="77777777" w:rsidR="00E44119" w:rsidRPr="00555058" w:rsidRDefault="00E44119" w:rsidP="00E44119">
            <w:pPr>
              <w:jc w:val="center"/>
              <w:rPr>
                <w:sz w:val="20"/>
                <w:szCs w:val="20"/>
                <w:lang w:eastAsia="en-GB"/>
              </w:rPr>
            </w:pPr>
            <w:r w:rsidRPr="00555058">
              <w:rPr>
                <w:sz w:val="20"/>
                <w:szCs w:val="20"/>
                <w:lang w:eastAsia="en-GB"/>
              </w:rPr>
              <w:t>8</w:t>
            </w:r>
          </w:p>
        </w:tc>
        <w:tc>
          <w:tcPr>
            <w:tcW w:w="851" w:type="dxa"/>
            <w:tcBorders>
              <w:top w:val="nil"/>
              <w:left w:val="nil"/>
              <w:bottom w:val="nil"/>
              <w:right w:val="nil"/>
            </w:tcBorders>
            <w:shd w:val="clear" w:color="auto" w:fill="auto"/>
            <w:noWrap/>
            <w:vAlign w:val="center"/>
            <w:hideMark/>
          </w:tcPr>
          <w:p w14:paraId="659F51D1" w14:textId="77777777" w:rsidR="00E44119" w:rsidRPr="00555058" w:rsidRDefault="00E44119" w:rsidP="00E44119">
            <w:pPr>
              <w:jc w:val="center"/>
              <w:rPr>
                <w:sz w:val="20"/>
                <w:szCs w:val="20"/>
                <w:lang w:eastAsia="en-GB"/>
              </w:rPr>
            </w:pPr>
            <w:r w:rsidRPr="00555058">
              <w:rPr>
                <w:sz w:val="20"/>
                <w:szCs w:val="20"/>
                <w:lang w:eastAsia="en-GB"/>
              </w:rPr>
              <w:t>4</w:t>
            </w:r>
          </w:p>
        </w:tc>
        <w:tc>
          <w:tcPr>
            <w:tcW w:w="1984" w:type="dxa"/>
            <w:tcBorders>
              <w:top w:val="nil"/>
              <w:left w:val="nil"/>
              <w:bottom w:val="nil"/>
              <w:right w:val="nil"/>
            </w:tcBorders>
            <w:shd w:val="clear" w:color="auto" w:fill="auto"/>
            <w:noWrap/>
            <w:vAlign w:val="center"/>
            <w:hideMark/>
          </w:tcPr>
          <w:p w14:paraId="2C12A175"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38</w:t>
            </w:r>
          </w:p>
        </w:tc>
        <w:tc>
          <w:tcPr>
            <w:tcW w:w="1843" w:type="dxa"/>
            <w:tcBorders>
              <w:top w:val="nil"/>
              <w:left w:val="nil"/>
              <w:bottom w:val="nil"/>
              <w:right w:val="nil"/>
            </w:tcBorders>
            <w:shd w:val="clear" w:color="auto" w:fill="auto"/>
            <w:noWrap/>
            <w:vAlign w:val="center"/>
            <w:hideMark/>
          </w:tcPr>
          <w:p w14:paraId="61C8D9DF"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10</w:t>
            </w:r>
          </w:p>
        </w:tc>
        <w:tc>
          <w:tcPr>
            <w:tcW w:w="1701" w:type="dxa"/>
            <w:tcBorders>
              <w:top w:val="nil"/>
              <w:left w:val="nil"/>
              <w:bottom w:val="nil"/>
              <w:right w:val="nil"/>
            </w:tcBorders>
            <w:vAlign w:val="center"/>
          </w:tcPr>
          <w:p w14:paraId="47EFFDC6" w14:textId="7F42A1D4"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715B2E14" w14:textId="3BD79A08" w:rsidR="00E44119" w:rsidRPr="00555058" w:rsidRDefault="00E44119" w:rsidP="00E44119">
            <w:pPr>
              <w:jc w:val="center"/>
              <w:rPr>
                <w:sz w:val="20"/>
                <w:szCs w:val="20"/>
                <w:lang w:eastAsia="en-GB"/>
              </w:rPr>
            </w:pPr>
            <w:r w:rsidRPr="00555058">
              <w:rPr>
                <w:sz w:val="20"/>
                <w:szCs w:val="20"/>
                <w:lang w:eastAsia="en-GB"/>
              </w:rPr>
              <w:t>0</w:t>
            </w:r>
          </w:p>
        </w:tc>
        <w:tc>
          <w:tcPr>
            <w:tcW w:w="1649" w:type="dxa"/>
            <w:gridSpan w:val="2"/>
            <w:tcBorders>
              <w:top w:val="nil"/>
              <w:left w:val="nil"/>
              <w:bottom w:val="nil"/>
              <w:right w:val="nil"/>
            </w:tcBorders>
            <w:shd w:val="clear" w:color="auto" w:fill="auto"/>
            <w:noWrap/>
            <w:vAlign w:val="center"/>
            <w:hideMark/>
          </w:tcPr>
          <w:p w14:paraId="725B7984" w14:textId="77777777" w:rsidR="00E44119" w:rsidRPr="00555058" w:rsidRDefault="00E44119" w:rsidP="00E44119">
            <w:pPr>
              <w:jc w:val="center"/>
              <w:rPr>
                <w:sz w:val="20"/>
                <w:szCs w:val="20"/>
                <w:lang w:eastAsia="en-GB"/>
              </w:rPr>
            </w:pPr>
            <w:r w:rsidRPr="00555058">
              <w:rPr>
                <w:sz w:val="20"/>
                <w:szCs w:val="20"/>
                <w:lang w:eastAsia="en-GB"/>
              </w:rPr>
              <w:t>1</w:t>
            </w:r>
          </w:p>
        </w:tc>
      </w:tr>
      <w:tr w:rsidR="00E44119" w:rsidRPr="00555058" w14:paraId="453F1049" w14:textId="77777777" w:rsidTr="001D64DC">
        <w:trPr>
          <w:trHeight w:val="320"/>
        </w:trPr>
        <w:tc>
          <w:tcPr>
            <w:tcW w:w="1532" w:type="dxa"/>
            <w:tcBorders>
              <w:top w:val="nil"/>
              <w:left w:val="nil"/>
              <w:bottom w:val="nil"/>
              <w:right w:val="nil"/>
            </w:tcBorders>
            <w:shd w:val="clear" w:color="auto" w:fill="auto"/>
            <w:noWrap/>
            <w:vAlign w:val="center"/>
            <w:hideMark/>
          </w:tcPr>
          <w:p w14:paraId="68FE4573" w14:textId="77777777" w:rsidR="00E44119" w:rsidRPr="00555058" w:rsidRDefault="00E44119" w:rsidP="00E44119">
            <w:pPr>
              <w:rPr>
                <w:sz w:val="20"/>
                <w:szCs w:val="20"/>
                <w:lang w:eastAsia="en-GB"/>
              </w:rPr>
            </w:pPr>
            <w:r w:rsidRPr="00555058">
              <w:rPr>
                <w:sz w:val="20"/>
                <w:szCs w:val="20"/>
                <w:lang w:eastAsia="en-GB"/>
              </w:rPr>
              <w:t>Luxembourg</w:t>
            </w:r>
          </w:p>
        </w:tc>
        <w:tc>
          <w:tcPr>
            <w:tcW w:w="736" w:type="dxa"/>
            <w:tcBorders>
              <w:top w:val="nil"/>
              <w:left w:val="nil"/>
              <w:bottom w:val="nil"/>
              <w:right w:val="nil"/>
            </w:tcBorders>
            <w:shd w:val="clear" w:color="auto" w:fill="auto"/>
            <w:noWrap/>
            <w:vAlign w:val="center"/>
            <w:hideMark/>
          </w:tcPr>
          <w:p w14:paraId="7DBB4C4D" w14:textId="77777777" w:rsidR="00E44119" w:rsidRPr="00555058" w:rsidRDefault="00E44119" w:rsidP="00E44119">
            <w:pPr>
              <w:jc w:val="center"/>
              <w:rPr>
                <w:sz w:val="20"/>
                <w:szCs w:val="20"/>
                <w:lang w:eastAsia="en-GB"/>
              </w:rPr>
            </w:pPr>
            <w:r w:rsidRPr="00555058">
              <w:rPr>
                <w:sz w:val="20"/>
                <w:szCs w:val="20"/>
                <w:lang w:eastAsia="en-GB"/>
              </w:rPr>
              <w:t>1945</w:t>
            </w:r>
          </w:p>
        </w:tc>
        <w:tc>
          <w:tcPr>
            <w:tcW w:w="709" w:type="dxa"/>
            <w:tcBorders>
              <w:top w:val="nil"/>
              <w:left w:val="nil"/>
              <w:bottom w:val="nil"/>
              <w:right w:val="nil"/>
            </w:tcBorders>
            <w:shd w:val="clear" w:color="auto" w:fill="auto"/>
            <w:noWrap/>
            <w:vAlign w:val="center"/>
            <w:hideMark/>
          </w:tcPr>
          <w:p w14:paraId="156B2C06" w14:textId="77777777" w:rsidR="00E44119" w:rsidRPr="00555058" w:rsidRDefault="00E44119" w:rsidP="00E44119">
            <w:pPr>
              <w:jc w:val="center"/>
              <w:rPr>
                <w:sz w:val="20"/>
                <w:szCs w:val="20"/>
                <w:lang w:eastAsia="en-GB"/>
              </w:rPr>
            </w:pPr>
            <w:r w:rsidRPr="00555058">
              <w:rPr>
                <w:sz w:val="20"/>
                <w:szCs w:val="20"/>
                <w:lang w:eastAsia="en-GB"/>
              </w:rPr>
              <w:t>2013</w:t>
            </w:r>
          </w:p>
        </w:tc>
        <w:tc>
          <w:tcPr>
            <w:tcW w:w="1134" w:type="dxa"/>
            <w:tcBorders>
              <w:top w:val="nil"/>
              <w:left w:val="nil"/>
              <w:bottom w:val="nil"/>
              <w:right w:val="nil"/>
            </w:tcBorders>
            <w:shd w:val="clear" w:color="auto" w:fill="auto"/>
            <w:noWrap/>
            <w:vAlign w:val="center"/>
            <w:hideMark/>
          </w:tcPr>
          <w:p w14:paraId="4B849402" w14:textId="77777777" w:rsidR="00E44119" w:rsidRPr="00555058" w:rsidRDefault="00E44119" w:rsidP="00E44119">
            <w:pPr>
              <w:jc w:val="center"/>
              <w:rPr>
                <w:sz w:val="20"/>
                <w:szCs w:val="20"/>
                <w:lang w:eastAsia="en-GB"/>
              </w:rPr>
            </w:pPr>
            <w:r w:rsidRPr="00555058">
              <w:rPr>
                <w:sz w:val="20"/>
                <w:szCs w:val="20"/>
                <w:lang w:eastAsia="en-GB"/>
              </w:rPr>
              <w:t>16</w:t>
            </w:r>
          </w:p>
        </w:tc>
        <w:tc>
          <w:tcPr>
            <w:tcW w:w="851" w:type="dxa"/>
            <w:tcBorders>
              <w:top w:val="nil"/>
              <w:left w:val="nil"/>
              <w:bottom w:val="nil"/>
              <w:right w:val="nil"/>
            </w:tcBorders>
            <w:shd w:val="clear" w:color="auto" w:fill="auto"/>
            <w:noWrap/>
            <w:vAlign w:val="center"/>
            <w:hideMark/>
          </w:tcPr>
          <w:p w14:paraId="382EE28D" w14:textId="77777777" w:rsidR="00E44119" w:rsidRPr="00555058" w:rsidRDefault="00E44119" w:rsidP="00E44119">
            <w:pPr>
              <w:jc w:val="center"/>
              <w:rPr>
                <w:sz w:val="20"/>
                <w:szCs w:val="20"/>
                <w:lang w:eastAsia="en-GB"/>
              </w:rPr>
            </w:pPr>
            <w:r w:rsidRPr="00555058">
              <w:rPr>
                <w:sz w:val="20"/>
                <w:szCs w:val="20"/>
                <w:lang w:eastAsia="en-GB"/>
              </w:rPr>
              <w:t>3</w:t>
            </w:r>
          </w:p>
        </w:tc>
        <w:tc>
          <w:tcPr>
            <w:tcW w:w="1984" w:type="dxa"/>
            <w:tcBorders>
              <w:top w:val="nil"/>
              <w:left w:val="nil"/>
              <w:bottom w:val="nil"/>
              <w:right w:val="nil"/>
            </w:tcBorders>
            <w:shd w:val="clear" w:color="auto" w:fill="auto"/>
            <w:noWrap/>
            <w:vAlign w:val="center"/>
            <w:hideMark/>
          </w:tcPr>
          <w:p w14:paraId="79B5FC2F"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19</w:t>
            </w:r>
          </w:p>
        </w:tc>
        <w:tc>
          <w:tcPr>
            <w:tcW w:w="1843" w:type="dxa"/>
            <w:tcBorders>
              <w:top w:val="nil"/>
              <w:left w:val="nil"/>
              <w:bottom w:val="nil"/>
              <w:right w:val="nil"/>
            </w:tcBorders>
            <w:shd w:val="clear" w:color="auto" w:fill="auto"/>
            <w:noWrap/>
            <w:vAlign w:val="center"/>
            <w:hideMark/>
          </w:tcPr>
          <w:p w14:paraId="5598836B"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05</w:t>
            </w:r>
          </w:p>
        </w:tc>
        <w:tc>
          <w:tcPr>
            <w:tcW w:w="1701" w:type="dxa"/>
            <w:tcBorders>
              <w:top w:val="nil"/>
              <w:left w:val="nil"/>
              <w:bottom w:val="nil"/>
              <w:right w:val="nil"/>
            </w:tcBorders>
            <w:vAlign w:val="center"/>
          </w:tcPr>
          <w:p w14:paraId="3734FA5C" w14:textId="7AF50282" w:rsidR="00E44119" w:rsidRPr="00555058" w:rsidRDefault="00D43AA7" w:rsidP="00E44119">
            <w:pPr>
              <w:jc w:val="center"/>
              <w:rPr>
                <w:sz w:val="20"/>
                <w:szCs w:val="20"/>
                <w:lang w:eastAsia="en-GB"/>
              </w:rPr>
            </w:pPr>
            <w:r>
              <w:rPr>
                <w:sz w:val="20"/>
                <w:szCs w:val="20"/>
                <w:lang w:eastAsia="en-GB"/>
              </w:rPr>
              <w:t>-</w:t>
            </w:r>
          </w:p>
        </w:tc>
        <w:tc>
          <w:tcPr>
            <w:tcW w:w="1801" w:type="dxa"/>
            <w:tcBorders>
              <w:top w:val="nil"/>
              <w:left w:val="nil"/>
              <w:bottom w:val="nil"/>
              <w:right w:val="nil"/>
            </w:tcBorders>
            <w:shd w:val="clear" w:color="auto" w:fill="auto"/>
            <w:noWrap/>
            <w:vAlign w:val="center"/>
            <w:hideMark/>
          </w:tcPr>
          <w:p w14:paraId="56F692E3" w14:textId="109BDE60" w:rsidR="00E44119" w:rsidRPr="00555058" w:rsidRDefault="00E44119" w:rsidP="00E44119">
            <w:pPr>
              <w:jc w:val="center"/>
              <w:rPr>
                <w:sz w:val="20"/>
                <w:szCs w:val="20"/>
                <w:lang w:eastAsia="en-GB"/>
              </w:rPr>
            </w:pPr>
            <w:r w:rsidRPr="00555058">
              <w:rPr>
                <w:sz w:val="20"/>
                <w:szCs w:val="20"/>
                <w:lang w:eastAsia="en-GB"/>
              </w:rPr>
              <w:t>1</w:t>
            </w:r>
          </w:p>
        </w:tc>
        <w:tc>
          <w:tcPr>
            <w:tcW w:w="1649" w:type="dxa"/>
            <w:gridSpan w:val="2"/>
            <w:tcBorders>
              <w:top w:val="nil"/>
              <w:left w:val="nil"/>
              <w:bottom w:val="nil"/>
              <w:right w:val="nil"/>
            </w:tcBorders>
            <w:shd w:val="clear" w:color="auto" w:fill="auto"/>
            <w:noWrap/>
            <w:vAlign w:val="center"/>
            <w:hideMark/>
          </w:tcPr>
          <w:p w14:paraId="2E6A7609" w14:textId="77777777" w:rsidR="00E44119" w:rsidRPr="00555058" w:rsidRDefault="00E44119" w:rsidP="00E44119">
            <w:pPr>
              <w:jc w:val="center"/>
              <w:rPr>
                <w:sz w:val="20"/>
                <w:szCs w:val="20"/>
                <w:lang w:eastAsia="en-GB"/>
              </w:rPr>
            </w:pPr>
            <w:r w:rsidRPr="00555058">
              <w:rPr>
                <w:sz w:val="20"/>
                <w:szCs w:val="20"/>
                <w:lang w:eastAsia="en-GB"/>
              </w:rPr>
              <w:t>0</w:t>
            </w:r>
          </w:p>
        </w:tc>
      </w:tr>
      <w:tr w:rsidR="00E44119" w:rsidRPr="00555058" w14:paraId="4EC141C7" w14:textId="77777777" w:rsidTr="001D64DC">
        <w:trPr>
          <w:trHeight w:val="320"/>
        </w:trPr>
        <w:tc>
          <w:tcPr>
            <w:tcW w:w="1532" w:type="dxa"/>
            <w:tcBorders>
              <w:top w:val="nil"/>
              <w:left w:val="nil"/>
              <w:bottom w:val="nil"/>
              <w:right w:val="nil"/>
            </w:tcBorders>
            <w:shd w:val="clear" w:color="auto" w:fill="auto"/>
            <w:noWrap/>
            <w:vAlign w:val="center"/>
            <w:hideMark/>
          </w:tcPr>
          <w:p w14:paraId="1F609245" w14:textId="77777777" w:rsidR="00E44119" w:rsidRPr="00555058" w:rsidRDefault="00E44119" w:rsidP="00E44119">
            <w:pPr>
              <w:rPr>
                <w:sz w:val="20"/>
                <w:szCs w:val="20"/>
                <w:lang w:eastAsia="en-GB"/>
              </w:rPr>
            </w:pPr>
            <w:r w:rsidRPr="00555058">
              <w:rPr>
                <w:sz w:val="20"/>
                <w:szCs w:val="20"/>
                <w:lang w:eastAsia="en-GB"/>
              </w:rPr>
              <w:t>Canada</w:t>
            </w:r>
          </w:p>
        </w:tc>
        <w:tc>
          <w:tcPr>
            <w:tcW w:w="736" w:type="dxa"/>
            <w:tcBorders>
              <w:top w:val="nil"/>
              <w:left w:val="nil"/>
              <w:bottom w:val="nil"/>
              <w:right w:val="nil"/>
            </w:tcBorders>
            <w:shd w:val="clear" w:color="auto" w:fill="auto"/>
            <w:noWrap/>
            <w:vAlign w:val="center"/>
            <w:hideMark/>
          </w:tcPr>
          <w:p w14:paraId="56D81B0F" w14:textId="77777777" w:rsidR="00E44119" w:rsidRPr="00555058" w:rsidRDefault="00E44119" w:rsidP="00E44119">
            <w:pPr>
              <w:jc w:val="center"/>
              <w:rPr>
                <w:sz w:val="20"/>
                <w:szCs w:val="20"/>
                <w:lang w:eastAsia="en-GB"/>
              </w:rPr>
            </w:pPr>
            <w:r w:rsidRPr="00555058">
              <w:rPr>
                <w:sz w:val="20"/>
                <w:szCs w:val="20"/>
                <w:lang w:eastAsia="en-GB"/>
              </w:rPr>
              <w:t>1945</w:t>
            </w:r>
          </w:p>
        </w:tc>
        <w:tc>
          <w:tcPr>
            <w:tcW w:w="709" w:type="dxa"/>
            <w:tcBorders>
              <w:top w:val="nil"/>
              <w:left w:val="nil"/>
              <w:bottom w:val="nil"/>
              <w:right w:val="nil"/>
            </w:tcBorders>
            <w:shd w:val="clear" w:color="auto" w:fill="auto"/>
            <w:noWrap/>
            <w:vAlign w:val="center"/>
            <w:hideMark/>
          </w:tcPr>
          <w:p w14:paraId="3B92FEEB" w14:textId="77777777" w:rsidR="00E44119" w:rsidRPr="00555058" w:rsidRDefault="00E44119" w:rsidP="00E44119">
            <w:pPr>
              <w:jc w:val="center"/>
              <w:rPr>
                <w:sz w:val="20"/>
                <w:szCs w:val="20"/>
                <w:lang w:eastAsia="en-GB"/>
              </w:rPr>
            </w:pPr>
            <w:r w:rsidRPr="00555058">
              <w:rPr>
                <w:sz w:val="20"/>
                <w:szCs w:val="20"/>
                <w:lang w:eastAsia="en-GB"/>
              </w:rPr>
              <w:t>2015</w:t>
            </w:r>
          </w:p>
        </w:tc>
        <w:tc>
          <w:tcPr>
            <w:tcW w:w="1134" w:type="dxa"/>
            <w:tcBorders>
              <w:top w:val="nil"/>
              <w:left w:val="nil"/>
              <w:bottom w:val="nil"/>
              <w:right w:val="nil"/>
            </w:tcBorders>
            <w:shd w:val="clear" w:color="auto" w:fill="auto"/>
            <w:noWrap/>
            <w:vAlign w:val="center"/>
            <w:hideMark/>
          </w:tcPr>
          <w:p w14:paraId="114A4980" w14:textId="77777777" w:rsidR="00E44119" w:rsidRPr="00555058" w:rsidRDefault="00E44119" w:rsidP="00E44119">
            <w:pPr>
              <w:jc w:val="center"/>
              <w:rPr>
                <w:sz w:val="20"/>
                <w:szCs w:val="20"/>
                <w:lang w:eastAsia="en-GB"/>
              </w:rPr>
            </w:pPr>
            <w:r w:rsidRPr="00555058">
              <w:rPr>
                <w:sz w:val="20"/>
                <w:szCs w:val="20"/>
                <w:lang w:eastAsia="en-GB"/>
              </w:rPr>
              <w:t>23</w:t>
            </w:r>
          </w:p>
        </w:tc>
        <w:tc>
          <w:tcPr>
            <w:tcW w:w="851" w:type="dxa"/>
            <w:tcBorders>
              <w:top w:val="nil"/>
              <w:left w:val="nil"/>
              <w:bottom w:val="nil"/>
              <w:right w:val="nil"/>
            </w:tcBorders>
            <w:shd w:val="clear" w:color="auto" w:fill="auto"/>
            <w:noWrap/>
            <w:vAlign w:val="center"/>
            <w:hideMark/>
          </w:tcPr>
          <w:p w14:paraId="69F27BF4" w14:textId="77777777" w:rsidR="00E44119" w:rsidRPr="00555058" w:rsidRDefault="00E44119" w:rsidP="00E44119">
            <w:pPr>
              <w:jc w:val="center"/>
              <w:rPr>
                <w:sz w:val="20"/>
                <w:szCs w:val="20"/>
                <w:lang w:eastAsia="en-GB"/>
              </w:rPr>
            </w:pPr>
            <w:r w:rsidRPr="00555058">
              <w:rPr>
                <w:sz w:val="20"/>
                <w:szCs w:val="20"/>
                <w:lang w:eastAsia="en-GB"/>
              </w:rPr>
              <w:t>0</w:t>
            </w:r>
          </w:p>
        </w:tc>
        <w:tc>
          <w:tcPr>
            <w:tcW w:w="1984" w:type="dxa"/>
            <w:tcBorders>
              <w:top w:val="nil"/>
              <w:left w:val="nil"/>
              <w:bottom w:val="nil"/>
              <w:right w:val="nil"/>
            </w:tcBorders>
            <w:shd w:val="clear" w:color="auto" w:fill="auto"/>
            <w:noWrap/>
            <w:vAlign w:val="center"/>
            <w:hideMark/>
          </w:tcPr>
          <w:p w14:paraId="168A3249" w14:textId="77777777" w:rsidR="00E44119" w:rsidRPr="00555058" w:rsidRDefault="00E44119" w:rsidP="00E44119">
            <w:pPr>
              <w:jc w:val="center"/>
              <w:rPr>
                <w:sz w:val="20"/>
                <w:szCs w:val="20"/>
                <w:lang w:eastAsia="en-GB"/>
              </w:rPr>
            </w:pPr>
          </w:p>
        </w:tc>
        <w:tc>
          <w:tcPr>
            <w:tcW w:w="1843" w:type="dxa"/>
            <w:tcBorders>
              <w:top w:val="nil"/>
              <w:left w:val="nil"/>
              <w:bottom w:val="nil"/>
              <w:right w:val="nil"/>
            </w:tcBorders>
            <w:shd w:val="clear" w:color="auto" w:fill="auto"/>
            <w:noWrap/>
            <w:vAlign w:val="center"/>
            <w:hideMark/>
          </w:tcPr>
          <w:p w14:paraId="4EB7CA8C" w14:textId="77777777" w:rsidR="00E44119" w:rsidRPr="00555058" w:rsidRDefault="00E44119" w:rsidP="00E44119">
            <w:pPr>
              <w:jc w:val="center"/>
              <w:rPr>
                <w:rFonts w:ascii="Times New Roman" w:hAnsi="Times New Roman"/>
                <w:sz w:val="20"/>
                <w:szCs w:val="20"/>
                <w:lang w:eastAsia="en-GB"/>
              </w:rPr>
            </w:pPr>
          </w:p>
        </w:tc>
        <w:tc>
          <w:tcPr>
            <w:tcW w:w="1701" w:type="dxa"/>
            <w:tcBorders>
              <w:top w:val="nil"/>
              <w:left w:val="nil"/>
              <w:bottom w:val="nil"/>
              <w:right w:val="nil"/>
            </w:tcBorders>
            <w:vAlign w:val="center"/>
          </w:tcPr>
          <w:p w14:paraId="5F210B0D" w14:textId="77777777" w:rsidR="00E44119" w:rsidRPr="00555058" w:rsidRDefault="00E44119" w:rsidP="00E44119">
            <w:pPr>
              <w:jc w:val="center"/>
              <w:rPr>
                <w:rFonts w:ascii="Times New Roman" w:hAnsi="Times New Roman"/>
                <w:sz w:val="20"/>
                <w:szCs w:val="20"/>
                <w:lang w:eastAsia="en-GB"/>
              </w:rPr>
            </w:pPr>
          </w:p>
        </w:tc>
        <w:tc>
          <w:tcPr>
            <w:tcW w:w="1801" w:type="dxa"/>
            <w:tcBorders>
              <w:top w:val="nil"/>
              <w:left w:val="nil"/>
              <w:bottom w:val="nil"/>
              <w:right w:val="nil"/>
            </w:tcBorders>
            <w:shd w:val="clear" w:color="auto" w:fill="auto"/>
            <w:noWrap/>
            <w:vAlign w:val="center"/>
            <w:hideMark/>
          </w:tcPr>
          <w:p w14:paraId="7BE24741" w14:textId="3C312FB1" w:rsidR="00E44119" w:rsidRPr="00555058" w:rsidRDefault="00E44119" w:rsidP="00E44119">
            <w:pPr>
              <w:jc w:val="center"/>
              <w:rPr>
                <w:rFonts w:ascii="Times New Roman" w:hAnsi="Times New Roman"/>
                <w:sz w:val="20"/>
                <w:szCs w:val="20"/>
                <w:lang w:eastAsia="en-GB"/>
              </w:rPr>
            </w:pPr>
          </w:p>
        </w:tc>
        <w:tc>
          <w:tcPr>
            <w:tcW w:w="1649" w:type="dxa"/>
            <w:gridSpan w:val="2"/>
            <w:tcBorders>
              <w:top w:val="nil"/>
              <w:left w:val="nil"/>
              <w:bottom w:val="nil"/>
              <w:right w:val="nil"/>
            </w:tcBorders>
            <w:shd w:val="clear" w:color="auto" w:fill="auto"/>
            <w:noWrap/>
            <w:vAlign w:val="center"/>
            <w:hideMark/>
          </w:tcPr>
          <w:p w14:paraId="1E2A1055" w14:textId="77777777" w:rsidR="00E44119" w:rsidRPr="00555058" w:rsidRDefault="00E44119" w:rsidP="00E44119">
            <w:pPr>
              <w:jc w:val="center"/>
              <w:rPr>
                <w:rFonts w:ascii="Times New Roman" w:hAnsi="Times New Roman"/>
                <w:sz w:val="20"/>
                <w:szCs w:val="20"/>
                <w:lang w:eastAsia="en-GB"/>
              </w:rPr>
            </w:pPr>
          </w:p>
        </w:tc>
      </w:tr>
      <w:tr w:rsidR="00E44119" w:rsidRPr="00555058" w14:paraId="53483D70" w14:textId="77777777" w:rsidTr="001D64DC">
        <w:trPr>
          <w:trHeight w:val="320"/>
        </w:trPr>
        <w:tc>
          <w:tcPr>
            <w:tcW w:w="1532" w:type="dxa"/>
            <w:tcBorders>
              <w:top w:val="nil"/>
              <w:left w:val="nil"/>
              <w:right w:val="nil"/>
            </w:tcBorders>
            <w:shd w:val="clear" w:color="auto" w:fill="auto"/>
            <w:noWrap/>
            <w:vAlign w:val="center"/>
            <w:hideMark/>
          </w:tcPr>
          <w:p w14:paraId="67055245" w14:textId="77777777" w:rsidR="00E44119" w:rsidRPr="00555058" w:rsidRDefault="00E44119" w:rsidP="00E44119">
            <w:pPr>
              <w:rPr>
                <w:sz w:val="20"/>
                <w:szCs w:val="20"/>
                <w:lang w:eastAsia="en-GB"/>
              </w:rPr>
            </w:pPr>
            <w:r w:rsidRPr="00555058">
              <w:rPr>
                <w:sz w:val="20"/>
                <w:szCs w:val="20"/>
                <w:lang w:eastAsia="en-GB"/>
              </w:rPr>
              <w:t>Malta</w:t>
            </w:r>
          </w:p>
        </w:tc>
        <w:tc>
          <w:tcPr>
            <w:tcW w:w="736" w:type="dxa"/>
            <w:tcBorders>
              <w:top w:val="nil"/>
              <w:left w:val="nil"/>
              <w:right w:val="nil"/>
            </w:tcBorders>
            <w:shd w:val="clear" w:color="auto" w:fill="auto"/>
            <w:noWrap/>
            <w:vAlign w:val="center"/>
            <w:hideMark/>
          </w:tcPr>
          <w:p w14:paraId="52321F3F" w14:textId="77777777" w:rsidR="00E44119" w:rsidRPr="00555058" w:rsidRDefault="00E44119" w:rsidP="00E44119">
            <w:pPr>
              <w:jc w:val="center"/>
              <w:rPr>
                <w:sz w:val="20"/>
                <w:szCs w:val="20"/>
                <w:lang w:eastAsia="en-GB"/>
              </w:rPr>
            </w:pPr>
            <w:r w:rsidRPr="00555058">
              <w:rPr>
                <w:sz w:val="20"/>
                <w:szCs w:val="20"/>
                <w:lang w:eastAsia="en-GB"/>
              </w:rPr>
              <w:t>1947</w:t>
            </w:r>
          </w:p>
        </w:tc>
        <w:tc>
          <w:tcPr>
            <w:tcW w:w="709" w:type="dxa"/>
            <w:tcBorders>
              <w:top w:val="nil"/>
              <w:left w:val="nil"/>
              <w:right w:val="nil"/>
            </w:tcBorders>
            <w:shd w:val="clear" w:color="auto" w:fill="auto"/>
            <w:noWrap/>
            <w:vAlign w:val="center"/>
            <w:hideMark/>
          </w:tcPr>
          <w:p w14:paraId="67E5893A" w14:textId="77777777" w:rsidR="00E44119" w:rsidRPr="00555058" w:rsidRDefault="00E44119" w:rsidP="00E44119">
            <w:pPr>
              <w:jc w:val="center"/>
              <w:rPr>
                <w:sz w:val="20"/>
                <w:szCs w:val="20"/>
                <w:lang w:eastAsia="en-GB"/>
              </w:rPr>
            </w:pPr>
            <w:r w:rsidRPr="00555058">
              <w:rPr>
                <w:sz w:val="20"/>
                <w:szCs w:val="20"/>
                <w:lang w:eastAsia="en-GB"/>
              </w:rPr>
              <w:t>2013</w:t>
            </w:r>
          </w:p>
        </w:tc>
        <w:tc>
          <w:tcPr>
            <w:tcW w:w="1134" w:type="dxa"/>
            <w:tcBorders>
              <w:top w:val="nil"/>
              <w:left w:val="nil"/>
              <w:right w:val="nil"/>
            </w:tcBorders>
            <w:shd w:val="clear" w:color="auto" w:fill="auto"/>
            <w:noWrap/>
            <w:vAlign w:val="center"/>
            <w:hideMark/>
          </w:tcPr>
          <w:p w14:paraId="6BCE7200" w14:textId="77777777" w:rsidR="00E44119" w:rsidRPr="00555058" w:rsidRDefault="00E44119" w:rsidP="00E44119">
            <w:pPr>
              <w:jc w:val="center"/>
              <w:rPr>
                <w:sz w:val="20"/>
                <w:szCs w:val="20"/>
                <w:lang w:eastAsia="en-GB"/>
              </w:rPr>
            </w:pPr>
            <w:r w:rsidRPr="00555058">
              <w:rPr>
                <w:sz w:val="20"/>
                <w:szCs w:val="20"/>
                <w:lang w:eastAsia="en-GB"/>
              </w:rPr>
              <w:t>17</w:t>
            </w:r>
          </w:p>
        </w:tc>
        <w:tc>
          <w:tcPr>
            <w:tcW w:w="851" w:type="dxa"/>
            <w:tcBorders>
              <w:top w:val="nil"/>
              <w:left w:val="nil"/>
              <w:right w:val="nil"/>
            </w:tcBorders>
            <w:shd w:val="clear" w:color="auto" w:fill="auto"/>
            <w:noWrap/>
            <w:vAlign w:val="center"/>
            <w:hideMark/>
          </w:tcPr>
          <w:p w14:paraId="69F85479" w14:textId="77777777" w:rsidR="00E44119" w:rsidRPr="00555058" w:rsidRDefault="00E44119" w:rsidP="00E44119">
            <w:pPr>
              <w:jc w:val="center"/>
              <w:rPr>
                <w:sz w:val="20"/>
                <w:szCs w:val="20"/>
                <w:lang w:eastAsia="en-GB"/>
              </w:rPr>
            </w:pPr>
            <w:r w:rsidRPr="00555058">
              <w:rPr>
                <w:sz w:val="20"/>
                <w:szCs w:val="20"/>
                <w:lang w:eastAsia="en-GB"/>
              </w:rPr>
              <w:t>0</w:t>
            </w:r>
          </w:p>
        </w:tc>
        <w:tc>
          <w:tcPr>
            <w:tcW w:w="1984" w:type="dxa"/>
            <w:tcBorders>
              <w:top w:val="nil"/>
              <w:left w:val="nil"/>
              <w:right w:val="nil"/>
            </w:tcBorders>
            <w:shd w:val="clear" w:color="auto" w:fill="auto"/>
            <w:noWrap/>
            <w:vAlign w:val="center"/>
            <w:hideMark/>
          </w:tcPr>
          <w:p w14:paraId="76CD8424" w14:textId="77777777" w:rsidR="00E44119" w:rsidRPr="00555058" w:rsidRDefault="00E44119" w:rsidP="00E44119">
            <w:pPr>
              <w:jc w:val="center"/>
              <w:rPr>
                <w:sz w:val="20"/>
                <w:szCs w:val="20"/>
                <w:lang w:eastAsia="en-GB"/>
              </w:rPr>
            </w:pPr>
          </w:p>
        </w:tc>
        <w:tc>
          <w:tcPr>
            <w:tcW w:w="1843" w:type="dxa"/>
            <w:tcBorders>
              <w:top w:val="nil"/>
              <w:left w:val="nil"/>
              <w:right w:val="nil"/>
            </w:tcBorders>
            <w:shd w:val="clear" w:color="auto" w:fill="auto"/>
            <w:noWrap/>
            <w:vAlign w:val="center"/>
            <w:hideMark/>
          </w:tcPr>
          <w:p w14:paraId="45533F48" w14:textId="77777777" w:rsidR="00E44119" w:rsidRPr="00555058" w:rsidRDefault="00E44119" w:rsidP="00E44119">
            <w:pPr>
              <w:jc w:val="center"/>
              <w:rPr>
                <w:rFonts w:ascii="Times New Roman" w:hAnsi="Times New Roman"/>
                <w:sz w:val="20"/>
                <w:szCs w:val="20"/>
                <w:lang w:eastAsia="en-GB"/>
              </w:rPr>
            </w:pPr>
          </w:p>
        </w:tc>
        <w:tc>
          <w:tcPr>
            <w:tcW w:w="1701" w:type="dxa"/>
            <w:tcBorders>
              <w:top w:val="nil"/>
              <w:left w:val="nil"/>
              <w:right w:val="nil"/>
            </w:tcBorders>
            <w:vAlign w:val="center"/>
          </w:tcPr>
          <w:p w14:paraId="6E2E55B9" w14:textId="77777777" w:rsidR="00E44119" w:rsidRPr="00555058" w:rsidRDefault="00E44119" w:rsidP="00E44119">
            <w:pPr>
              <w:jc w:val="center"/>
              <w:rPr>
                <w:rFonts w:ascii="Times New Roman" w:hAnsi="Times New Roman"/>
                <w:sz w:val="20"/>
                <w:szCs w:val="20"/>
                <w:lang w:eastAsia="en-GB"/>
              </w:rPr>
            </w:pPr>
          </w:p>
        </w:tc>
        <w:tc>
          <w:tcPr>
            <w:tcW w:w="1801" w:type="dxa"/>
            <w:tcBorders>
              <w:top w:val="nil"/>
              <w:left w:val="nil"/>
              <w:right w:val="nil"/>
            </w:tcBorders>
            <w:shd w:val="clear" w:color="auto" w:fill="auto"/>
            <w:noWrap/>
            <w:vAlign w:val="center"/>
            <w:hideMark/>
          </w:tcPr>
          <w:p w14:paraId="25AF7DB5" w14:textId="714A9C45" w:rsidR="00E44119" w:rsidRPr="00555058" w:rsidRDefault="00E44119" w:rsidP="00E44119">
            <w:pPr>
              <w:jc w:val="center"/>
              <w:rPr>
                <w:rFonts w:ascii="Times New Roman" w:hAnsi="Times New Roman"/>
                <w:sz w:val="20"/>
                <w:szCs w:val="20"/>
                <w:lang w:eastAsia="en-GB"/>
              </w:rPr>
            </w:pPr>
          </w:p>
        </w:tc>
        <w:tc>
          <w:tcPr>
            <w:tcW w:w="1649" w:type="dxa"/>
            <w:gridSpan w:val="2"/>
            <w:tcBorders>
              <w:top w:val="nil"/>
              <w:left w:val="nil"/>
              <w:right w:val="nil"/>
            </w:tcBorders>
            <w:shd w:val="clear" w:color="auto" w:fill="auto"/>
            <w:noWrap/>
            <w:vAlign w:val="center"/>
            <w:hideMark/>
          </w:tcPr>
          <w:p w14:paraId="4C7583A5" w14:textId="77777777" w:rsidR="00E44119" w:rsidRPr="00555058" w:rsidRDefault="00E44119" w:rsidP="00E44119">
            <w:pPr>
              <w:jc w:val="center"/>
              <w:rPr>
                <w:rFonts w:ascii="Times New Roman" w:hAnsi="Times New Roman"/>
                <w:sz w:val="20"/>
                <w:szCs w:val="20"/>
                <w:lang w:eastAsia="en-GB"/>
              </w:rPr>
            </w:pPr>
          </w:p>
        </w:tc>
      </w:tr>
      <w:tr w:rsidR="00E44119" w:rsidRPr="00555058" w14:paraId="23FE9221" w14:textId="77777777" w:rsidTr="001D64DC">
        <w:trPr>
          <w:trHeight w:val="320"/>
        </w:trPr>
        <w:tc>
          <w:tcPr>
            <w:tcW w:w="1532" w:type="dxa"/>
            <w:tcBorders>
              <w:top w:val="nil"/>
              <w:left w:val="nil"/>
              <w:bottom w:val="single" w:sz="8" w:space="0" w:color="auto"/>
              <w:right w:val="nil"/>
            </w:tcBorders>
            <w:shd w:val="clear" w:color="auto" w:fill="auto"/>
            <w:noWrap/>
            <w:vAlign w:val="center"/>
            <w:hideMark/>
          </w:tcPr>
          <w:p w14:paraId="1569CC21" w14:textId="77777777" w:rsidR="00E44119" w:rsidRPr="00555058" w:rsidRDefault="00E44119" w:rsidP="00E44119">
            <w:pPr>
              <w:rPr>
                <w:sz w:val="20"/>
                <w:szCs w:val="20"/>
                <w:lang w:eastAsia="en-GB"/>
              </w:rPr>
            </w:pPr>
            <w:proofErr w:type="spellStart"/>
            <w:r w:rsidRPr="00555058">
              <w:rPr>
                <w:sz w:val="20"/>
                <w:szCs w:val="20"/>
                <w:lang w:eastAsia="en-GB"/>
              </w:rPr>
              <w:t>Switzerland</w:t>
            </w:r>
            <w:proofErr w:type="spellEnd"/>
          </w:p>
        </w:tc>
        <w:tc>
          <w:tcPr>
            <w:tcW w:w="736" w:type="dxa"/>
            <w:tcBorders>
              <w:top w:val="nil"/>
              <w:left w:val="nil"/>
              <w:bottom w:val="single" w:sz="8" w:space="0" w:color="auto"/>
              <w:right w:val="nil"/>
            </w:tcBorders>
            <w:shd w:val="clear" w:color="auto" w:fill="auto"/>
            <w:noWrap/>
            <w:vAlign w:val="center"/>
            <w:hideMark/>
          </w:tcPr>
          <w:p w14:paraId="16C8CAAF" w14:textId="77777777" w:rsidR="00E44119" w:rsidRPr="00555058" w:rsidRDefault="00E44119" w:rsidP="00E44119">
            <w:pPr>
              <w:jc w:val="center"/>
              <w:rPr>
                <w:sz w:val="20"/>
                <w:szCs w:val="20"/>
                <w:lang w:eastAsia="en-GB"/>
              </w:rPr>
            </w:pPr>
            <w:r w:rsidRPr="00555058">
              <w:rPr>
                <w:sz w:val="20"/>
                <w:szCs w:val="20"/>
                <w:lang w:eastAsia="en-GB"/>
              </w:rPr>
              <w:t>1947</w:t>
            </w:r>
          </w:p>
        </w:tc>
        <w:tc>
          <w:tcPr>
            <w:tcW w:w="709" w:type="dxa"/>
            <w:tcBorders>
              <w:top w:val="nil"/>
              <w:left w:val="nil"/>
              <w:bottom w:val="single" w:sz="8" w:space="0" w:color="auto"/>
              <w:right w:val="nil"/>
            </w:tcBorders>
            <w:shd w:val="clear" w:color="auto" w:fill="auto"/>
            <w:noWrap/>
            <w:vAlign w:val="center"/>
            <w:hideMark/>
          </w:tcPr>
          <w:p w14:paraId="301453FF" w14:textId="77777777" w:rsidR="00E44119" w:rsidRPr="00555058" w:rsidRDefault="00E44119" w:rsidP="00E44119">
            <w:pPr>
              <w:jc w:val="center"/>
              <w:rPr>
                <w:sz w:val="20"/>
                <w:szCs w:val="20"/>
                <w:lang w:eastAsia="en-GB"/>
              </w:rPr>
            </w:pPr>
            <w:r w:rsidRPr="00555058">
              <w:rPr>
                <w:sz w:val="20"/>
                <w:szCs w:val="20"/>
                <w:lang w:eastAsia="en-GB"/>
              </w:rPr>
              <w:t>2015</w:t>
            </w:r>
          </w:p>
        </w:tc>
        <w:tc>
          <w:tcPr>
            <w:tcW w:w="1134" w:type="dxa"/>
            <w:tcBorders>
              <w:top w:val="nil"/>
              <w:left w:val="nil"/>
              <w:bottom w:val="single" w:sz="8" w:space="0" w:color="auto"/>
              <w:right w:val="nil"/>
            </w:tcBorders>
            <w:shd w:val="clear" w:color="auto" w:fill="auto"/>
            <w:noWrap/>
            <w:vAlign w:val="center"/>
            <w:hideMark/>
          </w:tcPr>
          <w:p w14:paraId="16E72EDD" w14:textId="77777777" w:rsidR="00E44119" w:rsidRPr="00555058" w:rsidRDefault="00E44119" w:rsidP="00E44119">
            <w:pPr>
              <w:jc w:val="center"/>
              <w:rPr>
                <w:sz w:val="20"/>
                <w:szCs w:val="20"/>
                <w:lang w:eastAsia="en-GB"/>
              </w:rPr>
            </w:pPr>
            <w:r w:rsidRPr="00555058">
              <w:rPr>
                <w:sz w:val="20"/>
                <w:szCs w:val="20"/>
                <w:lang w:eastAsia="en-GB"/>
              </w:rPr>
              <w:t>18</w:t>
            </w:r>
          </w:p>
        </w:tc>
        <w:tc>
          <w:tcPr>
            <w:tcW w:w="851" w:type="dxa"/>
            <w:tcBorders>
              <w:top w:val="nil"/>
              <w:left w:val="nil"/>
              <w:bottom w:val="single" w:sz="8" w:space="0" w:color="auto"/>
              <w:right w:val="nil"/>
            </w:tcBorders>
            <w:shd w:val="clear" w:color="auto" w:fill="auto"/>
            <w:noWrap/>
            <w:vAlign w:val="center"/>
            <w:hideMark/>
          </w:tcPr>
          <w:p w14:paraId="3DFD83DD" w14:textId="77777777" w:rsidR="00E44119" w:rsidRPr="00555058" w:rsidRDefault="00E44119" w:rsidP="00E44119">
            <w:pPr>
              <w:jc w:val="center"/>
              <w:rPr>
                <w:sz w:val="20"/>
                <w:szCs w:val="20"/>
                <w:lang w:eastAsia="en-GB"/>
              </w:rPr>
            </w:pPr>
            <w:r w:rsidRPr="00555058">
              <w:rPr>
                <w:sz w:val="20"/>
                <w:szCs w:val="20"/>
                <w:lang w:eastAsia="en-GB"/>
              </w:rPr>
              <w:t>0</w:t>
            </w:r>
          </w:p>
        </w:tc>
        <w:tc>
          <w:tcPr>
            <w:tcW w:w="1984" w:type="dxa"/>
            <w:tcBorders>
              <w:top w:val="nil"/>
              <w:left w:val="nil"/>
              <w:bottom w:val="single" w:sz="8" w:space="0" w:color="auto"/>
              <w:right w:val="nil"/>
            </w:tcBorders>
            <w:shd w:val="clear" w:color="auto" w:fill="auto"/>
            <w:noWrap/>
            <w:vAlign w:val="center"/>
            <w:hideMark/>
          </w:tcPr>
          <w:p w14:paraId="41B89C3D" w14:textId="77777777" w:rsidR="00E44119" w:rsidRPr="00555058" w:rsidRDefault="00E44119" w:rsidP="00E44119">
            <w:pPr>
              <w:jc w:val="center"/>
              <w:rPr>
                <w:sz w:val="20"/>
                <w:szCs w:val="20"/>
                <w:lang w:eastAsia="en-GB"/>
              </w:rPr>
            </w:pPr>
          </w:p>
        </w:tc>
        <w:tc>
          <w:tcPr>
            <w:tcW w:w="1843" w:type="dxa"/>
            <w:tcBorders>
              <w:top w:val="nil"/>
              <w:left w:val="nil"/>
              <w:bottom w:val="single" w:sz="8" w:space="0" w:color="auto"/>
              <w:right w:val="nil"/>
            </w:tcBorders>
            <w:shd w:val="clear" w:color="auto" w:fill="auto"/>
            <w:noWrap/>
            <w:vAlign w:val="center"/>
            <w:hideMark/>
          </w:tcPr>
          <w:p w14:paraId="624E99AA" w14:textId="77777777" w:rsidR="00E44119" w:rsidRPr="00555058" w:rsidRDefault="00E44119" w:rsidP="00E44119">
            <w:pPr>
              <w:jc w:val="center"/>
              <w:rPr>
                <w:rFonts w:ascii="Times New Roman" w:hAnsi="Times New Roman"/>
                <w:sz w:val="20"/>
                <w:szCs w:val="20"/>
                <w:lang w:eastAsia="en-GB"/>
              </w:rPr>
            </w:pPr>
          </w:p>
        </w:tc>
        <w:tc>
          <w:tcPr>
            <w:tcW w:w="1701" w:type="dxa"/>
            <w:tcBorders>
              <w:top w:val="nil"/>
              <w:left w:val="nil"/>
              <w:bottom w:val="single" w:sz="8" w:space="0" w:color="auto"/>
              <w:right w:val="nil"/>
            </w:tcBorders>
            <w:vAlign w:val="center"/>
          </w:tcPr>
          <w:p w14:paraId="228BAD6B" w14:textId="77777777" w:rsidR="00E44119" w:rsidRPr="00555058" w:rsidRDefault="00E44119" w:rsidP="00E44119">
            <w:pPr>
              <w:jc w:val="center"/>
              <w:rPr>
                <w:rFonts w:ascii="Times New Roman" w:hAnsi="Times New Roman"/>
                <w:sz w:val="20"/>
                <w:szCs w:val="20"/>
                <w:lang w:eastAsia="en-GB"/>
              </w:rPr>
            </w:pPr>
          </w:p>
        </w:tc>
        <w:tc>
          <w:tcPr>
            <w:tcW w:w="1801" w:type="dxa"/>
            <w:tcBorders>
              <w:top w:val="nil"/>
              <w:left w:val="nil"/>
              <w:bottom w:val="single" w:sz="8" w:space="0" w:color="auto"/>
              <w:right w:val="nil"/>
            </w:tcBorders>
            <w:shd w:val="clear" w:color="auto" w:fill="auto"/>
            <w:noWrap/>
            <w:vAlign w:val="center"/>
            <w:hideMark/>
          </w:tcPr>
          <w:p w14:paraId="7C69EFDD" w14:textId="5270AB86" w:rsidR="00E44119" w:rsidRPr="00555058" w:rsidRDefault="00E44119" w:rsidP="00E44119">
            <w:pPr>
              <w:jc w:val="center"/>
              <w:rPr>
                <w:rFonts w:ascii="Times New Roman" w:hAnsi="Times New Roman"/>
                <w:sz w:val="20"/>
                <w:szCs w:val="20"/>
                <w:lang w:eastAsia="en-GB"/>
              </w:rPr>
            </w:pPr>
          </w:p>
        </w:tc>
        <w:tc>
          <w:tcPr>
            <w:tcW w:w="1649" w:type="dxa"/>
            <w:gridSpan w:val="2"/>
            <w:tcBorders>
              <w:top w:val="nil"/>
              <w:left w:val="nil"/>
              <w:bottom w:val="single" w:sz="8" w:space="0" w:color="auto"/>
              <w:right w:val="nil"/>
            </w:tcBorders>
            <w:shd w:val="clear" w:color="auto" w:fill="auto"/>
            <w:noWrap/>
            <w:vAlign w:val="center"/>
            <w:hideMark/>
          </w:tcPr>
          <w:p w14:paraId="058A417A" w14:textId="77777777" w:rsidR="00E44119" w:rsidRPr="00555058" w:rsidRDefault="00E44119" w:rsidP="00E44119">
            <w:pPr>
              <w:jc w:val="center"/>
              <w:rPr>
                <w:rFonts w:ascii="Times New Roman" w:hAnsi="Times New Roman"/>
                <w:sz w:val="20"/>
                <w:szCs w:val="20"/>
                <w:lang w:eastAsia="en-GB"/>
              </w:rPr>
            </w:pPr>
          </w:p>
        </w:tc>
      </w:tr>
      <w:tr w:rsidR="00E44119" w:rsidRPr="00695964" w14:paraId="2662C2DC" w14:textId="638894AC" w:rsidTr="001D64DC">
        <w:trPr>
          <w:gridAfter w:val="1"/>
          <w:wAfter w:w="44" w:type="dxa"/>
          <w:trHeight w:val="320"/>
        </w:trPr>
        <w:tc>
          <w:tcPr>
            <w:tcW w:w="13896" w:type="dxa"/>
            <w:gridSpan w:val="10"/>
            <w:tcBorders>
              <w:top w:val="single" w:sz="8" w:space="0" w:color="auto"/>
              <w:left w:val="nil"/>
              <w:right w:val="nil"/>
            </w:tcBorders>
          </w:tcPr>
          <w:p w14:paraId="5BADBEDF" w14:textId="71533349" w:rsidR="001D64DC" w:rsidRPr="001D64DC" w:rsidRDefault="00E44119" w:rsidP="001D64DC">
            <w:pPr>
              <w:ind w:left="360" w:firstLine="348"/>
              <w:rPr>
                <w:iCs/>
                <w:sz w:val="20"/>
                <w:szCs w:val="20"/>
                <w:lang w:val="en-US"/>
              </w:rPr>
            </w:pPr>
            <w:r w:rsidRPr="001D64DC">
              <w:rPr>
                <w:rFonts w:ascii="Times New Roman" w:hAnsi="Times New Roman"/>
                <w:sz w:val="20"/>
                <w:szCs w:val="20"/>
                <w:lang w:val="en-US" w:eastAsia="en-GB"/>
              </w:rPr>
              <w:t xml:space="preserve">Notes: </w:t>
            </w:r>
            <w:proofErr w:type="gramStart"/>
            <w:r w:rsidRPr="001D64DC">
              <w:rPr>
                <w:rFonts w:ascii="Times New Roman" w:hAnsi="Times New Roman"/>
                <w:sz w:val="20"/>
                <w:szCs w:val="20"/>
                <w:vertAlign w:val="superscript"/>
                <w:lang w:val="en-US" w:eastAsia="en-GB"/>
              </w:rPr>
              <w:t>a</w:t>
            </w:r>
            <w:proofErr w:type="gramEnd"/>
            <w:r w:rsidRPr="001D64DC">
              <w:rPr>
                <w:rFonts w:ascii="Times New Roman" w:hAnsi="Times New Roman"/>
                <w:sz w:val="20"/>
                <w:szCs w:val="20"/>
                <w:lang w:val="en-US" w:eastAsia="en-GB"/>
              </w:rPr>
              <w:t xml:space="preserve"> Type information unavailable</w:t>
            </w:r>
            <w:r w:rsidR="001D64DC" w:rsidRPr="001D64DC">
              <w:rPr>
                <w:rFonts w:ascii="Times New Roman" w:hAnsi="Times New Roman"/>
                <w:sz w:val="20"/>
                <w:szCs w:val="20"/>
                <w:lang w:val="en-US" w:eastAsia="en-GB"/>
              </w:rPr>
              <w:t xml:space="preserve">; </w:t>
            </w:r>
            <w:r w:rsidR="001D64DC" w:rsidRPr="001D64DC">
              <w:rPr>
                <w:rFonts w:ascii="Times New Roman" w:hAnsi="Times New Roman"/>
                <w:sz w:val="20"/>
                <w:szCs w:val="20"/>
                <w:vertAlign w:val="superscript"/>
                <w:lang w:val="en-US" w:eastAsia="en-GB"/>
              </w:rPr>
              <w:t>b</w:t>
            </w:r>
            <w:r w:rsidR="001D64DC" w:rsidRPr="001D64DC">
              <w:rPr>
                <w:rFonts w:ascii="Times New Roman" w:hAnsi="Times New Roman"/>
                <w:sz w:val="20"/>
                <w:szCs w:val="20"/>
                <w:lang w:val="en-US" w:eastAsia="en-GB"/>
              </w:rPr>
              <w:t xml:space="preserve"> </w:t>
            </w:r>
            <w:commentRangeStart w:id="3"/>
            <w:r w:rsidR="001D64DC">
              <w:rPr>
                <w:rFonts w:ascii="Times New Roman" w:hAnsi="Times New Roman"/>
                <w:sz w:val="20"/>
                <w:szCs w:val="20"/>
                <w:lang w:val="en-US" w:eastAsia="en-GB"/>
              </w:rPr>
              <w:t>Codes</w:t>
            </w:r>
            <w:commentRangeEnd w:id="3"/>
            <w:r w:rsidR="001D64DC">
              <w:rPr>
                <w:rStyle w:val="CommentReference"/>
              </w:rPr>
              <w:commentReference w:id="3"/>
            </w:r>
            <w:r w:rsidR="001D64DC">
              <w:rPr>
                <w:rFonts w:ascii="Times New Roman" w:hAnsi="Times New Roman"/>
                <w:sz w:val="20"/>
                <w:szCs w:val="20"/>
                <w:lang w:val="en-US" w:eastAsia="en-GB"/>
              </w:rPr>
              <w:t>:</w:t>
            </w:r>
            <w:r w:rsidR="001D64DC" w:rsidRPr="001D64DC">
              <w:rPr>
                <w:rFonts w:ascii="Times New Roman" w:hAnsi="Times New Roman"/>
                <w:iCs/>
                <w:sz w:val="20"/>
                <w:szCs w:val="20"/>
                <w:lang w:val="en-US" w:eastAsia="en-GB"/>
              </w:rPr>
              <w:t xml:space="preserve"> </w:t>
            </w:r>
            <w:r w:rsidR="001D64DC" w:rsidRPr="001D64DC">
              <w:rPr>
                <w:iCs/>
                <w:sz w:val="20"/>
                <w:szCs w:val="20"/>
                <w:lang w:val="en-US"/>
              </w:rPr>
              <w:t>1 Nomination agreement2, Joint list, 3 Dual-ballot instructions, 4 Vote transfer instructions, 5 Public commitment, 6 individual</w:t>
            </w:r>
          </w:p>
          <w:p w14:paraId="5FA668D3" w14:textId="4FBA5D92" w:rsidR="00E44119" w:rsidRPr="005003D4" w:rsidRDefault="001D64DC" w:rsidP="00E44119">
            <w:pPr>
              <w:rPr>
                <w:rFonts w:ascii="Times New Roman" w:hAnsi="Times New Roman"/>
                <w:sz w:val="20"/>
                <w:szCs w:val="20"/>
                <w:lang w:val="en-US" w:eastAsia="en-GB"/>
              </w:rPr>
            </w:pPr>
            <w:r>
              <w:rPr>
                <w:rFonts w:ascii="Times New Roman" w:hAnsi="Times New Roman"/>
                <w:sz w:val="20"/>
                <w:szCs w:val="20"/>
                <w:vertAlign w:val="superscript"/>
                <w:lang w:val="en-US" w:eastAsia="en-GB"/>
              </w:rPr>
              <w:t xml:space="preserve"> </w:t>
            </w:r>
          </w:p>
        </w:tc>
      </w:tr>
    </w:tbl>
    <w:p w14:paraId="3C7F3855" w14:textId="77A0E0C7" w:rsidR="00930166" w:rsidRDefault="00930166">
      <w:pPr>
        <w:rPr>
          <w:lang w:val="en-US"/>
        </w:rPr>
        <w:sectPr w:rsidR="00930166" w:rsidSect="00930166">
          <w:pgSz w:w="16840" w:h="11900" w:orient="landscape"/>
          <w:pgMar w:top="1417" w:right="1134" w:bottom="1417" w:left="1417" w:header="708" w:footer="708" w:gutter="0"/>
          <w:cols w:space="708"/>
          <w:docGrid w:linePitch="360"/>
        </w:sectPr>
      </w:pPr>
    </w:p>
    <w:p w14:paraId="2FCB1D24" w14:textId="77777777" w:rsidR="00930166" w:rsidRPr="00930166" w:rsidRDefault="00930166" w:rsidP="00930166">
      <w:pPr>
        <w:rPr>
          <w:lang w:val="en-US"/>
        </w:rPr>
      </w:pPr>
    </w:p>
    <w:p w14:paraId="026ECDC6" w14:textId="531E0BC2" w:rsidR="00930166" w:rsidRPr="00930166" w:rsidRDefault="00930166" w:rsidP="00930166">
      <w:pPr>
        <w:pStyle w:val="Caption"/>
        <w:keepNext/>
        <w:rPr>
          <w:lang w:val="en-US"/>
        </w:rPr>
      </w:pPr>
      <w:bookmarkStart w:id="4" w:name="_Ref15043562"/>
      <w:r w:rsidRPr="00930166">
        <w:rPr>
          <w:lang w:val="en-US"/>
        </w:rPr>
        <w:t xml:space="preserve">Table </w:t>
      </w:r>
      <w:r>
        <w:fldChar w:fldCharType="begin"/>
      </w:r>
      <w:r w:rsidRPr="00930166">
        <w:rPr>
          <w:lang w:val="en-US"/>
        </w:rPr>
        <w:instrText xml:space="preserve"> SEQ Table \* ARABIC </w:instrText>
      </w:r>
      <w:r>
        <w:fldChar w:fldCharType="separate"/>
      </w:r>
      <w:r w:rsidR="00AB41C9">
        <w:rPr>
          <w:noProof/>
          <w:lang w:val="en-US"/>
        </w:rPr>
        <w:t>2</w:t>
      </w:r>
      <w:r>
        <w:fldChar w:fldCharType="end"/>
      </w:r>
      <w:bookmarkEnd w:id="4"/>
      <w:r w:rsidRPr="00930166">
        <w:rPr>
          <w:lang w:val="en-US"/>
        </w:rPr>
        <w:t>: PEC Properties</w:t>
      </w:r>
      <w:r w:rsidR="003D52F7">
        <w:rPr>
          <w:lang w:val="en-US"/>
        </w:rPr>
        <w:t xml:space="preserve"> and Median Electoral System Features</w:t>
      </w:r>
    </w:p>
    <w:tbl>
      <w:tblPr>
        <w:tblW w:w="5000" w:type="pct"/>
        <w:tblLook w:val="04A0" w:firstRow="1" w:lastRow="0" w:firstColumn="1" w:lastColumn="0" w:noHBand="0" w:noVBand="1"/>
      </w:tblPr>
      <w:tblGrid>
        <w:gridCol w:w="1509"/>
        <w:gridCol w:w="3423"/>
        <w:gridCol w:w="636"/>
        <w:gridCol w:w="644"/>
        <w:gridCol w:w="764"/>
        <w:gridCol w:w="1113"/>
        <w:gridCol w:w="977"/>
      </w:tblGrid>
      <w:tr w:rsidR="003D52F7" w:rsidRPr="000265D9" w14:paraId="7F422D21" w14:textId="77777777" w:rsidTr="003D52F7">
        <w:trPr>
          <w:trHeight w:val="320"/>
        </w:trPr>
        <w:tc>
          <w:tcPr>
            <w:tcW w:w="832" w:type="pct"/>
            <w:tcBorders>
              <w:top w:val="single" w:sz="8" w:space="0" w:color="auto"/>
              <w:left w:val="nil"/>
              <w:right w:val="nil"/>
            </w:tcBorders>
            <w:shd w:val="clear" w:color="auto" w:fill="auto"/>
            <w:noWrap/>
            <w:vAlign w:val="center"/>
          </w:tcPr>
          <w:p w14:paraId="3D994545" w14:textId="77777777" w:rsidR="003D52F7" w:rsidRPr="00930166" w:rsidRDefault="003D52F7" w:rsidP="006838AC">
            <w:pPr>
              <w:jc w:val="center"/>
              <w:rPr>
                <w:rFonts w:ascii="Calibri" w:eastAsia="Times New Roman" w:hAnsi="Calibri" w:cs="Times New Roman"/>
                <w:color w:val="000000"/>
                <w:lang w:val="en-US" w:eastAsia="en-GB"/>
              </w:rPr>
            </w:pPr>
          </w:p>
        </w:tc>
        <w:tc>
          <w:tcPr>
            <w:tcW w:w="1888" w:type="pct"/>
            <w:tcBorders>
              <w:top w:val="single" w:sz="8" w:space="0" w:color="auto"/>
              <w:left w:val="nil"/>
              <w:right w:val="nil"/>
            </w:tcBorders>
            <w:shd w:val="clear" w:color="auto" w:fill="auto"/>
            <w:noWrap/>
            <w:vAlign w:val="center"/>
          </w:tcPr>
          <w:p w14:paraId="3C03426E" w14:textId="77777777" w:rsidR="003D52F7" w:rsidRPr="00930166" w:rsidRDefault="003D52F7" w:rsidP="006838AC">
            <w:pPr>
              <w:jc w:val="center"/>
              <w:rPr>
                <w:rFonts w:ascii="Calibri" w:eastAsia="Times New Roman" w:hAnsi="Calibri" w:cs="Times New Roman"/>
                <w:color w:val="000000"/>
                <w:lang w:val="en-US" w:eastAsia="en-GB"/>
              </w:rPr>
            </w:pPr>
          </w:p>
        </w:tc>
        <w:tc>
          <w:tcPr>
            <w:tcW w:w="706" w:type="pct"/>
            <w:gridSpan w:val="2"/>
            <w:tcBorders>
              <w:top w:val="single" w:sz="8" w:space="0" w:color="auto"/>
              <w:left w:val="nil"/>
              <w:right w:val="nil"/>
            </w:tcBorders>
            <w:shd w:val="clear" w:color="auto" w:fill="auto"/>
            <w:noWrap/>
            <w:vAlign w:val="center"/>
          </w:tcPr>
          <w:p w14:paraId="6418520C" w14:textId="77777777" w:rsidR="003D52F7" w:rsidRPr="000265D9" w:rsidRDefault="003D52F7" w:rsidP="006838AC">
            <w:pPr>
              <w:jc w:val="center"/>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Frequency</w:t>
            </w:r>
            <w:proofErr w:type="spellEnd"/>
          </w:p>
        </w:tc>
        <w:tc>
          <w:tcPr>
            <w:tcW w:w="421" w:type="pct"/>
            <w:tcBorders>
              <w:top w:val="single" w:sz="8" w:space="0" w:color="auto"/>
              <w:left w:val="nil"/>
              <w:right w:val="nil"/>
            </w:tcBorders>
            <w:shd w:val="clear" w:color="auto" w:fill="auto"/>
            <w:noWrap/>
            <w:vAlign w:val="center"/>
          </w:tcPr>
          <w:p w14:paraId="14107945" w14:textId="77777777" w:rsidR="003D52F7" w:rsidRDefault="003D52F7" w:rsidP="006838AC">
            <w:pPr>
              <w:jc w:val="center"/>
              <w:rPr>
                <w:rFonts w:ascii="Calibri" w:eastAsia="Times New Roman" w:hAnsi="Calibri" w:cs="Times New Roman"/>
                <w:color w:val="000000"/>
                <w:lang w:eastAsia="en-GB"/>
              </w:rPr>
            </w:pPr>
          </w:p>
        </w:tc>
        <w:tc>
          <w:tcPr>
            <w:tcW w:w="614" w:type="pct"/>
            <w:tcBorders>
              <w:top w:val="single" w:sz="8" w:space="0" w:color="auto"/>
              <w:left w:val="nil"/>
              <w:right w:val="nil"/>
            </w:tcBorders>
            <w:shd w:val="clear" w:color="auto" w:fill="auto"/>
            <w:noWrap/>
            <w:vAlign w:val="center"/>
          </w:tcPr>
          <w:p w14:paraId="5708F68D" w14:textId="325E3C0C" w:rsidR="003D52F7" w:rsidRDefault="00CF695B" w:rsidP="006838AC">
            <w:pPr>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Median</w:t>
            </w:r>
          </w:p>
        </w:tc>
        <w:tc>
          <w:tcPr>
            <w:tcW w:w="538" w:type="pct"/>
            <w:tcBorders>
              <w:top w:val="single" w:sz="8" w:space="0" w:color="auto"/>
              <w:left w:val="nil"/>
              <w:right w:val="nil"/>
            </w:tcBorders>
            <w:shd w:val="clear" w:color="auto" w:fill="auto"/>
            <w:noWrap/>
            <w:vAlign w:val="center"/>
          </w:tcPr>
          <w:p w14:paraId="0DE758B1" w14:textId="77777777" w:rsidR="003D52F7" w:rsidRPr="000265D9" w:rsidRDefault="003D52F7" w:rsidP="006838AC">
            <w:pPr>
              <w:jc w:val="center"/>
              <w:rPr>
                <w:rFonts w:ascii="Calibri" w:eastAsia="Times New Roman" w:hAnsi="Calibri" w:cs="Times New Roman"/>
                <w:color w:val="000000"/>
                <w:lang w:eastAsia="en-GB"/>
              </w:rPr>
            </w:pPr>
          </w:p>
        </w:tc>
      </w:tr>
      <w:tr w:rsidR="003D52F7" w:rsidRPr="000265D9" w14:paraId="5E9D01D9" w14:textId="77777777" w:rsidTr="003D52F7">
        <w:trPr>
          <w:trHeight w:val="320"/>
        </w:trPr>
        <w:tc>
          <w:tcPr>
            <w:tcW w:w="832" w:type="pct"/>
            <w:tcBorders>
              <w:top w:val="nil"/>
              <w:left w:val="nil"/>
              <w:bottom w:val="single" w:sz="4" w:space="0" w:color="auto"/>
              <w:right w:val="nil"/>
            </w:tcBorders>
            <w:shd w:val="clear" w:color="auto" w:fill="auto"/>
            <w:noWrap/>
            <w:vAlign w:val="center"/>
            <w:hideMark/>
          </w:tcPr>
          <w:p w14:paraId="28CA38FC" w14:textId="77777777" w:rsidR="003D52F7" w:rsidRPr="000265D9" w:rsidRDefault="003D52F7" w:rsidP="006838AC">
            <w:pPr>
              <w:jc w:val="center"/>
              <w:rPr>
                <w:rFonts w:ascii="Calibri" w:eastAsia="Times New Roman" w:hAnsi="Calibri" w:cs="Times New Roman"/>
                <w:color w:val="000000"/>
                <w:lang w:eastAsia="en-GB"/>
              </w:rPr>
            </w:pPr>
          </w:p>
        </w:tc>
        <w:tc>
          <w:tcPr>
            <w:tcW w:w="1888" w:type="pct"/>
            <w:tcBorders>
              <w:top w:val="nil"/>
              <w:left w:val="nil"/>
              <w:bottom w:val="single" w:sz="4" w:space="0" w:color="auto"/>
              <w:right w:val="nil"/>
            </w:tcBorders>
            <w:shd w:val="clear" w:color="auto" w:fill="auto"/>
            <w:noWrap/>
            <w:vAlign w:val="center"/>
            <w:hideMark/>
          </w:tcPr>
          <w:p w14:paraId="70F8E7E5" w14:textId="77777777" w:rsidR="003D52F7" w:rsidRPr="000265D9" w:rsidRDefault="003D52F7" w:rsidP="006838AC">
            <w:pPr>
              <w:jc w:val="center"/>
              <w:rPr>
                <w:rFonts w:ascii="Calibri" w:eastAsia="Times New Roman" w:hAnsi="Calibri" w:cs="Times New Roman"/>
                <w:color w:val="000000"/>
                <w:lang w:eastAsia="en-GB"/>
              </w:rPr>
            </w:pPr>
          </w:p>
        </w:tc>
        <w:tc>
          <w:tcPr>
            <w:tcW w:w="351" w:type="pct"/>
            <w:tcBorders>
              <w:top w:val="nil"/>
              <w:left w:val="nil"/>
              <w:bottom w:val="single" w:sz="4" w:space="0" w:color="auto"/>
              <w:right w:val="nil"/>
            </w:tcBorders>
            <w:shd w:val="clear" w:color="auto" w:fill="auto"/>
            <w:noWrap/>
            <w:vAlign w:val="center"/>
            <w:hideMark/>
          </w:tcPr>
          <w:p w14:paraId="17E53FEB" w14:textId="77777777" w:rsidR="003D52F7" w:rsidRPr="000265D9" w:rsidRDefault="003D52F7" w:rsidP="006838AC">
            <w:pPr>
              <w:jc w:val="center"/>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Abs</w:t>
            </w:r>
            <w:r>
              <w:rPr>
                <w:rFonts w:ascii="Calibri" w:eastAsia="Times New Roman" w:hAnsi="Calibri" w:cs="Times New Roman"/>
                <w:color w:val="000000"/>
                <w:lang w:eastAsia="en-GB"/>
              </w:rPr>
              <w:t>.</w:t>
            </w:r>
          </w:p>
        </w:tc>
        <w:tc>
          <w:tcPr>
            <w:tcW w:w="355" w:type="pct"/>
            <w:tcBorders>
              <w:top w:val="nil"/>
              <w:left w:val="nil"/>
              <w:bottom w:val="single" w:sz="4" w:space="0" w:color="auto"/>
              <w:right w:val="nil"/>
            </w:tcBorders>
            <w:shd w:val="clear" w:color="auto" w:fill="auto"/>
            <w:noWrap/>
            <w:vAlign w:val="center"/>
            <w:hideMark/>
          </w:tcPr>
          <w:p w14:paraId="50D1DA6F" w14:textId="77777777" w:rsidR="003D52F7" w:rsidRPr="000265D9" w:rsidRDefault="003D52F7" w:rsidP="006838AC">
            <w:pPr>
              <w:jc w:val="center"/>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Rel.</w:t>
            </w:r>
          </w:p>
        </w:tc>
        <w:tc>
          <w:tcPr>
            <w:tcW w:w="421" w:type="pct"/>
            <w:tcBorders>
              <w:top w:val="nil"/>
              <w:left w:val="nil"/>
              <w:bottom w:val="single" w:sz="4" w:space="0" w:color="auto"/>
              <w:right w:val="nil"/>
            </w:tcBorders>
            <w:shd w:val="clear" w:color="auto" w:fill="auto"/>
            <w:noWrap/>
            <w:vAlign w:val="center"/>
            <w:hideMark/>
          </w:tcPr>
          <w:p w14:paraId="1DB5B9C8" w14:textId="77777777" w:rsidR="003D52F7" w:rsidRPr="000265D9" w:rsidRDefault="003D52F7" w:rsidP="006838AC">
            <w:pPr>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DM</w:t>
            </w:r>
          </w:p>
        </w:tc>
        <w:tc>
          <w:tcPr>
            <w:tcW w:w="614" w:type="pct"/>
            <w:tcBorders>
              <w:top w:val="nil"/>
              <w:left w:val="nil"/>
              <w:bottom w:val="single" w:sz="4" w:space="0" w:color="auto"/>
              <w:right w:val="nil"/>
            </w:tcBorders>
            <w:shd w:val="clear" w:color="auto" w:fill="auto"/>
            <w:noWrap/>
            <w:vAlign w:val="center"/>
            <w:hideMark/>
          </w:tcPr>
          <w:p w14:paraId="5FA4DEE2" w14:textId="77777777" w:rsidR="003D52F7" w:rsidRPr="000265D9" w:rsidRDefault="003D52F7" w:rsidP="006838AC">
            <w:pPr>
              <w:jc w:val="center"/>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Disprop.</w:t>
            </w:r>
            <w:r w:rsidRPr="00A276B0">
              <w:rPr>
                <w:rFonts w:ascii="Calibri" w:eastAsia="Times New Roman" w:hAnsi="Calibri" w:cs="Times New Roman"/>
                <w:color w:val="000000"/>
                <w:vertAlign w:val="superscript"/>
                <w:lang w:eastAsia="en-GB"/>
              </w:rPr>
              <w:t>a</w:t>
            </w:r>
            <w:proofErr w:type="spellEnd"/>
          </w:p>
        </w:tc>
        <w:tc>
          <w:tcPr>
            <w:tcW w:w="538" w:type="pct"/>
            <w:tcBorders>
              <w:top w:val="nil"/>
              <w:left w:val="nil"/>
              <w:bottom w:val="single" w:sz="4" w:space="0" w:color="auto"/>
              <w:right w:val="nil"/>
            </w:tcBorders>
            <w:shd w:val="clear" w:color="auto" w:fill="auto"/>
            <w:noWrap/>
            <w:vAlign w:val="center"/>
            <w:hideMark/>
          </w:tcPr>
          <w:p w14:paraId="53076AE7" w14:textId="77777777" w:rsidR="003D52F7" w:rsidRPr="000265D9" w:rsidRDefault="003D52F7" w:rsidP="006838AC">
            <w:pPr>
              <w:jc w:val="center"/>
              <w:rPr>
                <w:rFonts w:ascii="Calibri" w:eastAsia="Times New Roman" w:hAnsi="Calibri" w:cs="Times New Roman"/>
                <w:color w:val="000000"/>
                <w:lang w:eastAsia="en-GB"/>
              </w:rPr>
            </w:pPr>
            <w:proofErr w:type="spellStart"/>
            <w:r w:rsidRPr="000265D9">
              <w:rPr>
                <w:rFonts w:ascii="Calibri" w:eastAsia="Times New Roman" w:hAnsi="Calibri" w:cs="Times New Roman"/>
                <w:color w:val="000000"/>
                <w:lang w:eastAsia="en-GB"/>
              </w:rPr>
              <w:t>Parties</w:t>
            </w:r>
            <w:r>
              <w:rPr>
                <w:rFonts w:ascii="Calibri" w:eastAsia="Times New Roman" w:hAnsi="Calibri" w:cs="Times New Roman"/>
                <w:color w:val="000000"/>
                <w:vertAlign w:val="superscript"/>
                <w:lang w:eastAsia="en-GB"/>
              </w:rPr>
              <w:t>b</w:t>
            </w:r>
            <w:proofErr w:type="spellEnd"/>
          </w:p>
        </w:tc>
      </w:tr>
      <w:tr w:rsidR="003D52F7" w:rsidRPr="000265D9" w14:paraId="7B227998" w14:textId="77777777" w:rsidTr="003D52F7">
        <w:trPr>
          <w:trHeight w:val="320"/>
        </w:trPr>
        <w:tc>
          <w:tcPr>
            <w:tcW w:w="832" w:type="pct"/>
            <w:tcBorders>
              <w:top w:val="nil"/>
              <w:left w:val="nil"/>
              <w:right w:val="nil"/>
            </w:tcBorders>
            <w:shd w:val="clear" w:color="auto" w:fill="auto"/>
            <w:noWrap/>
            <w:vAlign w:val="bottom"/>
            <w:hideMark/>
          </w:tcPr>
          <w:p w14:paraId="485CCB2E" w14:textId="77777777" w:rsidR="003D52F7" w:rsidRPr="000265D9" w:rsidRDefault="003D52F7" w:rsidP="006838AC">
            <w:pPr>
              <w:jc w:val="right"/>
              <w:rPr>
                <w:rFonts w:ascii="Calibri" w:eastAsia="Times New Roman" w:hAnsi="Calibri" w:cs="Times New Roman"/>
                <w:color w:val="000000"/>
                <w:lang w:eastAsia="en-GB"/>
              </w:rPr>
            </w:pPr>
          </w:p>
        </w:tc>
        <w:tc>
          <w:tcPr>
            <w:tcW w:w="1888" w:type="pct"/>
            <w:tcBorders>
              <w:top w:val="nil"/>
              <w:left w:val="nil"/>
              <w:right w:val="nil"/>
            </w:tcBorders>
            <w:shd w:val="clear" w:color="auto" w:fill="auto"/>
            <w:noWrap/>
            <w:vAlign w:val="center"/>
            <w:hideMark/>
          </w:tcPr>
          <w:p w14:paraId="2AEB8C63" w14:textId="77777777" w:rsidR="003D52F7" w:rsidRPr="000265D9" w:rsidRDefault="003D52F7" w:rsidP="006838AC">
            <w:pPr>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 xml:space="preserve">Public </w:t>
            </w:r>
            <w:proofErr w:type="spellStart"/>
            <w:r w:rsidRPr="000265D9">
              <w:rPr>
                <w:rFonts w:ascii="Calibri" w:eastAsia="Times New Roman" w:hAnsi="Calibri" w:cs="Times New Roman"/>
                <w:color w:val="000000"/>
                <w:lang w:eastAsia="en-GB"/>
              </w:rPr>
              <w:t>Commitment</w:t>
            </w:r>
            <w:proofErr w:type="spellEnd"/>
          </w:p>
        </w:tc>
        <w:tc>
          <w:tcPr>
            <w:tcW w:w="351" w:type="pct"/>
            <w:tcBorders>
              <w:top w:val="nil"/>
              <w:left w:val="nil"/>
              <w:right w:val="nil"/>
            </w:tcBorders>
            <w:shd w:val="clear" w:color="auto" w:fill="auto"/>
            <w:noWrap/>
            <w:vAlign w:val="center"/>
            <w:hideMark/>
          </w:tcPr>
          <w:p w14:paraId="2975824A"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119</w:t>
            </w:r>
          </w:p>
        </w:tc>
        <w:tc>
          <w:tcPr>
            <w:tcW w:w="355" w:type="pct"/>
            <w:tcBorders>
              <w:top w:val="nil"/>
              <w:left w:val="nil"/>
              <w:right w:val="nil"/>
            </w:tcBorders>
            <w:shd w:val="clear" w:color="auto" w:fill="auto"/>
            <w:noWrap/>
            <w:vAlign w:val="center"/>
            <w:hideMark/>
          </w:tcPr>
          <w:p w14:paraId="1C141FEF"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0</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27</w:t>
            </w:r>
          </w:p>
        </w:tc>
        <w:tc>
          <w:tcPr>
            <w:tcW w:w="421" w:type="pct"/>
            <w:tcBorders>
              <w:top w:val="nil"/>
              <w:left w:val="nil"/>
              <w:right w:val="nil"/>
            </w:tcBorders>
            <w:shd w:val="clear" w:color="auto" w:fill="auto"/>
            <w:noWrap/>
            <w:vAlign w:val="center"/>
            <w:hideMark/>
          </w:tcPr>
          <w:p w14:paraId="4B19DF80"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12</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50</w:t>
            </w:r>
          </w:p>
        </w:tc>
        <w:tc>
          <w:tcPr>
            <w:tcW w:w="614" w:type="pct"/>
            <w:tcBorders>
              <w:top w:val="nil"/>
              <w:left w:val="nil"/>
              <w:right w:val="nil"/>
            </w:tcBorders>
            <w:shd w:val="clear" w:color="auto" w:fill="auto"/>
            <w:noWrap/>
            <w:vAlign w:val="center"/>
            <w:hideMark/>
          </w:tcPr>
          <w:p w14:paraId="3AA01CDF"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2</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62</w:t>
            </w:r>
          </w:p>
        </w:tc>
        <w:tc>
          <w:tcPr>
            <w:tcW w:w="538" w:type="pct"/>
            <w:tcBorders>
              <w:top w:val="nil"/>
              <w:left w:val="nil"/>
              <w:right w:val="nil"/>
            </w:tcBorders>
            <w:shd w:val="clear" w:color="auto" w:fill="auto"/>
            <w:noWrap/>
            <w:vAlign w:val="center"/>
            <w:hideMark/>
          </w:tcPr>
          <w:p w14:paraId="2B807C04"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4</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52</w:t>
            </w:r>
          </w:p>
        </w:tc>
      </w:tr>
      <w:tr w:rsidR="003D52F7" w:rsidRPr="000265D9" w14:paraId="5332A52C" w14:textId="77777777" w:rsidTr="003D52F7">
        <w:trPr>
          <w:trHeight w:val="320"/>
        </w:trPr>
        <w:tc>
          <w:tcPr>
            <w:tcW w:w="832" w:type="pct"/>
            <w:tcBorders>
              <w:top w:val="nil"/>
              <w:left w:val="nil"/>
              <w:bottom w:val="nil"/>
              <w:right w:val="nil"/>
            </w:tcBorders>
            <w:shd w:val="clear" w:color="auto" w:fill="auto"/>
            <w:noWrap/>
            <w:vAlign w:val="bottom"/>
          </w:tcPr>
          <w:p w14:paraId="749FBBBE" w14:textId="77777777" w:rsidR="003D52F7" w:rsidRPr="000265D9" w:rsidRDefault="003D52F7" w:rsidP="006838AC">
            <w:pPr>
              <w:jc w:val="center"/>
              <w:rPr>
                <w:rFonts w:ascii="Calibri" w:eastAsia="Times New Roman" w:hAnsi="Calibri" w:cs="Times New Roman"/>
                <w:color w:val="000000"/>
                <w:lang w:eastAsia="en-GB"/>
              </w:rPr>
            </w:pPr>
          </w:p>
        </w:tc>
        <w:tc>
          <w:tcPr>
            <w:tcW w:w="1888" w:type="pct"/>
            <w:tcBorders>
              <w:top w:val="nil"/>
              <w:left w:val="nil"/>
              <w:bottom w:val="nil"/>
              <w:right w:val="nil"/>
            </w:tcBorders>
            <w:shd w:val="clear" w:color="auto" w:fill="auto"/>
            <w:noWrap/>
            <w:vAlign w:val="center"/>
          </w:tcPr>
          <w:p w14:paraId="2EF26E39" w14:textId="77777777" w:rsidR="003D52F7" w:rsidRPr="000265D9" w:rsidRDefault="003D52F7" w:rsidP="006838AC">
            <w:pPr>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Joint List</w:t>
            </w:r>
          </w:p>
        </w:tc>
        <w:tc>
          <w:tcPr>
            <w:tcW w:w="351" w:type="pct"/>
            <w:tcBorders>
              <w:top w:val="nil"/>
              <w:left w:val="nil"/>
              <w:bottom w:val="nil"/>
              <w:right w:val="nil"/>
            </w:tcBorders>
            <w:shd w:val="clear" w:color="auto" w:fill="auto"/>
            <w:noWrap/>
            <w:vAlign w:val="center"/>
          </w:tcPr>
          <w:p w14:paraId="257B4079"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204</w:t>
            </w:r>
          </w:p>
        </w:tc>
        <w:tc>
          <w:tcPr>
            <w:tcW w:w="355" w:type="pct"/>
            <w:tcBorders>
              <w:top w:val="nil"/>
              <w:left w:val="nil"/>
              <w:bottom w:val="nil"/>
              <w:right w:val="nil"/>
            </w:tcBorders>
            <w:shd w:val="clear" w:color="auto" w:fill="auto"/>
            <w:noWrap/>
            <w:vAlign w:val="center"/>
          </w:tcPr>
          <w:p w14:paraId="04652B8A"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0</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47</w:t>
            </w:r>
          </w:p>
        </w:tc>
        <w:tc>
          <w:tcPr>
            <w:tcW w:w="421" w:type="pct"/>
            <w:tcBorders>
              <w:top w:val="nil"/>
              <w:left w:val="nil"/>
              <w:bottom w:val="nil"/>
              <w:right w:val="nil"/>
            </w:tcBorders>
            <w:shd w:val="clear" w:color="auto" w:fill="auto"/>
            <w:noWrap/>
            <w:vAlign w:val="center"/>
          </w:tcPr>
          <w:p w14:paraId="38440ED9" w14:textId="77777777" w:rsidR="003D52F7"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9</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76</w:t>
            </w:r>
          </w:p>
        </w:tc>
        <w:tc>
          <w:tcPr>
            <w:tcW w:w="614" w:type="pct"/>
            <w:tcBorders>
              <w:top w:val="nil"/>
              <w:left w:val="nil"/>
              <w:bottom w:val="nil"/>
              <w:right w:val="nil"/>
            </w:tcBorders>
            <w:shd w:val="clear" w:color="auto" w:fill="auto"/>
            <w:noWrap/>
            <w:vAlign w:val="center"/>
          </w:tcPr>
          <w:p w14:paraId="25FA59C6" w14:textId="77777777" w:rsidR="003D52F7"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5</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29</w:t>
            </w:r>
          </w:p>
        </w:tc>
        <w:tc>
          <w:tcPr>
            <w:tcW w:w="538" w:type="pct"/>
            <w:tcBorders>
              <w:top w:val="nil"/>
              <w:left w:val="nil"/>
              <w:bottom w:val="nil"/>
              <w:right w:val="nil"/>
            </w:tcBorders>
            <w:shd w:val="clear" w:color="auto" w:fill="auto"/>
            <w:noWrap/>
            <w:vAlign w:val="center"/>
          </w:tcPr>
          <w:p w14:paraId="1052CA96"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4</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54</w:t>
            </w:r>
          </w:p>
        </w:tc>
      </w:tr>
      <w:tr w:rsidR="003D52F7" w:rsidRPr="000265D9" w14:paraId="5C810211" w14:textId="77777777" w:rsidTr="003D52F7">
        <w:trPr>
          <w:trHeight w:val="320"/>
        </w:trPr>
        <w:tc>
          <w:tcPr>
            <w:tcW w:w="832" w:type="pct"/>
            <w:tcBorders>
              <w:top w:val="nil"/>
              <w:left w:val="nil"/>
              <w:right w:val="nil"/>
            </w:tcBorders>
            <w:shd w:val="clear" w:color="auto" w:fill="auto"/>
            <w:noWrap/>
            <w:vAlign w:val="bottom"/>
            <w:hideMark/>
          </w:tcPr>
          <w:p w14:paraId="58F76A2A" w14:textId="77777777" w:rsidR="003D52F7" w:rsidRPr="000265D9" w:rsidRDefault="003D52F7" w:rsidP="006838AC">
            <w:pPr>
              <w:jc w:val="right"/>
              <w:rPr>
                <w:rFonts w:ascii="Calibri" w:eastAsia="Times New Roman" w:hAnsi="Calibri" w:cs="Times New Roman"/>
                <w:color w:val="000000"/>
                <w:lang w:eastAsia="en-GB"/>
              </w:rPr>
            </w:pPr>
          </w:p>
        </w:tc>
        <w:tc>
          <w:tcPr>
            <w:tcW w:w="1888" w:type="pct"/>
            <w:tcBorders>
              <w:top w:val="nil"/>
              <w:left w:val="nil"/>
              <w:right w:val="nil"/>
            </w:tcBorders>
            <w:shd w:val="clear" w:color="auto" w:fill="auto"/>
            <w:noWrap/>
            <w:vAlign w:val="center"/>
            <w:hideMark/>
          </w:tcPr>
          <w:p w14:paraId="26B0BDA7" w14:textId="77777777" w:rsidR="003D52F7" w:rsidRPr="000265D9" w:rsidRDefault="003D52F7" w:rsidP="006838AC">
            <w:pPr>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 xml:space="preserve">Dual-Ballot </w:t>
            </w:r>
            <w:proofErr w:type="spellStart"/>
            <w:r w:rsidRPr="000265D9">
              <w:rPr>
                <w:rFonts w:ascii="Calibri" w:eastAsia="Times New Roman" w:hAnsi="Calibri" w:cs="Times New Roman"/>
                <w:color w:val="000000"/>
                <w:lang w:eastAsia="en-GB"/>
              </w:rPr>
              <w:t>Instructions</w:t>
            </w:r>
            <w:r>
              <w:rPr>
                <w:rFonts w:ascii="Calibri" w:eastAsia="Times New Roman" w:hAnsi="Calibri" w:cs="Times New Roman"/>
                <w:color w:val="000000"/>
                <w:vertAlign w:val="superscript"/>
                <w:lang w:eastAsia="en-GB"/>
              </w:rPr>
              <w:t>c</w:t>
            </w:r>
            <w:proofErr w:type="spellEnd"/>
          </w:p>
        </w:tc>
        <w:tc>
          <w:tcPr>
            <w:tcW w:w="351" w:type="pct"/>
            <w:tcBorders>
              <w:top w:val="nil"/>
              <w:left w:val="nil"/>
              <w:right w:val="nil"/>
            </w:tcBorders>
            <w:shd w:val="clear" w:color="auto" w:fill="auto"/>
            <w:noWrap/>
            <w:vAlign w:val="center"/>
            <w:hideMark/>
          </w:tcPr>
          <w:p w14:paraId="656874D3"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1</w:t>
            </w:r>
          </w:p>
        </w:tc>
        <w:tc>
          <w:tcPr>
            <w:tcW w:w="355" w:type="pct"/>
            <w:tcBorders>
              <w:top w:val="nil"/>
              <w:left w:val="nil"/>
              <w:right w:val="nil"/>
            </w:tcBorders>
            <w:shd w:val="clear" w:color="auto" w:fill="auto"/>
            <w:noWrap/>
            <w:vAlign w:val="center"/>
            <w:hideMark/>
          </w:tcPr>
          <w:p w14:paraId="7356B597"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0</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00</w:t>
            </w:r>
          </w:p>
        </w:tc>
        <w:tc>
          <w:tcPr>
            <w:tcW w:w="421" w:type="pct"/>
            <w:tcBorders>
              <w:top w:val="nil"/>
              <w:left w:val="nil"/>
              <w:right w:val="nil"/>
            </w:tcBorders>
            <w:shd w:val="clear" w:color="auto" w:fill="auto"/>
            <w:noWrap/>
            <w:vAlign w:val="center"/>
            <w:hideMark/>
          </w:tcPr>
          <w:p w14:paraId="6081541F"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9</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20</w:t>
            </w:r>
          </w:p>
        </w:tc>
        <w:tc>
          <w:tcPr>
            <w:tcW w:w="614" w:type="pct"/>
            <w:tcBorders>
              <w:top w:val="nil"/>
              <w:left w:val="nil"/>
              <w:right w:val="nil"/>
            </w:tcBorders>
            <w:shd w:val="clear" w:color="auto" w:fill="auto"/>
            <w:noWrap/>
            <w:vAlign w:val="center"/>
            <w:hideMark/>
          </w:tcPr>
          <w:p w14:paraId="5C850340"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4</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61</w:t>
            </w:r>
          </w:p>
        </w:tc>
        <w:tc>
          <w:tcPr>
            <w:tcW w:w="538" w:type="pct"/>
            <w:tcBorders>
              <w:top w:val="nil"/>
              <w:left w:val="nil"/>
              <w:right w:val="nil"/>
            </w:tcBorders>
            <w:shd w:val="clear" w:color="auto" w:fill="auto"/>
            <w:noWrap/>
            <w:vAlign w:val="center"/>
            <w:hideMark/>
          </w:tcPr>
          <w:p w14:paraId="75DA8DDB"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6</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05</w:t>
            </w:r>
          </w:p>
        </w:tc>
      </w:tr>
      <w:tr w:rsidR="003D52F7" w:rsidRPr="000265D9" w14:paraId="18099D70" w14:textId="77777777" w:rsidTr="003D52F7">
        <w:trPr>
          <w:trHeight w:val="320"/>
        </w:trPr>
        <w:tc>
          <w:tcPr>
            <w:tcW w:w="832" w:type="pct"/>
            <w:tcBorders>
              <w:top w:val="nil"/>
              <w:left w:val="nil"/>
              <w:right w:val="nil"/>
            </w:tcBorders>
            <w:shd w:val="clear" w:color="auto" w:fill="auto"/>
            <w:noWrap/>
            <w:vAlign w:val="bottom"/>
            <w:hideMark/>
          </w:tcPr>
          <w:p w14:paraId="5C393B96" w14:textId="77777777" w:rsidR="003D52F7" w:rsidRPr="000265D9" w:rsidRDefault="003D52F7" w:rsidP="006838AC">
            <w:pPr>
              <w:jc w:val="right"/>
              <w:rPr>
                <w:rFonts w:ascii="Calibri" w:eastAsia="Times New Roman" w:hAnsi="Calibri" w:cs="Times New Roman"/>
                <w:color w:val="000000"/>
                <w:lang w:eastAsia="en-GB"/>
              </w:rPr>
            </w:pPr>
          </w:p>
        </w:tc>
        <w:tc>
          <w:tcPr>
            <w:tcW w:w="1888" w:type="pct"/>
            <w:tcBorders>
              <w:top w:val="nil"/>
              <w:left w:val="nil"/>
              <w:right w:val="nil"/>
            </w:tcBorders>
            <w:shd w:val="clear" w:color="auto" w:fill="auto"/>
            <w:noWrap/>
            <w:vAlign w:val="center"/>
            <w:hideMark/>
          </w:tcPr>
          <w:p w14:paraId="1AAFDB89" w14:textId="77777777" w:rsidR="003D52F7" w:rsidRPr="000265D9" w:rsidRDefault="003D52F7" w:rsidP="006838AC">
            <w:pPr>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Other</w:t>
            </w:r>
          </w:p>
        </w:tc>
        <w:tc>
          <w:tcPr>
            <w:tcW w:w="351" w:type="pct"/>
            <w:tcBorders>
              <w:top w:val="nil"/>
              <w:left w:val="nil"/>
              <w:right w:val="nil"/>
            </w:tcBorders>
            <w:shd w:val="clear" w:color="auto" w:fill="auto"/>
            <w:noWrap/>
            <w:vAlign w:val="center"/>
            <w:hideMark/>
          </w:tcPr>
          <w:p w14:paraId="6785DBC7"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16</w:t>
            </w:r>
          </w:p>
        </w:tc>
        <w:tc>
          <w:tcPr>
            <w:tcW w:w="355" w:type="pct"/>
            <w:tcBorders>
              <w:top w:val="nil"/>
              <w:left w:val="nil"/>
              <w:right w:val="nil"/>
            </w:tcBorders>
            <w:shd w:val="clear" w:color="auto" w:fill="auto"/>
            <w:noWrap/>
            <w:vAlign w:val="center"/>
            <w:hideMark/>
          </w:tcPr>
          <w:p w14:paraId="154D464D"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0</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04</w:t>
            </w:r>
          </w:p>
        </w:tc>
        <w:tc>
          <w:tcPr>
            <w:tcW w:w="421" w:type="pct"/>
            <w:tcBorders>
              <w:top w:val="nil"/>
              <w:left w:val="nil"/>
              <w:right w:val="nil"/>
            </w:tcBorders>
            <w:shd w:val="clear" w:color="auto" w:fill="auto"/>
            <w:noWrap/>
            <w:vAlign w:val="center"/>
            <w:hideMark/>
          </w:tcPr>
          <w:p w14:paraId="508EA5C1"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7</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07</w:t>
            </w:r>
          </w:p>
        </w:tc>
        <w:tc>
          <w:tcPr>
            <w:tcW w:w="614" w:type="pct"/>
            <w:tcBorders>
              <w:top w:val="nil"/>
              <w:left w:val="nil"/>
              <w:right w:val="nil"/>
            </w:tcBorders>
            <w:shd w:val="clear" w:color="auto" w:fill="auto"/>
            <w:noWrap/>
            <w:vAlign w:val="center"/>
            <w:hideMark/>
          </w:tcPr>
          <w:p w14:paraId="0B79B648"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2</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79</w:t>
            </w:r>
          </w:p>
        </w:tc>
        <w:tc>
          <w:tcPr>
            <w:tcW w:w="538" w:type="pct"/>
            <w:tcBorders>
              <w:top w:val="nil"/>
              <w:left w:val="nil"/>
              <w:right w:val="nil"/>
            </w:tcBorders>
            <w:shd w:val="clear" w:color="auto" w:fill="auto"/>
            <w:noWrap/>
            <w:vAlign w:val="center"/>
            <w:hideMark/>
          </w:tcPr>
          <w:p w14:paraId="5752A17A"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7</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48</w:t>
            </w:r>
          </w:p>
        </w:tc>
      </w:tr>
      <w:tr w:rsidR="003D52F7" w:rsidRPr="000265D9" w14:paraId="4CEBA73A" w14:textId="77777777" w:rsidTr="003D52F7">
        <w:trPr>
          <w:trHeight w:val="320"/>
        </w:trPr>
        <w:tc>
          <w:tcPr>
            <w:tcW w:w="832" w:type="pct"/>
            <w:tcBorders>
              <w:left w:val="nil"/>
              <w:bottom w:val="nil"/>
              <w:right w:val="nil"/>
            </w:tcBorders>
            <w:shd w:val="clear" w:color="auto" w:fill="auto"/>
            <w:noWrap/>
            <w:vAlign w:val="bottom"/>
            <w:hideMark/>
          </w:tcPr>
          <w:p w14:paraId="43E99C8A" w14:textId="77777777" w:rsidR="003D52F7" w:rsidRPr="000265D9" w:rsidRDefault="003D52F7" w:rsidP="006838AC">
            <w:pPr>
              <w:jc w:val="right"/>
              <w:rPr>
                <w:rFonts w:ascii="Calibri" w:eastAsia="Times New Roman" w:hAnsi="Calibri" w:cs="Times New Roman"/>
                <w:color w:val="000000"/>
                <w:lang w:eastAsia="en-GB"/>
              </w:rPr>
            </w:pPr>
          </w:p>
        </w:tc>
        <w:tc>
          <w:tcPr>
            <w:tcW w:w="1888" w:type="pct"/>
            <w:tcBorders>
              <w:left w:val="nil"/>
              <w:bottom w:val="nil"/>
              <w:right w:val="nil"/>
            </w:tcBorders>
            <w:shd w:val="clear" w:color="auto" w:fill="auto"/>
            <w:noWrap/>
            <w:vAlign w:val="center"/>
            <w:hideMark/>
          </w:tcPr>
          <w:p w14:paraId="74274594" w14:textId="77777777" w:rsidR="003D52F7" w:rsidRPr="000265D9" w:rsidRDefault="003D52F7" w:rsidP="006838AC">
            <w:pPr>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Nomination Agreement</w:t>
            </w:r>
          </w:p>
        </w:tc>
        <w:tc>
          <w:tcPr>
            <w:tcW w:w="351" w:type="pct"/>
            <w:tcBorders>
              <w:left w:val="nil"/>
              <w:bottom w:val="nil"/>
              <w:right w:val="nil"/>
            </w:tcBorders>
            <w:shd w:val="clear" w:color="auto" w:fill="auto"/>
            <w:noWrap/>
            <w:vAlign w:val="center"/>
            <w:hideMark/>
          </w:tcPr>
          <w:p w14:paraId="21A52ABD"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72</w:t>
            </w:r>
          </w:p>
        </w:tc>
        <w:tc>
          <w:tcPr>
            <w:tcW w:w="355" w:type="pct"/>
            <w:tcBorders>
              <w:left w:val="nil"/>
              <w:bottom w:val="nil"/>
              <w:right w:val="nil"/>
            </w:tcBorders>
            <w:shd w:val="clear" w:color="auto" w:fill="auto"/>
            <w:noWrap/>
            <w:vAlign w:val="center"/>
            <w:hideMark/>
          </w:tcPr>
          <w:p w14:paraId="586564C2"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0</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17</w:t>
            </w:r>
          </w:p>
        </w:tc>
        <w:tc>
          <w:tcPr>
            <w:tcW w:w="421" w:type="pct"/>
            <w:tcBorders>
              <w:left w:val="nil"/>
              <w:bottom w:val="nil"/>
              <w:right w:val="nil"/>
            </w:tcBorders>
            <w:shd w:val="clear" w:color="auto" w:fill="auto"/>
            <w:noWrap/>
            <w:vAlign w:val="center"/>
            <w:hideMark/>
          </w:tcPr>
          <w:p w14:paraId="44D746FC"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1</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00</w:t>
            </w:r>
          </w:p>
        </w:tc>
        <w:tc>
          <w:tcPr>
            <w:tcW w:w="614" w:type="pct"/>
            <w:tcBorders>
              <w:left w:val="nil"/>
              <w:bottom w:val="nil"/>
              <w:right w:val="nil"/>
            </w:tcBorders>
            <w:shd w:val="clear" w:color="auto" w:fill="auto"/>
            <w:noWrap/>
            <w:vAlign w:val="center"/>
            <w:hideMark/>
          </w:tcPr>
          <w:p w14:paraId="11CB0997"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8</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66</w:t>
            </w:r>
          </w:p>
        </w:tc>
        <w:tc>
          <w:tcPr>
            <w:tcW w:w="538" w:type="pct"/>
            <w:tcBorders>
              <w:left w:val="nil"/>
              <w:bottom w:val="nil"/>
              <w:right w:val="nil"/>
            </w:tcBorders>
            <w:shd w:val="clear" w:color="auto" w:fill="auto"/>
            <w:noWrap/>
            <w:vAlign w:val="center"/>
            <w:hideMark/>
          </w:tcPr>
          <w:p w14:paraId="353BA9BE"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3</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36</w:t>
            </w:r>
          </w:p>
        </w:tc>
      </w:tr>
      <w:tr w:rsidR="003D52F7" w:rsidRPr="000265D9" w14:paraId="3FB4772A" w14:textId="77777777" w:rsidTr="003D52F7">
        <w:trPr>
          <w:trHeight w:val="320"/>
        </w:trPr>
        <w:tc>
          <w:tcPr>
            <w:tcW w:w="832" w:type="pct"/>
            <w:tcBorders>
              <w:top w:val="nil"/>
              <w:left w:val="nil"/>
              <w:bottom w:val="nil"/>
              <w:right w:val="nil"/>
            </w:tcBorders>
            <w:shd w:val="clear" w:color="auto" w:fill="auto"/>
            <w:noWrap/>
            <w:vAlign w:val="bottom"/>
            <w:hideMark/>
          </w:tcPr>
          <w:p w14:paraId="077B47AC" w14:textId="77777777" w:rsidR="003D52F7" w:rsidRPr="000265D9" w:rsidRDefault="003D52F7" w:rsidP="006838AC">
            <w:pPr>
              <w:rPr>
                <w:rFonts w:ascii="Calibri" w:eastAsia="Times New Roman" w:hAnsi="Calibri" w:cs="Times New Roman"/>
                <w:color w:val="000000"/>
                <w:lang w:eastAsia="en-GB"/>
              </w:rPr>
            </w:pPr>
          </w:p>
        </w:tc>
        <w:tc>
          <w:tcPr>
            <w:tcW w:w="1888" w:type="pct"/>
            <w:tcBorders>
              <w:top w:val="nil"/>
              <w:left w:val="nil"/>
              <w:bottom w:val="nil"/>
              <w:right w:val="nil"/>
            </w:tcBorders>
            <w:shd w:val="clear" w:color="auto" w:fill="auto"/>
            <w:noWrap/>
            <w:vAlign w:val="center"/>
            <w:hideMark/>
          </w:tcPr>
          <w:p w14:paraId="1F793EAB" w14:textId="77777777" w:rsidR="003D52F7" w:rsidRPr="000265D9" w:rsidRDefault="003D52F7" w:rsidP="006838AC">
            <w:pPr>
              <w:rPr>
                <w:rFonts w:ascii="Calibri" w:eastAsia="Times New Roman" w:hAnsi="Calibri" w:cs="Times New Roman"/>
                <w:color w:val="000000"/>
                <w:lang w:eastAsia="en-GB"/>
              </w:rPr>
            </w:pPr>
            <w:proofErr w:type="spellStart"/>
            <w:r w:rsidRPr="000265D9">
              <w:rPr>
                <w:rFonts w:ascii="Calibri" w:eastAsia="Times New Roman" w:hAnsi="Calibri" w:cs="Times New Roman"/>
                <w:color w:val="000000"/>
                <w:lang w:eastAsia="en-GB"/>
              </w:rPr>
              <w:t>Vote</w:t>
            </w:r>
            <w:proofErr w:type="spellEnd"/>
            <w:r w:rsidRPr="000265D9">
              <w:rPr>
                <w:rFonts w:ascii="Calibri" w:eastAsia="Times New Roman" w:hAnsi="Calibri" w:cs="Times New Roman"/>
                <w:color w:val="000000"/>
                <w:lang w:eastAsia="en-GB"/>
              </w:rPr>
              <w:t xml:space="preserve"> Transfer </w:t>
            </w:r>
            <w:proofErr w:type="spellStart"/>
            <w:r w:rsidRPr="000265D9">
              <w:rPr>
                <w:rFonts w:ascii="Calibri" w:eastAsia="Times New Roman" w:hAnsi="Calibri" w:cs="Times New Roman"/>
                <w:color w:val="000000"/>
                <w:lang w:eastAsia="en-GB"/>
              </w:rPr>
              <w:t>Instructions</w:t>
            </w:r>
            <w:proofErr w:type="spellEnd"/>
          </w:p>
        </w:tc>
        <w:tc>
          <w:tcPr>
            <w:tcW w:w="351" w:type="pct"/>
            <w:tcBorders>
              <w:top w:val="nil"/>
              <w:left w:val="nil"/>
              <w:bottom w:val="nil"/>
              <w:right w:val="nil"/>
            </w:tcBorders>
            <w:shd w:val="clear" w:color="auto" w:fill="auto"/>
            <w:noWrap/>
            <w:vAlign w:val="center"/>
            <w:hideMark/>
          </w:tcPr>
          <w:p w14:paraId="0965EDE8"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24</w:t>
            </w:r>
          </w:p>
        </w:tc>
        <w:tc>
          <w:tcPr>
            <w:tcW w:w="355" w:type="pct"/>
            <w:tcBorders>
              <w:top w:val="nil"/>
              <w:left w:val="nil"/>
              <w:bottom w:val="nil"/>
              <w:right w:val="nil"/>
            </w:tcBorders>
            <w:shd w:val="clear" w:color="auto" w:fill="auto"/>
            <w:noWrap/>
            <w:vAlign w:val="center"/>
            <w:hideMark/>
          </w:tcPr>
          <w:p w14:paraId="26649135"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0</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06</w:t>
            </w:r>
          </w:p>
        </w:tc>
        <w:tc>
          <w:tcPr>
            <w:tcW w:w="421" w:type="pct"/>
            <w:tcBorders>
              <w:top w:val="nil"/>
              <w:left w:val="nil"/>
              <w:bottom w:val="nil"/>
              <w:right w:val="nil"/>
            </w:tcBorders>
            <w:shd w:val="clear" w:color="auto" w:fill="auto"/>
            <w:noWrap/>
            <w:vAlign w:val="center"/>
            <w:hideMark/>
          </w:tcPr>
          <w:p w14:paraId="7B23735F"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1</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00</w:t>
            </w:r>
          </w:p>
        </w:tc>
        <w:tc>
          <w:tcPr>
            <w:tcW w:w="614" w:type="pct"/>
            <w:tcBorders>
              <w:top w:val="nil"/>
              <w:left w:val="nil"/>
              <w:bottom w:val="nil"/>
              <w:right w:val="nil"/>
            </w:tcBorders>
            <w:shd w:val="clear" w:color="auto" w:fill="auto"/>
            <w:noWrap/>
            <w:vAlign w:val="center"/>
            <w:hideMark/>
          </w:tcPr>
          <w:p w14:paraId="1A0DEA8A"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8</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45</w:t>
            </w:r>
          </w:p>
        </w:tc>
        <w:tc>
          <w:tcPr>
            <w:tcW w:w="538" w:type="pct"/>
            <w:tcBorders>
              <w:top w:val="nil"/>
              <w:left w:val="nil"/>
              <w:bottom w:val="nil"/>
              <w:right w:val="nil"/>
            </w:tcBorders>
            <w:shd w:val="clear" w:color="auto" w:fill="auto"/>
            <w:noWrap/>
            <w:vAlign w:val="center"/>
            <w:hideMark/>
          </w:tcPr>
          <w:p w14:paraId="22EB80AF"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2</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80</w:t>
            </w:r>
          </w:p>
        </w:tc>
      </w:tr>
      <w:tr w:rsidR="003D52F7" w:rsidRPr="000265D9" w14:paraId="1008804F" w14:textId="77777777" w:rsidTr="003D52F7">
        <w:trPr>
          <w:trHeight w:val="320"/>
        </w:trPr>
        <w:tc>
          <w:tcPr>
            <w:tcW w:w="832" w:type="pct"/>
            <w:tcBorders>
              <w:top w:val="single" w:sz="4" w:space="0" w:color="auto"/>
              <w:left w:val="nil"/>
              <w:right w:val="nil"/>
            </w:tcBorders>
            <w:shd w:val="clear" w:color="auto" w:fill="auto"/>
            <w:noWrap/>
            <w:vAlign w:val="bottom"/>
            <w:hideMark/>
          </w:tcPr>
          <w:p w14:paraId="094C6BF0" w14:textId="77777777" w:rsidR="003D52F7" w:rsidRPr="000265D9" w:rsidRDefault="003D52F7" w:rsidP="006838AC">
            <w:pPr>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Joint</w:t>
            </w:r>
          </w:p>
        </w:tc>
        <w:tc>
          <w:tcPr>
            <w:tcW w:w="1888" w:type="pct"/>
            <w:tcBorders>
              <w:top w:val="single" w:sz="4" w:space="0" w:color="auto"/>
              <w:left w:val="nil"/>
              <w:right w:val="nil"/>
            </w:tcBorders>
            <w:shd w:val="clear" w:color="auto" w:fill="auto"/>
            <w:noWrap/>
            <w:vAlign w:val="bottom"/>
            <w:hideMark/>
          </w:tcPr>
          <w:p w14:paraId="53D59C52" w14:textId="77777777" w:rsidR="003D52F7" w:rsidRPr="000265D9" w:rsidRDefault="003D52F7" w:rsidP="006838AC">
            <w:pPr>
              <w:rPr>
                <w:rFonts w:ascii="Calibri" w:eastAsia="Times New Roman" w:hAnsi="Calibri" w:cs="Times New Roman"/>
                <w:color w:val="000000"/>
                <w:lang w:eastAsia="en-GB"/>
              </w:rPr>
            </w:pPr>
            <w:proofErr w:type="spellStart"/>
            <w:r w:rsidRPr="000265D9">
              <w:rPr>
                <w:rFonts w:ascii="Calibri" w:eastAsia="Times New Roman" w:hAnsi="Calibri" w:cs="Times New Roman"/>
                <w:color w:val="000000"/>
                <w:lang w:eastAsia="en-GB"/>
              </w:rPr>
              <w:t>No</w:t>
            </w:r>
            <w:proofErr w:type="spellEnd"/>
          </w:p>
        </w:tc>
        <w:tc>
          <w:tcPr>
            <w:tcW w:w="351" w:type="pct"/>
            <w:tcBorders>
              <w:top w:val="single" w:sz="4" w:space="0" w:color="auto"/>
              <w:left w:val="nil"/>
              <w:right w:val="nil"/>
            </w:tcBorders>
            <w:shd w:val="clear" w:color="auto" w:fill="auto"/>
            <w:noWrap/>
            <w:vAlign w:val="center"/>
            <w:hideMark/>
          </w:tcPr>
          <w:p w14:paraId="44DAD03A"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233</w:t>
            </w:r>
          </w:p>
        </w:tc>
        <w:tc>
          <w:tcPr>
            <w:tcW w:w="355" w:type="pct"/>
            <w:tcBorders>
              <w:top w:val="single" w:sz="4" w:space="0" w:color="auto"/>
              <w:left w:val="nil"/>
              <w:right w:val="nil"/>
            </w:tcBorders>
            <w:shd w:val="clear" w:color="auto" w:fill="auto"/>
            <w:noWrap/>
            <w:vAlign w:val="center"/>
            <w:hideMark/>
          </w:tcPr>
          <w:p w14:paraId="19732421"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0</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54</w:t>
            </w:r>
          </w:p>
        </w:tc>
        <w:tc>
          <w:tcPr>
            <w:tcW w:w="421" w:type="pct"/>
            <w:tcBorders>
              <w:top w:val="single" w:sz="4" w:space="0" w:color="auto"/>
              <w:left w:val="nil"/>
              <w:right w:val="nil"/>
            </w:tcBorders>
            <w:shd w:val="clear" w:color="auto" w:fill="auto"/>
            <w:noWrap/>
            <w:vAlign w:val="center"/>
            <w:hideMark/>
          </w:tcPr>
          <w:p w14:paraId="713DBE68"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10</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00</w:t>
            </w:r>
          </w:p>
        </w:tc>
        <w:tc>
          <w:tcPr>
            <w:tcW w:w="614" w:type="pct"/>
            <w:tcBorders>
              <w:top w:val="single" w:sz="4" w:space="0" w:color="auto"/>
              <w:left w:val="nil"/>
              <w:right w:val="nil"/>
            </w:tcBorders>
            <w:shd w:val="clear" w:color="auto" w:fill="auto"/>
            <w:noWrap/>
            <w:vAlign w:val="center"/>
            <w:hideMark/>
          </w:tcPr>
          <w:p w14:paraId="68BE935D"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4</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71</w:t>
            </w:r>
          </w:p>
        </w:tc>
        <w:tc>
          <w:tcPr>
            <w:tcW w:w="538" w:type="pct"/>
            <w:tcBorders>
              <w:top w:val="single" w:sz="4" w:space="0" w:color="auto"/>
              <w:left w:val="nil"/>
              <w:right w:val="nil"/>
            </w:tcBorders>
            <w:shd w:val="clear" w:color="auto" w:fill="auto"/>
            <w:noWrap/>
            <w:vAlign w:val="center"/>
            <w:hideMark/>
          </w:tcPr>
          <w:p w14:paraId="72285317"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4</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43</w:t>
            </w:r>
          </w:p>
        </w:tc>
      </w:tr>
      <w:tr w:rsidR="003D52F7" w:rsidRPr="000265D9" w14:paraId="03338EA8" w14:textId="77777777" w:rsidTr="003D52F7">
        <w:trPr>
          <w:trHeight w:val="320"/>
        </w:trPr>
        <w:tc>
          <w:tcPr>
            <w:tcW w:w="832" w:type="pct"/>
            <w:tcBorders>
              <w:top w:val="nil"/>
              <w:left w:val="nil"/>
              <w:bottom w:val="single" w:sz="4" w:space="0" w:color="auto"/>
              <w:right w:val="nil"/>
            </w:tcBorders>
            <w:shd w:val="clear" w:color="auto" w:fill="auto"/>
            <w:noWrap/>
            <w:vAlign w:val="bottom"/>
            <w:hideMark/>
          </w:tcPr>
          <w:p w14:paraId="312F205B" w14:textId="77777777" w:rsidR="003D52F7" w:rsidRPr="000265D9" w:rsidRDefault="003D52F7" w:rsidP="006838AC">
            <w:pPr>
              <w:rPr>
                <w:rFonts w:ascii="Calibri" w:eastAsia="Times New Roman" w:hAnsi="Calibri" w:cs="Times New Roman"/>
                <w:color w:val="000000"/>
                <w:lang w:eastAsia="en-GB"/>
              </w:rPr>
            </w:pPr>
            <w:proofErr w:type="spellStart"/>
            <w:r w:rsidRPr="000265D9">
              <w:rPr>
                <w:rFonts w:ascii="Calibri" w:eastAsia="Times New Roman" w:hAnsi="Calibri" w:cs="Times New Roman"/>
                <w:color w:val="000000"/>
                <w:lang w:eastAsia="en-GB"/>
              </w:rPr>
              <w:t>program</w:t>
            </w:r>
            <w:proofErr w:type="spellEnd"/>
            <w:r w:rsidRPr="000265D9">
              <w:rPr>
                <w:rFonts w:ascii="Calibri" w:eastAsia="Times New Roman" w:hAnsi="Calibri" w:cs="Times New Roman"/>
                <w:color w:val="000000"/>
                <w:lang w:eastAsia="en-GB"/>
              </w:rPr>
              <w:t>?</w:t>
            </w:r>
          </w:p>
        </w:tc>
        <w:tc>
          <w:tcPr>
            <w:tcW w:w="1888" w:type="pct"/>
            <w:tcBorders>
              <w:top w:val="nil"/>
              <w:left w:val="nil"/>
              <w:bottom w:val="single" w:sz="4" w:space="0" w:color="auto"/>
              <w:right w:val="nil"/>
            </w:tcBorders>
            <w:shd w:val="clear" w:color="auto" w:fill="auto"/>
            <w:noWrap/>
            <w:vAlign w:val="bottom"/>
            <w:hideMark/>
          </w:tcPr>
          <w:p w14:paraId="77F90BBC" w14:textId="77777777" w:rsidR="003D52F7" w:rsidRPr="000265D9" w:rsidRDefault="003D52F7" w:rsidP="006838AC">
            <w:pPr>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Yes</w:t>
            </w:r>
          </w:p>
        </w:tc>
        <w:tc>
          <w:tcPr>
            <w:tcW w:w="351" w:type="pct"/>
            <w:tcBorders>
              <w:top w:val="nil"/>
              <w:left w:val="nil"/>
              <w:bottom w:val="single" w:sz="4" w:space="0" w:color="auto"/>
              <w:right w:val="nil"/>
            </w:tcBorders>
            <w:shd w:val="clear" w:color="auto" w:fill="auto"/>
            <w:noWrap/>
            <w:vAlign w:val="center"/>
            <w:hideMark/>
          </w:tcPr>
          <w:p w14:paraId="284432D8"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197</w:t>
            </w:r>
          </w:p>
        </w:tc>
        <w:tc>
          <w:tcPr>
            <w:tcW w:w="355" w:type="pct"/>
            <w:tcBorders>
              <w:top w:val="nil"/>
              <w:left w:val="nil"/>
              <w:bottom w:val="single" w:sz="4" w:space="0" w:color="auto"/>
              <w:right w:val="nil"/>
            </w:tcBorders>
            <w:shd w:val="clear" w:color="auto" w:fill="auto"/>
            <w:noWrap/>
            <w:vAlign w:val="center"/>
            <w:hideMark/>
          </w:tcPr>
          <w:p w14:paraId="5B5F5292"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0</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46</w:t>
            </w:r>
          </w:p>
        </w:tc>
        <w:tc>
          <w:tcPr>
            <w:tcW w:w="421" w:type="pct"/>
            <w:tcBorders>
              <w:top w:val="nil"/>
              <w:left w:val="nil"/>
              <w:bottom w:val="single" w:sz="4" w:space="0" w:color="auto"/>
              <w:right w:val="nil"/>
            </w:tcBorders>
            <w:shd w:val="clear" w:color="auto" w:fill="auto"/>
            <w:noWrap/>
            <w:vAlign w:val="center"/>
            <w:hideMark/>
          </w:tcPr>
          <w:p w14:paraId="72EF9D87"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8</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90</w:t>
            </w:r>
          </w:p>
        </w:tc>
        <w:tc>
          <w:tcPr>
            <w:tcW w:w="614" w:type="pct"/>
            <w:tcBorders>
              <w:top w:val="nil"/>
              <w:left w:val="nil"/>
              <w:bottom w:val="single" w:sz="4" w:space="0" w:color="auto"/>
              <w:right w:val="nil"/>
            </w:tcBorders>
            <w:shd w:val="clear" w:color="auto" w:fill="auto"/>
            <w:noWrap/>
            <w:vAlign w:val="center"/>
            <w:hideMark/>
          </w:tcPr>
          <w:p w14:paraId="6D7B32DC"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4</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32</w:t>
            </w:r>
          </w:p>
        </w:tc>
        <w:tc>
          <w:tcPr>
            <w:tcW w:w="538" w:type="pct"/>
            <w:tcBorders>
              <w:top w:val="nil"/>
              <w:left w:val="nil"/>
              <w:bottom w:val="single" w:sz="4" w:space="0" w:color="auto"/>
              <w:right w:val="nil"/>
            </w:tcBorders>
            <w:shd w:val="clear" w:color="auto" w:fill="auto"/>
            <w:noWrap/>
            <w:vAlign w:val="center"/>
            <w:hideMark/>
          </w:tcPr>
          <w:p w14:paraId="2A5B14A4"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3</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63</w:t>
            </w:r>
          </w:p>
        </w:tc>
      </w:tr>
      <w:tr w:rsidR="003D52F7" w:rsidRPr="000265D9" w14:paraId="4AFAC4B1" w14:textId="77777777" w:rsidTr="003D52F7">
        <w:trPr>
          <w:trHeight w:val="320"/>
        </w:trPr>
        <w:tc>
          <w:tcPr>
            <w:tcW w:w="832" w:type="pct"/>
            <w:tcBorders>
              <w:top w:val="single" w:sz="4" w:space="0" w:color="auto"/>
              <w:left w:val="nil"/>
              <w:right w:val="nil"/>
            </w:tcBorders>
            <w:shd w:val="clear" w:color="auto" w:fill="auto"/>
            <w:noWrap/>
            <w:vAlign w:val="bottom"/>
            <w:hideMark/>
          </w:tcPr>
          <w:p w14:paraId="6BF4638C" w14:textId="77777777" w:rsidR="003D52F7" w:rsidRPr="000265D9" w:rsidRDefault="003D52F7" w:rsidP="006838AC">
            <w:pPr>
              <w:rPr>
                <w:rFonts w:ascii="Calibri" w:eastAsia="Times New Roman" w:hAnsi="Calibri" w:cs="Times New Roman"/>
                <w:color w:val="000000"/>
                <w:lang w:eastAsia="en-GB"/>
              </w:rPr>
            </w:pPr>
            <w:proofErr w:type="spellStart"/>
            <w:r w:rsidRPr="000265D9">
              <w:rPr>
                <w:rFonts w:ascii="Calibri" w:eastAsia="Times New Roman" w:hAnsi="Calibri" w:cs="Times New Roman"/>
                <w:color w:val="000000"/>
                <w:lang w:eastAsia="en-GB"/>
              </w:rPr>
              <w:t>Incumbent</w:t>
            </w:r>
            <w:proofErr w:type="spellEnd"/>
            <w:r w:rsidRPr="000265D9">
              <w:rPr>
                <w:rFonts w:ascii="Calibri" w:eastAsia="Times New Roman" w:hAnsi="Calibri" w:cs="Times New Roman"/>
                <w:color w:val="000000"/>
                <w:lang w:eastAsia="en-GB"/>
              </w:rPr>
              <w:t xml:space="preserve"> </w:t>
            </w:r>
          </w:p>
        </w:tc>
        <w:tc>
          <w:tcPr>
            <w:tcW w:w="1888" w:type="pct"/>
            <w:tcBorders>
              <w:top w:val="single" w:sz="4" w:space="0" w:color="auto"/>
              <w:left w:val="nil"/>
              <w:right w:val="nil"/>
            </w:tcBorders>
            <w:shd w:val="clear" w:color="auto" w:fill="auto"/>
            <w:noWrap/>
            <w:vAlign w:val="bottom"/>
            <w:hideMark/>
          </w:tcPr>
          <w:p w14:paraId="199BEB9F" w14:textId="77777777" w:rsidR="003D52F7" w:rsidRPr="000265D9" w:rsidRDefault="003D52F7" w:rsidP="006838AC">
            <w:pPr>
              <w:rPr>
                <w:rFonts w:ascii="Calibri" w:eastAsia="Times New Roman" w:hAnsi="Calibri" w:cs="Times New Roman"/>
                <w:color w:val="000000"/>
                <w:lang w:eastAsia="en-GB"/>
              </w:rPr>
            </w:pPr>
            <w:proofErr w:type="spellStart"/>
            <w:r w:rsidRPr="000265D9">
              <w:rPr>
                <w:rFonts w:ascii="Calibri" w:eastAsia="Times New Roman" w:hAnsi="Calibri" w:cs="Times New Roman"/>
                <w:color w:val="000000"/>
                <w:lang w:eastAsia="en-GB"/>
              </w:rPr>
              <w:t>No</w:t>
            </w:r>
            <w:proofErr w:type="spellEnd"/>
          </w:p>
        </w:tc>
        <w:tc>
          <w:tcPr>
            <w:tcW w:w="351" w:type="pct"/>
            <w:tcBorders>
              <w:top w:val="single" w:sz="4" w:space="0" w:color="auto"/>
              <w:left w:val="nil"/>
              <w:right w:val="nil"/>
            </w:tcBorders>
            <w:shd w:val="clear" w:color="auto" w:fill="auto"/>
            <w:noWrap/>
            <w:vAlign w:val="center"/>
            <w:hideMark/>
          </w:tcPr>
          <w:p w14:paraId="0DAB039D"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337</w:t>
            </w:r>
          </w:p>
        </w:tc>
        <w:tc>
          <w:tcPr>
            <w:tcW w:w="355" w:type="pct"/>
            <w:tcBorders>
              <w:top w:val="single" w:sz="4" w:space="0" w:color="auto"/>
              <w:left w:val="nil"/>
              <w:right w:val="nil"/>
            </w:tcBorders>
            <w:shd w:val="clear" w:color="auto" w:fill="auto"/>
            <w:noWrap/>
            <w:vAlign w:val="center"/>
            <w:hideMark/>
          </w:tcPr>
          <w:p w14:paraId="74B65122"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0</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77</w:t>
            </w:r>
          </w:p>
        </w:tc>
        <w:tc>
          <w:tcPr>
            <w:tcW w:w="421" w:type="pct"/>
            <w:tcBorders>
              <w:top w:val="single" w:sz="4" w:space="0" w:color="auto"/>
              <w:left w:val="nil"/>
              <w:right w:val="nil"/>
            </w:tcBorders>
            <w:shd w:val="clear" w:color="auto" w:fill="auto"/>
            <w:noWrap/>
            <w:vAlign w:val="center"/>
            <w:hideMark/>
          </w:tcPr>
          <w:p w14:paraId="115380E9"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9</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65</w:t>
            </w:r>
          </w:p>
        </w:tc>
        <w:tc>
          <w:tcPr>
            <w:tcW w:w="614" w:type="pct"/>
            <w:tcBorders>
              <w:top w:val="single" w:sz="4" w:space="0" w:color="auto"/>
              <w:left w:val="nil"/>
              <w:right w:val="nil"/>
            </w:tcBorders>
            <w:shd w:val="clear" w:color="auto" w:fill="auto"/>
            <w:noWrap/>
            <w:vAlign w:val="center"/>
            <w:hideMark/>
          </w:tcPr>
          <w:p w14:paraId="4B85325A"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4</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51</w:t>
            </w:r>
          </w:p>
        </w:tc>
        <w:tc>
          <w:tcPr>
            <w:tcW w:w="538" w:type="pct"/>
            <w:tcBorders>
              <w:top w:val="single" w:sz="4" w:space="0" w:color="auto"/>
              <w:left w:val="nil"/>
              <w:right w:val="nil"/>
            </w:tcBorders>
            <w:shd w:val="clear" w:color="auto" w:fill="auto"/>
            <w:noWrap/>
            <w:vAlign w:val="center"/>
            <w:hideMark/>
          </w:tcPr>
          <w:p w14:paraId="4FE97A04"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4</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03</w:t>
            </w:r>
          </w:p>
        </w:tc>
      </w:tr>
      <w:tr w:rsidR="003D52F7" w:rsidRPr="000265D9" w14:paraId="1563F236" w14:textId="77777777" w:rsidTr="003D52F7">
        <w:trPr>
          <w:trHeight w:val="320"/>
        </w:trPr>
        <w:tc>
          <w:tcPr>
            <w:tcW w:w="832" w:type="pct"/>
            <w:tcBorders>
              <w:top w:val="nil"/>
              <w:left w:val="nil"/>
              <w:bottom w:val="single" w:sz="8" w:space="0" w:color="auto"/>
              <w:right w:val="nil"/>
            </w:tcBorders>
            <w:shd w:val="clear" w:color="auto" w:fill="auto"/>
            <w:noWrap/>
            <w:vAlign w:val="bottom"/>
            <w:hideMark/>
          </w:tcPr>
          <w:p w14:paraId="1158A0F5" w14:textId="77777777" w:rsidR="003D52F7" w:rsidRPr="000265D9" w:rsidRDefault="003D52F7" w:rsidP="006838AC">
            <w:pPr>
              <w:rPr>
                <w:rFonts w:ascii="Calibri" w:eastAsia="Times New Roman" w:hAnsi="Calibri" w:cs="Times New Roman"/>
                <w:color w:val="000000"/>
                <w:lang w:eastAsia="en-GB"/>
              </w:rPr>
            </w:pPr>
            <w:proofErr w:type="spellStart"/>
            <w:r w:rsidRPr="000265D9">
              <w:rPr>
                <w:rFonts w:ascii="Calibri" w:eastAsia="Times New Roman" w:hAnsi="Calibri" w:cs="Times New Roman"/>
                <w:color w:val="000000"/>
                <w:lang w:eastAsia="en-GB"/>
              </w:rPr>
              <w:t>coalition</w:t>
            </w:r>
            <w:proofErr w:type="spellEnd"/>
            <w:r w:rsidRPr="000265D9">
              <w:rPr>
                <w:rFonts w:ascii="Calibri" w:eastAsia="Times New Roman" w:hAnsi="Calibri" w:cs="Times New Roman"/>
                <w:color w:val="000000"/>
                <w:lang w:eastAsia="en-GB"/>
              </w:rPr>
              <w:t>?</w:t>
            </w:r>
          </w:p>
        </w:tc>
        <w:tc>
          <w:tcPr>
            <w:tcW w:w="1888" w:type="pct"/>
            <w:tcBorders>
              <w:top w:val="nil"/>
              <w:left w:val="nil"/>
              <w:bottom w:val="single" w:sz="8" w:space="0" w:color="auto"/>
              <w:right w:val="nil"/>
            </w:tcBorders>
            <w:shd w:val="clear" w:color="auto" w:fill="auto"/>
            <w:noWrap/>
            <w:vAlign w:val="bottom"/>
            <w:hideMark/>
          </w:tcPr>
          <w:p w14:paraId="102384A3" w14:textId="77777777" w:rsidR="003D52F7" w:rsidRPr="000265D9" w:rsidRDefault="003D52F7" w:rsidP="006838AC">
            <w:pPr>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Yes</w:t>
            </w:r>
          </w:p>
        </w:tc>
        <w:tc>
          <w:tcPr>
            <w:tcW w:w="351" w:type="pct"/>
            <w:tcBorders>
              <w:top w:val="nil"/>
              <w:left w:val="nil"/>
              <w:bottom w:val="single" w:sz="8" w:space="0" w:color="auto"/>
              <w:right w:val="nil"/>
            </w:tcBorders>
            <w:shd w:val="clear" w:color="auto" w:fill="auto"/>
            <w:noWrap/>
            <w:vAlign w:val="center"/>
            <w:hideMark/>
          </w:tcPr>
          <w:p w14:paraId="3DA42C71"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99</w:t>
            </w:r>
          </w:p>
        </w:tc>
        <w:tc>
          <w:tcPr>
            <w:tcW w:w="355" w:type="pct"/>
            <w:tcBorders>
              <w:top w:val="nil"/>
              <w:left w:val="nil"/>
              <w:bottom w:val="single" w:sz="8" w:space="0" w:color="auto"/>
              <w:right w:val="nil"/>
            </w:tcBorders>
            <w:shd w:val="clear" w:color="auto" w:fill="auto"/>
            <w:noWrap/>
            <w:vAlign w:val="center"/>
            <w:hideMark/>
          </w:tcPr>
          <w:p w14:paraId="5E49D2FA"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0</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23</w:t>
            </w:r>
          </w:p>
        </w:tc>
        <w:tc>
          <w:tcPr>
            <w:tcW w:w="421" w:type="pct"/>
            <w:tcBorders>
              <w:top w:val="nil"/>
              <w:left w:val="nil"/>
              <w:bottom w:val="single" w:sz="8" w:space="0" w:color="auto"/>
              <w:right w:val="nil"/>
            </w:tcBorders>
            <w:shd w:val="clear" w:color="auto" w:fill="auto"/>
            <w:noWrap/>
            <w:vAlign w:val="center"/>
            <w:hideMark/>
          </w:tcPr>
          <w:p w14:paraId="512F9830"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10</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00</w:t>
            </w:r>
          </w:p>
        </w:tc>
        <w:tc>
          <w:tcPr>
            <w:tcW w:w="614" w:type="pct"/>
            <w:tcBorders>
              <w:top w:val="nil"/>
              <w:left w:val="nil"/>
              <w:bottom w:val="single" w:sz="8" w:space="0" w:color="auto"/>
              <w:right w:val="nil"/>
            </w:tcBorders>
            <w:shd w:val="clear" w:color="auto" w:fill="auto"/>
            <w:noWrap/>
            <w:vAlign w:val="center"/>
            <w:hideMark/>
          </w:tcPr>
          <w:p w14:paraId="29EE3B56"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4</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71</w:t>
            </w:r>
          </w:p>
        </w:tc>
        <w:tc>
          <w:tcPr>
            <w:tcW w:w="538" w:type="pct"/>
            <w:tcBorders>
              <w:top w:val="nil"/>
              <w:left w:val="nil"/>
              <w:bottom w:val="single" w:sz="8" w:space="0" w:color="auto"/>
              <w:right w:val="nil"/>
            </w:tcBorders>
            <w:shd w:val="clear" w:color="auto" w:fill="auto"/>
            <w:noWrap/>
            <w:vAlign w:val="center"/>
            <w:hideMark/>
          </w:tcPr>
          <w:p w14:paraId="33671A2D"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4</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36</w:t>
            </w:r>
          </w:p>
        </w:tc>
      </w:tr>
      <w:tr w:rsidR="003D52F7" w:rsidRPr="00695964" w14:paraId="2EB19F8D" w14:textId="77777777" w:rsidTr="006838AC">
        <w:trPr>
          <w:trHeight w:val="320"/>
        </w:trPr>
        <w:tc>
          <w:tcPr>
            <w:tcW w:w="5000" w:type="pct"/>
            <w:gridSpan w:val="7"/>
            <w:tcBorders>
              <w:top w:val="single" w:sz="8" w:space="0" w:color="auto"/>
              <w:left w:val="nil"/>
              <w:right w:val="nil"/>
            </w:tcBorders>
            <w:shd w:val="clear" w:color="auto" w:fill="auto"/>
            <w:noWrap/>
            <w:vAlign w:val="center"/>
          </w:tcPr>
          <w:p w14:paraId="364FCE7F" w14:textId="3BE1B574" w:rsidR="003D52F7" w:rsidRPr="000265D9" w:rsidRDefault="003D52F7" w:rsidP="006838AC">
            <w:pPr>
              <w:rPr>
                <w:rFonts w:ascii="Calibri" w:eastAsia="Times New Roman" w:hAnsi="Calibri" w:cs="Times New Roman"/>
                <w:color w:val="000000"/>
                <w:lang w:val="en-US" w:eastAsia="en-GB"/>
              </w:rPr>
            </w:pPr>
            <w:r w:rsidRPr="000265D9">
              <w:rPr>
                <w:rFonts w:ascii="Calibri" w:eastAsia="Times New Roman" w:hAnsi="Calibri" w:cs="Times New Roman"/>
                <w:color w:val="000000"/>
                <w:lang w:val="en-US" w:eastAsia="en-GB"/>
              </w:rPr>
              <w:t>Notes:</w:t>
            </w:r>
            <w:r>
              <w:rPr>
                <w:rFonts w:ascii="Calibri" w:eastAsia="Times New Roman" w:hAnsi="Calibri" w:cs="Times New Roman"/>
                <w:color w:val="000000"/>
                <w:lang w:val="en-US" w:eastAsia="en-GB"/>
              </w:rPr>
              <w:t xml:space="preserve"> </w:t>
            </w:r>
            <w:r w:rsidRPr="00A276B0">
              <w:rPr>
                <w:rFonts w:ascii="Calibri" w:eastAsia="Times New Roman" w:hAnsi="Calibri" w:cs="Times New Roman"/>
                <w:color w:val="000000"/>
                <w:vertAlign w:val="superscript"/>
                <w:lang w:val="en-US" w:eastAsia="en-GB"/>
              </w:rPr>
              <w:t>a</w:t>
            </w:r>
            <w:r>
              <w:rPr>
                <w:rFonts w:ascii="Calibri" w:eastAsia="Times New Roman" w:hAnsi="Calibri" w:cs="Times New Roman"/>
                <w:color w:val="000000"/>
                <w:lang w:val="en-US" w:eastAsia="en-GB"/>
              </w:rPr>
              <w:t xml:space="preserve"> Gallagher Index; </w:t>
            </w:r>
            <w:r>
              <w:rPr>
                <w:rFonts w:ascii="Calibri" w:eastAsia="Times New Roman" w:hAnsi="Calibri" w:cs="Times New Roman"/>
                <w:color w:val="000000"/>
                <w:vertAlign w:val="superscript"/>
                <w:lang w:val="en-US" w:eastAsia="en-GB"/>
              </w:rPr>
              <w:t>b</w:t>
            </w:r>
            <w:r>
              <w:rPr>
                <w:rFonts w:ascii="Calibri" w:eastAsia="Times New Roman" w:hAnsi="Calibri" w:cs="Times New Roman"/>
                <w:color w:val="000000"/>
                <w:lang w:val="en-US" w:eastAsia="en-GB"/>
              </w:rPr>
              <w:t xml:space="preserve"> E</w:t>
            </w:r>
            <w:r w:rsidRPr="000265D9">
              <w:rPr>
                <w:rFonts w:ascii="Calibri" w:eastAsia="Times New Roman" w:hAnsi="Calibri" w:cs="Times New Roman"/>
                <w:color w:val="000000"/>
                <w:lang w:val="en-US" w:eastAsia="en-GB"/>
              </w:rPr>
              <w:t>ff</w:t>
            </w:r>
            <w:r>
              <w:rPr>
                <w:rFonts w:ascii="Calibri" w:eastAsia="Times New Roman" w:hAnsi="Calibri" w:cs="Times New Roman"/>
                <w:color w:val="000000"/>
                <w:lang w:val="en-US" w:eastAsia="en-GB"/>
              </w:rPr>
              <w:t>.</w:t>
            </w:r>
            <w:r w:rsidRPr="000265D9">
              <w:rPr>
                <w:rFonts w:ascii="Calibri" w:eastAsia="Times New Roman" w:hAnsi="Calibri" w:cs="Times New Roman"/>
                <w:color w:val="000000"/>
                <w:lang w:val="en-US" w:eastAsia="en-GB"/>
              </w:rPr>
              <w:t xml:space="preserve"> number of elec</w:t>
            </w:r>
            <w:r>
              <w:rPr>
                <w:rFonts w:ascii="Calibri" w:eastAsia="Times New Roman" w:hAnsi="Calibri" w:cs="Times New Roman"/>
                <w:color w:val="000000"/>
                <w:lang w:val="en-US" w:eastAsia="en-GB"/>
              </w:rPr>
              <w:t xml:space="preserve">toral parties; </w:t>
            </w:r>
            <w:r>
              <w:rPr>
                <w:rFonts w:ascii="Calibri" w:eastAsia="Times New Roman" w:hAnsi="Calibri" w:cs="Times New Roman"/>
                <w:color w:val="000000"/>
                <w:vertAlign w:val="superscript"/>
                <w:lang w:val="en-US" w:eastAsia="en-GB"/>
              </w:rPr>
              <w:t>c</w:t>
            </w:r>
            <w:r>
              <w:rPr>
                <w:rFonts w:ascii="Calibri" w:eastAsia="Times New Roman" w:hAnsi="Calibri" w:cs="Times New Roman"/>
                <w:color w:val="000000"/>
                <w:lang w:val="en-US" w:eastAsia="en-GB"/>
              </w:rPr>
              <w:t xml:space="preserve"> Romania 1996.</w:t>
            </w:r>
          </w:p>
        </w:tc>
      </w:tr>
    </w:tbl>
    <w:p w14:paraId="517C2847" w14:textId="4ED2EAAE" w:rsidR="00D80BED" w:rsidRDefault="00D80BED">
      <w:pPr>
        <w:rPr>
          <w:lang w:val="en-US"/>
        </w:rPr>
      </w:pPr>
    </w:p>
    <w:p w14:paraId="2B24EB2B" w14:textId="5665CE2B" w:rsidR="008C6494" w:rsidRPr="008C6494" w:rsidRDefault="008C6494" w:rsidP="008C6494">
      <w:pPr>
        <w:pStyle w:val="Caption"/>
        <w:keepNext/>
        <w:rPr>
          <w:lang w:val="en-US"/>
        </w:rPr>
      </w:pPr>
      <w:bookmarkStart w:id="5" w:name="_Ref15034520"/>
      <w:r w:rsidRPr="008C6494">
        <w:rPr>
          <w:lang w:val="en-US"/>
        </w:rPr>
        <w:t xml:space="preserve">Figure </w:t>
      </w:r>
      <w:r>
        <w:fldChar w:fldCharType="begin"/>
      </w:r>
      <w:r w:rsidRPr="008C6494">
        <w:rPr>
          <w:lang w:val="en-US"/>
        </w:rPr>
        <w:instrText xml:space="preserve"> SEQ Figure \* ARABIC </w:instrText>
      </w:r>
      <w:r>
        <w:fldChar w:fldCharType="separate"/>
      </w:r>
      <w:r w:rsidR="00AB41C9">
        <w:rPr>
          <w:noProof/>
          <w:lang w:val="en-US"/>
        </w:rPr>
        <w:t>1</w:t>
      </w:r>
      <w:r>
        <w:fldChar w:fldCharType="end"/>
      </w:r>
      <w:bookmarkEnd w:id="5"/>
      <w:r w:rsidRPr="008C6494">
        <w:rPr>
          <w:lang w:val="en-US"/>
        </w:rPr>
        <w:t xml:space="preserve"> Annual frequency of PECs</w:t>
      </w:r>
    </w:p>
    <w:p w14:paraId="0C820156" w14:textId="6A752A92" w:rsidR="008C6494" w:rsidRDefault="00B34E34">
      <w:pPr>
        <w:rPr>
          <w:lang w:val="en-US"/>
        </w:rPr>
      </w:pPr>
      <w:r>
        <w:rPr>
          <w:noProof/>
          <w:lang w:val="en-US"/>
        </w:rPr>
        <w:drawing>
          <wp:inline distT="0" distB="0" distL="0" distR="0" wp14:anchorId="2BEF25DE" wp14:editId="3FC32313">
            <wp:extent cx="5756910" cy="355790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r_pecTypeYearNewde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6910" cy="3557905"/>
                    </a:xfrm>
                    <a:prstGeom prst="rect">
                      <a:avLst/>
                    </a:prstGeom>
                  </pic:spPr>
                </pic:pic>
              </a:graphicData>
            </a:graphic>
          </wp:inline>
        </w:drawing>
      </w:r>
    </w:p>
    <w:sectPr w:rsidR="008C6494" w:rsidSect="00930166">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g Tanneberg" w:date="2019-07-26T14:05:00Z" w:initials="DT">
    <w:p w14:paraId="3A2539F7" w14:textId="109C78F0" w:rsidR="00695964" w:rsidRPr="0053490B" w:rsidRDefault="00695964">
      <w:pPr>
        <w:pStyle w:val="CommentText"/>
        <w:rPr>
          <w:lang w:val="en-US"/>
        </w:rPr>
      </w:pPr>
      <w:r>
        <w:rPr>
          <w:rStyle w:val="CommentReference"/>
        </w:rPr>
        <w:annotationRef/>
      </w:r>
      <w:r w:rsidRPr="0053490B">
        <w:rPr>
          <w:lang w:val="en-US"/>
        </w:rPr>
        <w:t>We need to find a w</w:t>
      </w:r>
      <w:r>
        <w:rPr>
          <w:lang w:val="en-US"/>
        </w:rPr>
        <w:t>ay to match governments and PECs. Originally, I used Spain as an example which never had coalition governments.</w:t>
      </w:r>
    </w:p>
  </w:comment>
  <w:comment w:id="3" w:author="Dag Tanneberg" w:date="2019-07-22T12:19:00Z" w:initials="DT">
    <w:p w14:paraId="73EDABF4" w14:textId="17258059" w:rsidR="00695964" w:rsidRPr="001D64DC" w:rsidRDefault="00695964">
      <w:pPr>
        <w:pStyle w:val="CommentText"/>
        <w:rPr>
          <w:lang w:val="en-US"/>
        </w:rPr>
      </w:pPr>
      <w:r>
        <w:rPr>
          <w:rStyle w:val="CommentReference"/>
        </w:rPr>
        <w:annotationRef/>
      </w:r>
      <w:r w:rsidRPr="001D64DC">
        <w:rPr>
          <w:lang w:val="en-US"/>
        </w:rPr>
        <w:t>We have to replace the numeric entries in the table later 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2539F7" w15:done="0"/>
  <w15:commentEx w15:paraId="73EDAB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2539F7" w16cid:durableId="20E58723"/>
  <w16cid:commentId w16cid:paraId="73EDABF4" w16cid:durableId="20E028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B8A336" w14:textId="77777777" w:rsidR="001753E7" w:rsidRDefault="001753E7" w:rsidP="00504142">
      <w:r>
        <w:separator/>
      </w:r>
    </w:p>
  </w:endnote>
  <w:endnote w:type="continuationSeparator" w:id="0">
    <w:p w14:paraId="4D95BBC8" w14:textId="77777777" w:rsidR="001753E7" w:rsidRDefault="001753E7" w:rsidP="005041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F40A84" w14:textId="77777777" w:rsidR="001753E7" w:rsidRDefault="001753E7" w:rsidP="00504142">
      <w:r>
        <w:separator/>
      </w:r>
    </w:p>
  </w:footnote>
  <w:footnote w:type="continuationSeparator" w:id="0">
    <w:p w14:paraId="146913CA" w14:textId="77777777" w:rsidR="001753E7" w:rsidRDefault="001753E7" w:rsidP="00504142">
      <w:r>
        <w:continuationSeparator/>
      </w:r>
    </w:p>
  </w:footnote>
  <w:footnote w:id="1">
    <w:p w14:paraId="4D59DDE7" w14:textId="77777777" w:rsidR="00695964" w:rsidRPr="00EF1DDA" w:rsidRDefault="00695964" w:rsidP="00695964">
      <w:pPr>
        <w:pStyle w:val="FootnoteText"/>
        <w:rPr>
          <w:lang w:val="en-US"/>
        </w:rPr>
      </w:pPr>
      <w:r>
        <w:rPr>
          <w:rStyle w:val="FootnoteReference"/>
        </w:rPr>
        <w:footnoteRef/>
      </w:r>
      <w:r w:rsidRPr="00EF1DDA">
        <w:rPr>
          <w:lang w:val="en-US"/>
        </w:rPr>
        <w:t xml:space="preserve"> </w:t>
      </w:r>
      <w:r>
        <w:rPr>
          <w:lang w:val="en-US"/>
        </w:rPr>
        <w:t xml:space="preserve">Due to data availability our current version does not include Cyprus. </w:t>
      </w:r>
      <w:r w:rsidRPr="00EF1DDA">
        <w:rPr>
          <w:lang w:val="en-US"/>
        </w:rPr>
        <w:t xml:space="preserve">Of the </w:t>
      </w:r>
      <w:r>
        <w:rPr>
          <w:lang w:val="en-US"/>
        </w:rPr>
        <w:t>remaining 36</w:t>
      </w:r>
      <w:r w:rsidRPr="00EF1DDA">
        <w:rPr>
          <w:lang w:val="en-US"/>
        </w:rPr>
        <w:t xml:space="preserve"> </w:t>
      </w:r>
      <w:r>
        <w:rPr>
          <w:lang w:val="en-US"/>
        </w:rPr>
        <w:t>non-presidential democracies covered b</w:t>
      </w:r>
      <w:r w:rsidRPr="00EF1DDA">
        <w:rPr>
          <w:lang w:val="en-US"/>
        </w:rPr>
        <w:t xml:space="preserve">y </w:t>
      </w:r>
      <w:proofErr w:type="spellStart"/>
      <w:r w:rsidRPr="00EF1DDA">
        <w:rPr>
          <w:lang w:val="en-US"/>
        </w:rPr>
        <w:t>parlgov</w:t>
      </w:r>
      <w:proofErr w:type="spellEnd"/>
      <w:r w:rsidRPr="00EF1DDA">
        <w:rPr>
          <w:lang w:val="en-US"/>
        </w:rPr>
        <w:t xml:space="preserve">, </w:t>
      </w:r>
      <w:r>
        <w:rPr>
          <w:lang w:val="en-US"/>
        </w:rPr>
        <w:t xml:space="preserve">only two experienced periods of democracies scores lower than 8 (polity IV) in the 15 years before 2000. While </w:t>
      </w:r>
      <w:proofErr w:type="spellStart"/>
      <w:r>
        <w:rPr>
          <w:lang w:val="en-US"/>
        </w:rPr>
        <w:t>Israels</w:t>
      </w:r>
      <w:proofErr w:type="spellEnd"/>
      <w:r>
        <w:rPr>
          <w:lang w:val="en-US"/>
        </w:rPr>
        <w:t xml:space="preserve"> score has been 6 since the 1980s, Turkeys polity score was 3 after 2013 and -4 after 2015. We include Israel in our sample. </w:t>
      </w:r>
    </w:p>
  </w:footnote>
  <w:footnote w:id="2">
    <w:p w14:paraId="06319C9F" w14:textId="77777777" w:rsidR="00695964" w:rsidRPr="00504142" w:rsidRDefault="00695964" w:rsidP="00AB52DE">
      <w:pPr>
        <w:pStyle w:val="FootnoteText"/>
        <w:rPr>
          <w:lang w:val="en-US"/>
        </w:rPr>
      </w:pPr>
      <w:r>
        <w:rPr>
          <w:rStyle w:val="FootnoteReference"/>
        </w:rPr>
        <w:footnoteRef/>
      </w:r>
      <w:r w:rsidRPr="00504142">
        <w:rPr>
          <w:lang w:val="en-US"/>
        </w:rPr>
        <w:t xml:space="preserve"> We code pre-elec</w:t>
      </w:r>
      <w:r>
        <w:rPr>
          <w:lang w:val="en-US"/>
        </w:rPr>
        <w:t>t</w:t>
      </w:r>
      <w:r w:rsidRPr="00504142">
        <w:rPr>
          <w:lang w:val="en-US"/>
        </w:rPr>
        <w:t>oral coalitions as incumbent if all members of</w:t>
      </w:r>
      <w:r>
        <w:rPr>
          <w:lang w:val="en-US"/>
        </w:rPr>
        <w:t xml:space="preserve"> the coalition enjoyed cabinet rank in the government immediately preceding the elections.</w:t>
      </w:r>
    </w:p>
  </w:footnote>
  <w:footnote w:id="3">
    <w:p w14:paraId="403335A5" w14:textId="77777777" w:rsidR="00695964" w:rsidRPr="00E9322B" w:rsidRDefault="00695964" w:rsidP="00726B68">
      <w:pPr>
        <w:pStyle w:val="FootnoteText"/>
        <w:rPr>
          <w:lang w:val="en-US"/>
        </w:rPr>
      </w:pPr>
      <w:r>
        <w:rPr>
          <w:rStyle w:val="FootnoteReference"/>
        </w:rPr>
        <w:footnoteRef/>
      </w:r>
      <w:r w:rsidRPr="00E9322B">
        <w:rPr>
          <w:lang w:val="en-US"/>
        </w:rPr>
        <w:t xml:space="preserve"> By </w:t>
      </w:r>
      <w:r>
        <w:rPr>
          <w:lang w:val="en-US"/>
        </w:rPr>
        <w:t>CEE</w:t>
      </w:r>
      <w:r w:rsidRPr="00E9322B">
        <w:rPr>
          <w:lang w:val="en-US"/>
        </w:rPr>
        <w:t xml:space="preserve"> </w:t>
      </w:r>
      <w:r>
        <w:rPr>
          <w:lang w:val="en-US"/>
        </w:rPr>
        <w:t xml:space="preserve">countries </w:t>
      </w:r>
      <w:r w:rsidRPr="00E9322B">
        <w:rPr>
          <w:lang w:val="en-US"/>
        </w:rPr>
        <w:t>we refer to</w:t>
      </w:r>
      <w:r>
        <w:rPr>
          <w:lang w:val="en-US"/>
        </w:rPr>
        <w:t xml:space="preserve"> </w:t>
      </w:r>
      <w:r w:rsidRPr="00B34E34">
        <w:rPr>
          <w:lang w:val="en-US"/>
        </w:rPr>
        <w:t xml:space="preserve">Bulgaria, Croatia, Czech Republic, Estonia, Hungary, Latvia, Lithuania, Poland, Romania, Slovakia, </w:t>
      </w:r>
      <w:r>
        <w:rPr>
          <w:lang w:val="en-US"/>
        </w:rPr>
        <w:t xml:space="preserve">and </w:t>
      </w:r>
      <w:r w:rsidRPr="00B34E34">
        <w:rPr>
          <w:lang w:val="en-US"/>
        </w:rPr>
        <w:t>Slovenia</w:t>
      </w:r>
      <w:r>
        <w:rPr>
          <w:lang w:val="en-US"/>
        </w:rPr>
        <w:t>.</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g Tanneberg">
    <w15:presenceInfo w15:providerId="Windows Live" w15:userId="fc49d4857512b4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7C6"/>
    <w:rsid w:val="000265D9"/>
    <w:rsid w:val="00037832"/>
    <w:rsid w:val="00085946"/>
    <w:rsid w:val="000F762B"/>
    <w:rsid w:val="00106468"/>
    <w:rsid w:val="001753E7"/>
    <w:rsid w:val="001A7C07"/>
    <w:rsid w:val="001B2AC1"/>
    <w:rsid w:val="001C33A6"/>
    <w:rsid w:val="001D64DC"/>
    <w:rsid w:val="00212417"/>
    <w:rsid w:val="002564F6"/>
    <w:rsid w:val="002975B5"/>
    <w:rsid w:val="002C41D0"/>
    <w:rsid w:val="002D1F90"/>
    <w:rsid w:val="002D4F31"/>
    <w:rsid w:val="00332926"/>
    <w:rsid w:val="003474E7"/>
    <w:rsid w:val="00383170"/>
    <w:rsid w:val="003D52F7"/>
    <w:rsid w:val="004039C9"/>
    <w:rsid w:val="004661B4"/>
    <w:rsid w:val="004F47BD"/>
    <w:rsid w:val="005003D4"/>
    <w:rsid w:val="00504142"/>
    <w:rsid w:val="00504DD7"/>
    <w:rsid w:val="0053490B"/>
    <w:rsid w:val="00540DC1"/>
    <w:rsid w:val="00555058"/>
    <w:rsid w:val="005710BC"/>
    <w:rsid w:val="0059438B"/>
    <w:rsid w:val="006014FA"/>
    <w:rsid w:val="00631C08"/>
    <w:rsid w:val="006838AC"/>
    <w:rsid w:val="00695964"/>
    <w:rsid w:val="006D491E"/>
    <w:rsid w:val="00722F1B"/>
    <w:rsid w:val="00726B68"/>
    <w:rsid w:val="00754750"/>
    <w:rsid w:val="008368BF"/>
    <w:rsid w:val="008B37ED"/>
    <w:rsid w:val="008C6494"/>
    <w:rsid w:val="008D0BA3"/>
    <w:rsid w:val="009045DE"/>
    <w:rsid w:val="00930166"/>
    <w:rsid w:val="00967926"/>
    <w:rsid w:val="00A276B0"/>
    <w:rsid w:val="00A36012"/>
    <w:rsid w:val="00A3798A"/>
    <w:rsid w:val="00A75294"/>
    <w:rsid w:val="00A843CD"/>
    <w:rsid w:val="00AA47C6"/>
    <w:rsid w:val="00AB41C9"/>
    <w:rsid w:val="00AB52DE"/>
    <w:rsid w:val="00AE1D0B"/>
    <w:rsid w:val="00B34E34"/>
    <w:rsid w:val="00BA2A22"/>
    <w:rsid w:val="00C45CCD"/>
    <w:rsid w:val="00C706C0"/>
    <w:rsid w:val="00C76736"/>
    <w:rsid w:val="00C775E7"/>
    <w:rsid w:val="00C95ED1"/>
    <w:rsid w:val="00CA4900"/>
    <w:rsid w:val="00CC7F7A"/>
    <w:rsid w:val="00CF695B"/>
    <w:rsid w:val="00D25476"/>
    <w:rsid w:val="00D43AA7"/>
    <w:rsid w:val="00D80BED"/>
    <w:rsid w:val="00DC1F86"/>
    <w:rsid w:val="00DC5218"/>
    <w:rsid w:val="00E06906"/>
    <w:rsid w:val="00E44119"/>
    <w:rsid w:val="00E9322B"/>
    <w:rsid w:val="00F96D6D"/>
    <w:rsid w:val="00FC1D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0C70F"/>
  <w15:chartTrackingRefBased/>
  <w15:docId w15:val="{7DD8F8CC-4756-8846-A9C8-DCC31133D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7C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414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7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142"/>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unhideWhenUsed/>
    <w:rsid w:val="00504142"/>
    <w:rPr>
      <w:sz w:val="20"/>
      <w:szCs w:val="20"/>
    </w:rPr>
  </w:style>
  <w:style w:type="character" w:customStyle="1" w:styleId="FootnoteTextChar">
    <w:name w:val="Footnote Text Char"/>
    <w:basedOn w:val="DefaultParagraphFont"/>
    <w:link w:val="FootnoteText"/>
    <w:uiPriority w:val="99"/>
    <w:rsid w:val="00504142"/>
    <w:rPr>
      <w:sz w:val="20"/>
      <w:szCs w:val="20"/>
    </w:rPr>
  </w:style>
  <w:style w:type="character" w:styleId="FootnoteReference">
    <w:name w:val="footnote reference"/>
    <w:basedOn w:val="DefaultParagraphFont"/>
    <w:uiPriority w:val="99"/>
    <w:semiHidden/>
    <w:unhideWhenUsed/>
    <w:rsid w:val="00504142"/>
    <w:rPr>
      <w:vertAlign w:val="superscript"/>
    </w:rPr>
  </w:style>
  <w:style w:type="paragraph" w:styleId="Caption">
    <w:name w:val="caption"/>
    <w:basedOn w:val="Normal"/>
    <w:next w:val="Normal"/>
    <w:uiPriority w:val="35"/>
    <w:unhideWhenUsed/>
    <w:qFormat/>
    <w:rsid w:val="00930166"/>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1D64DC"/>
    <w:rPr>
      <w:sz w:val="16"/>
      <w:szCs w:val="16"/>
    </w:rPr>
  </w:style>
  <w:style w:type="paragraph" w:styleId="CommentText">
    <w:name w:val="annotation text"/>
    <w:basedOn w:val="Normal"/>
    <w:link w:val="CommentTextChar"/>
    <w:uiPriority w:val="99"/>
    <w:semiHidden/>
    <w:unhideWhenUsed/>
    <w:rsid w:val="001D64DC"/>
    <w:rPr>
      <w:sz w:val="20"/>
      <w:szCs w:val="20"/>
    </w:rPr>
  </w:style>
  <w:style w:type="character" w:customStyle="1" w:styleId="CommentTextChar">
    <w:name w:val="Comment Text Char"/>
    <w:basedOn w:val="DefaultParagraphFont"/>
    <w:link w:val="CommentText"/>
    <w:uiPriority w:val="99"/>
    <w:semiHidden/>
    <w:rsid w:val="001D64DC"/>
    <w:rPr>
      <w:sz w:val="20"/>
      <w:szCs w:val="20"/>
    </w:rPr>
  </w:style>
  <w:style w:type="paragraph" w:styleId="CommentSubject">
    <w:name w:val="annotation subject"/>
    <w:basedOn w:val="CommentText"/>
    <w:next w:val="CommentText"/>
    <w:link w:val="CommentSubjectChar"/>
    <w:uiPriority w:val="99"/>
    <w:semiHidden/>
    <w:unhideWhenUsed/>
    <w:rsid w:val="001D64DC"/>
    <w:rPr>
      <w:b/>
      <w:bCs/>
    </w:rPr>
  </w:style>
  <w:style w:type="character" w:customStyle="1" w:styleId="CommentSubjectChar">
    <w:name w:val="Comment Subject Char"/>
    <w:basedOn w:val="CommentTextChar"/>
    <w:link w:val="CommentSubject"/>
    <w:uiPriority w:val="99"/>
    <w:semiHidden/>
    <w:rsid w:val="001D64DC"/>
    <w:rPr>
      <w:b/>
      <w:bCs/>
      <w:sz w:val="20"/>
      <w:szCs w:val="20"/>
    </w:rPr>
  </w:style>
  <w:style w:type="paragraph" w:styleId="BalloonText">
    <w:name w:val="Balloon Text"/>
    <w:basedOn w:val="Normal"/>
    <w:link w:val="BalloonTextChar"/>
    <w:uiPriority w:val="99"/>
    <w:semiHidden/>
    <w:unhideWhenUsed/>
    <w:rsid w:val="001D64D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D64DC"/>
    <w:rPr>
      <w:rFonts w:ascii="Times New Roman" w:hAnsi="Times New Roman" w:cs="Times New Roman"/>
      <w:sz w:val="18"/>
      <w:szCs w:val="18"/>
    </w:rPr>
  </w:style>
  <w:style w:type="paragraph" w:styleId="Revision">
    <w:name w:val="Revision"/>
    <w:hidden/>
    <w:uiPriority w:val="99"/>
    <w:semiHidden/>
    <w:rsid w:val="008C6494"/>
  </w:style>
  <w:style w:type="paragraph" w:styleId="ListParagraph">
    <w:name w:val="List Paragraph"/>
    <w:basedOn w:val="Normal"/>
    <w:uiPriority w:val="34"/>
    <w:qFormat/>
    <w:rsid w:val="008D0BA3"/>
    <w:pPr>
      <w:ind w:left="720"/>
      <w:contextualSpacing/>
    </w:pPr>
  </w:style>
  <w:style w:type="character" w:styleId="PlaceholderText">
    <w:name w:val="Placeholder Text"/>
    <w:basedOn w:val="DefaultParagraphFont"/>
    <w:uiPriority w:val="99"/>
    <w:semiHidden/>
    <w:rsid w:val="006838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890566">
      <w:bodyDiv w:val="1"/>
      <w:marLeft w:val="0"/>
      <w:marRight w:val="0"/>
      <w:marTop w:val="0"/>
      <w:marBottom w:val="0"/>
      <w:divBdr>
        <w:top w:val="none" w:sz="0" w:space="0" w:color="auto"/>
        <w:left w:val="none" w:sz="0" w:space="0" w:color="auto"/>
        <w:bottom w:val="none" w:sz="0" w:space="0" w:color="auto"/>
        <w:right w:val="none" w:sz="0" w:space="0" w:color="auto"/>
      </w:divBdr>
    </w:div>
    <w:div w:id="932930087">
      <w:bodyDiv w:val="1"/>
      <w:marLeft w:val="0"/>
      <w:marRight w:val="0"/>
      <w:marTop w:val="0"/>
      <w:marBottom w:val="0"/>
      <w:divBdr>
        <w:top w:val="none" w:sz="0" w:space="0" w:color="auto"/>
        <w:left w:val="none" w:sz="0" w:space="0" w:color="auto"/>
        <w:bottom w:val="none" w:sz="0" w:space="0" w:color="auto"/>
        <w:right w:val="none" w:sz="0" w:space="0" w:color="auto"/>
      </w:divBdr>
    </w:div>
    <w:div w:id="1551652187">
      <w:bodyDiv w:val="1"/>
      <w:marLeft w:val="0"/>
      <w:marRight w:val="0"/>
      <w:marTop w:val="0"/>
      <w:marBottom w:val="0"/>
      <w:divBdr>
        <w:top w:val="none" w:sz="0" w:space="0" w:color="auto"/>
        <w:left w:val="none" w:sz="0" w:space="0" w:color="auto"/>
        <w:bottom w:val="none" w:sz="0" w:space="0" w:color="auto"/>
        <w:right w:val="none" w:sz="0" w:space="0" w:color="auto"/>
      </w:divBdr>
    </w:div>
    <w:div w:id="1600068143">
      <w:bodyDiv w:val="1"/>
      <w:marLeft w:val="0"/>
      <w:marRight w:val="0"/>
      <w:marTop w:val="0"/>
      <w:marBottom w:val="0"/>
      <w:divBdr>
        <w:top w:val="none" w:sz="0" w:space="0" w:color="auto"/>
        <w:left w:val="none" w:sz="0" w:space="0" w:color="auto"/>
        <w:bottom w:val="none" w:sz="0" w:space="0" w:color="auto"/>
        <w:right w:val="none" w:sz="0" w:space="0" w:color="auto"/>
      </w:divBdr>
    </w:div>
    <w:div w:id="176711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E8BD1-8424-454B-8B88-22E1313BF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10</Pages>
  <Words>3406</Words>
  <Characters>19420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 Tanneberg</dc:creator>
  <cp:keywords/>
  <dc:description/>
  <cp:lastModifiedBy>Dag Tanneberg</cp:lastModifiedBy>
  <cp:revision>18</cp:revision>
  <cp:lastPrinted>2019-08-14T09:28:00Z</cp:lastPrinted>
  <dcterms:created xsi:type="dcterms:W3CDTF">2019-07-18T09:06:00Z</dcterms:created>
  <dcterms:modified xsi:type="dcterms:W3CDTF">2019-08-16T12:17:00Z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zotero-version="5.0.73"&gt;&lt;session id="Ex1VDQ2w"/&gt;&lt;style id="http://www.zotero.org/styles/chicago-author-date" locale="de-DE" hasBibliography="1" bibliographyStyleHasBeenSet="0"/&gt;&lt;prefs&gt;&lt;pref name="fieldType" value="Field"/&gt;&lt;/prefs&gt;&lt;/</vt:lpwstr>
  </property>
  <property fmtid="{D5CDD505-2E9C-101B-9397-08002B2CF9AE}" pid="3" name="ZOTERO_PREF_2">
    <vt:lpwstr>data&gt;</vt:lpwstr>
  </property>
</Properties>
</file>