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Replication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Dag</w:t>
      </w:r>
      <w:r>
        <w:t xml:space="preserve"> </w:t>
      </w:r>
      <w:r>
        <w:t xml:space="preserve">Tanneberg</w:t>
      </w:r>
    </w:p>
    <w:p>
      <w:pPr>
        <w:pStyle w:val="Date"/>
      </w:pPr>
      <w:r>
        <w:t xml:space="preserve">1</w:t>
      </w:r>
      <w:r>
        <w:t xml:space="preserve"> </w:t>
      </w:r>
      <w:r>
        <w:t xml:space="preserve">April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Tillman argues that pre-electoral coalition increase the identifiability of possible governments and thereby augment electoral decisiveness. In effect, turnout should increase whenever pre-electoral coalitions form. To support his claim, Tillman reports fixed-effects panel regressions which predict turnout from various specifications of the existence and strength of pre-electoral coalitions. In the following, I reanalyze his contribution from several angles. In doing so, I concentrate on Tillman’s primary predictors: the presence of a pre-electoral coalition and the voting percentage a pre-electoral coalition achieved. My brief assessment exposes major flaws in Tillman’s modeling strategy.</w:t>
      </w:r>
    </w:p>
    <w:p>
      <w:pPr>
        <w:pStyle w:val="Heading2"/>
      </w:pPr>
      <w:bookmarkStart w:id="22" w:name="can-the-data-support-any-causal-effect-at-all"/>
      <w:bookmarkEnd w:id="22"/>
      <w:r>
        <w:t xml:space="preserve">Can the data support any causal effect at all?</w:t>
      </w:r>
    </w:p>
    <w:p>
      <w:pPr>
        <w:pStyle w:val="FirstParagraph"/>
      </w:pPr>
      <w:r>
        <w:t xml:space="preserve">Generally speaking, fixed-effects panel regression models estimate the causal effect of some treatment by comparing the outcome on the same observation unit at different points in time. Consequently, a certain amount of (co-)variation within the units is required to estimate any causal effect. The figure below shows how within-differences in turnout and PECs align for every country in the data, and it gives reason to doubt Tillman’s analysis.</w:t>
      </w:r>
    </w:p>
    <w:p>
      <w:pPr>
        <w:pStyle w:val="Figure"/>
      </w:pPr>
      <w:r>
        <w:drawing>
          <wp:inline>
            <wp:extent cx="5334000" cy="355550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ag/github/pecs/out/scatter_VarianceDecomposition_TreatmentVsOutcom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The correlation between turnout and PECs varies substantially across countries,</w:t>
      </w:r>
      <w:r>
        <w:t xml:space="preserve"> </w:t>
      </w:r>
      <w:r>
        <w:t xml:space="preserve">ranging from indirect (e.g. Italy and New Zealand) to null (e.g. Denmark and</w:t>
      </w:r>
      <w:r>
        <w:t xml:space="preserve"> </w:t>
      </w:r>
      <w:r>
        <w:t xml:space="preserve">Japan) to direct (e.g., Germany and Greece). It should thus be questioned how</w:t>
      </w:r>
      <w:r>
        <w:t xml:space="preserve"> </w:t>
      </w:r>
      <w:r>
        <w:t xml:space="preserve">representative of the data Tillman’s reported mean effect is.</w:t>
      </w:r>
    </w:p>
    <w:p>
      <w:pPr>
        <w:pStyle w:val="Compact"/>
        <w:numPr>
          <w:numId w:val="1001"/>
          <w:ilvl w:val="0"/>
        </w:numPr>
      </w:pPr>
      <w:r>
        <w:t xml:space="preserve">On many occasions the correlation depends on outliers. For instance, the figure</w:t>
      </w:r>
      <w:r>
        <w:t xml:space="preserve"> </w:t>
      </w:r>
      <w:r>
        <w:t xml:space="preserve">implies a direct association between the formation of PECs and turnout in the</w:t>
      </w:r>
      <w:r>
        <w:t xml:space="preserve"> </w:t>
      </w:r>
      <w:r>
        <w:t xml:space="preserve">UK. However, the implication turns entirely on the 1983 and 1987 elections.</w:t>
      </w:r>
      <w:r>
        <w:t xml:space="preserve"> </w:t>
      </w:r>
      <w:r>
        <w:t xml:space="preserve">Likewise, a strong association between turnout and the result for PECs is</w:t>
      </w:r>
      <w:r>
        <w:t xml:space="preserve"> </w:t>
      </w:r>
      <w:r>
        <w:t xml:space="preserve">implied for Portugal. Again, the implication depends entirely on just two</w:t>
      </w:r>
      <w:r>
        <w:t xml:space="preserve"> </w:t>
      </w:r>
      <w:r>
        <w:t xml:space="preserve">elections: 1979 and 1980.</w:t>
      </w:r>
    </w:p>
    <w:p>
      <w:pPr>
        <w:pStyle w:val="Compact"/>
        <w:numPr>
          <w:numId w:val="1001"/>
          <w:ilvl w:val="0"/>
        </w:numPr>
      </w:pPr>
      <w:r>
        <w:t xml:space="preserve">Not all countries contribute equally Tillman’s results. Frist, pre-electoral</w:t>
      </w:r>
      <w:r>
        <w:t xml:space="preserve"> </w:t>
      </w:r>
      <w:r>
        <w:t xml:space="preserve">coalitions formed in every French and Israelian election. In other words, the</w:t>
      </w:r>
      <w:r>
        <w:t xml:space="preserve"> </w:t>
      </w:r>
      <w:r>
        <w:t xml:space="preserve">treatment is constant and these countries drop out of the analysis. Moreover,</w:t>
      </w:r>
      <w:r>
        <w:t xml:space="preserve"> </w:t>
      </w:r>
      <w:r>
        <w:t xml:space="preserve">the association between treatment and response is weak or non-existent in</w:t>
      </w:r>
      <w:r>
        <w:t xml:space="preserve"> </w:t>
      </w:r>
      <w:r>
        <w:t xml:space="preserve">almost half of all countries. Hence, Tillman’s results may be driven by strong</w:t>
      </w:r>
      <w:r>
        <w:t xml:space="preserve"> </w:t>
      </w:r>
      <w:r>
        <w:t xml:space="preserve">positive outliers such as Greece respectively Portugal. Jackknife resampling</w:t>
      </w:r>
      <w:r>
        <w:t xml:space="preserve"> </w:t>
      </w:r>
      <w:r>
        <w:t xml:space="preserve">supports that impression, even though it does not invalidate Tillman’s</w:t>
      </w:r>
      <w:r>
        <w:t xml:space="preserve"> </w:t>
      </w:r>
      <w:r>
        <w:t xml:space="preserve">conclusions.</w:t>
      </w:r>
    </w:p>
    <w:p>
      <w:pPr>
        <w:pStyle w:val="Figure"/>
      </w:pPr>
      <w:r>
        <w:drawing>
          <wp:inline>
            <wp:extent cx="5334000" cy="355550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ag/github/pecs/out/pointrange_jackknife_treatment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97f05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c20335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Replication Results</dc:title>
  <dc:creator>Dag Tanneberg</dc:creator>
  <dcterms:created xsi:type="dcterms:W3CDTF">2019-04-01T08:21:20Z</dcterms:created>
  <dcterms:modified xsi:type="dcterms:W3CDTF">2019-04-01T08:21:20Z</dcterms:modified>
</cp:coreProperties>
</file>