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Dag</w:t>
      </w:r>
      <w:r>
        <w:t xml:space="preserve"> </w:t>
      </w:r>
      <w:r>
        <w:t xml:space="preserve">Tanneberg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Tillman argues that pre-electoral coalition increase the identifiability of possible governments and thereby augment electoral decisiveness. In effect, turnout should increase whenever pre-electoral coalitions form. To support his claim, Tillman reports fixed-effects panel regressions which predict turnout from various specifications of the existence and strength of pre-electoral coalitions. In the following, I reanalyze his contribution from several angles. In doing so, I concentrate on Tillman’s primary predictors: the presence of a pre-electoral coalition and the voting percentage a pre-electoral coalition achieved. My brief assessment exposes major flaws in Tillman’s modeling strategy.</w:t>
      </w:r>
    </w:p>
    <w:p>
      <w:pPr>
        <w:pStyle w:val="Heading2"/>
      </w:pPr>
      <w:bookmarkStart w:id="22" w:name="can-the-data-support-any-causal-effect-at-all"/>
      <w:bookmarkEnd w:id="22"/>
      <w:r>
        <w:t xml:space="preserve">Can the data support any causal effect at all?</w:t>
      </w:r>
    </w:p>
    <w:p>
      <w:pPr>
        <w:pStyle w:val="FirstParagraph"/>
      </w:pPr>
      <w:r>
        <w:t xml:space="preserve">Generally speaking, fixed-effects panel regression models estimate the causal effect of some treatment by comparing the outcome on the same observation unit at different points in time. Consequently, a certain amount of (co-)variation within the units is required to estimate any causal effect. The figure below shows how within-differences in turnout and PECs align for every country in the data, and it gives reason to doubt Tillman’s analysis.</w:t>
      </w:r>
    </w:p>
    <w:p>
      <w:pPr>
        <w:pStyle w:val="Figure"/>
      </w:pPr>
      <w:r>
        <w:drawing>
          <wp:inline>
            <wp:extent cx="5334000" cy="3555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g/github/pecs/out/scatter_VarianceDecomposition_TreatmentVsOutc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 correlation between turnout and PECs varies substantially across countries,</w:t>
      </w:r>
      <w:r>
        <w:t xml:space="preserve"> </w:t>
      </w:r>
      <w:r>
        <w:t xml:space="preserve">ranging from indirect (e.g. Italy and New Zealand) to null (e.g. Denmark and</w:t>
      </w:r>
      <w:r>
        <w:t xml:space="preserve"> </w:t>
      </w:r>
      <w:r>
        <w:t xml:space="preserve">Japan) to direct (e.g., Germany and Greece). It should thus be questioned how</w:t>
      </w:r>
      <w:r>
        <w:t xml:space="preserve"> </w:t>
      </w:r>
      <w:r>
        <w:t xml:space="preserve">representative of the data Tillman’s reported mean effect is.</w:t>
      </w:r>
    </w:p>
    <w:p>
      <w:pPr>
        <w:pStyle w:val="Compact"/>
        <w:numPr>
          <w:numId w:val="1001"/>
          <w:ilvl w:val="0"/>
        </w:numPr>
      </w:pPr>
      <w:r>
        <w:t xml:space="preserve">On many occasions the correlation depends on outliers. For instance, the figure</w:t>
      </w:r>
      <w:r>
        <w:t xml:space="preserve"> </w:t>
      </w:r>
      <w:r>
        <w:t xml:space="preserve">implies a direct association between the formation of PECs and turnout in the</w:t>
      </w:r>
      <w:r>
        <w:t xml:space="preserve"> </w:t>
      </w:r>
      <w:r>
        <w:t xml:space="preserve">UK. However, the implication turns entirely on the 1983 and 1987 elections.</w:t>
      </w:r>
      <w:r>
        <w:t xml:space="preserve"> </w:t>
      </w:r>
      <w:r>
        <w:t xml:space="preserve">Likewise, a strong association between turnout and the result for PECs is</w:t>
      </w:r>
      <w:r>
        <w:t xml:space="preserve"> </w:t>
      </w:r>
      <w:r>
        <w:t xml:space="preserve">implied for Portugal. Again, the implication depends entirely on just two</w:t>
      </w:r>
      <w:r>
        <w:t xml:space="preserve"> </w:t>
      </w:r>
      <w:r>
        <w:t xml:space="preserve">elections: 1979 and 1980.</w:t>
      </w:r>
    </w:p>
    <w:p>
      <w:pPr>
        <w:pStyle w:val="Compact"/>
        <w:numPr>
          <w:numId w:val="1001"/>
          <w:ilvl w:val="0"/>
        </w:numPr>
      </w:pPr>
      <w:r>
        <w:t xml:space="preserve">Not all countries contribute equally Tillman’s results. Frist, pre-electoral</w:t>
      </w:r>
      <w:r>
        <w:t xml:space="preserve"> </w:t>
      </w:r>
      <w:r>
        <w:t xml:space="preserve">coalitions formed in every French and Israelian election. In other words, the</w:t>
      </w:r>
      <w:r>
        <w:t xml:space="preserve"> </w:t>
      </w:r>
      <w:r>
        <w:t xml:space="preserve">treatment is constant and these countries drop out of the analysis. Moreover,</w:t>
      </w:r>
      <w:r>
        <w:t xml:space="preserve"> </w:t>
      </w:r>
      <w:r>
        <w:t xml:space="preserve">the association between treatment and response is weak or non-existent in</w:t>
      </w:r>
      <w:r>
        <w:t xml:space="preserve"> </w:t>
      </w:r>
      <w:r>
        <w:t xml:space="preserve">almost half of all countries. Hence, Tillman’s results may be driven by strong</w:t>
      </w:r>
      <w:r>
        <w:t xml:space="preserve"> </w:t>
      </w:r>
      <w:r>
        <w:t xml:space="preserve">positive outliers such as Greece respectively Portugal. Jackknife resampling</w:t>
      </w:r>
      <w:r>
        <w:t xml:space="preserve"> </w:t>
      </w:r>
      <w:r>
        <w:t xml:space="preserve">supports that impression, even though it does not invalidate Tillman’s</w:t>
      </w:r>
      <w:r>
        <w:t xml:space="preserve"> </w:t>
      </w:r>
      <w:r>
        <w:t xml:space="preserve">conclusions.</w:t>
      </w:r>
    </w:p>
    <w:p>
      <w:pPr>
        <w:pStyle w:val="Figure"/>
      </w:pPr>
      <w:r>
        <w:drawing>
          <wp:inline>
            <wp:extent cx="5334000" cy="3555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g/github/pecs/out/pointrange_jackknife_treat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he-model-systematically-misfits-several-countries"/>
      <w:bookmarkEnd w:id="25"/>
      <w:r>
        <w:t xml:space="preserve">The model systematically misfits several countries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29-2019_ReplicationReport_files/figure-docx/calulateTrainingRm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Tillman’s analyses produce training RMSEs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of 0.042 and</w:t>
      </w:r>
      <w:r>
        <w:t xml:space="preserve"> </w:t>
      </w:r>
      <w:r>
        <w:t xml:space="preserve">0.042 for the existence of PECs respectively their</w:t>
      </w:r>
      <w:r>
        <w:t xml:space="preserve"> </w:t>
      </w:r>
      <w:r>
        <w:t xml:space="preserve">vote. Compared to the standard deviation of the demeaned dependent variable</w:t>
      </w:r>
      <w:r>
        <w:t xml:space="preserve"> </w:t>
      </w:r>
      <w:r>
        <w:t xml:space="preserve">(0.050) the average</w:t>
      </w:r>
      <w:r>
        <w:t xml:space="preserve"> </w:t>
      </w:r>
      <w:r>
        <w:t xml:space="preserve">amount of error is reduced by about fourteen per cent. Once again, a country</w:t>
      </w:r>
      <w:r>
        <w:t xml:space="preserve"> </w:t>
      </w:r>
      <w:r>
        <w:t xml:space="preserve">based analysis adds nucance. The figure below plots the RMSE for each country</w:t>
      </w:r>
      <w:r>
        <w:t xml:space="preserve"> </w:t>
      </w:r>
      <w:r>
        <w:t xml:space="preserve">and treamtent, horizontal lines denote the sample based equivalents. The graph</w:t>
      </w:r>
      <w:r>
        <w:t xml:space="preserve"> </w:t>
      </w:r>
      <w:r>
        <w:t xml:space="preserve">demonstrates:</w:t>
      </w:r>
    </w:p>
    <w:p>
      <w:pPr>
        <w:pStyle w:val="Compact"/>
        <w:numPr>
          <w:numId w:val="1002"/>
          <w:ilvl w:val="0"/>
        </w:numPr>
      </w:pPr>
      <w:r>
        <w:t xml:space="preserve">Model fit does not noticably depend on the predictor of theoretical interest.</w:t>
      </w:r>
    </w:p>
    <w:p>
      <w:pPr>
        <w:pStyle w:val="Compact"/>
        <w:numPr>
          <w:numId w:val="1002"/>
          <w:ilvl w:val="0"/>
        </w:numPr>
      </w:pPr>
      <w:r>
        <w:t xml:space="preserve">There is a group of countries (Italy to Sweden) which fits the model suspiciously well. We should</w:t>
      </w:r>
      <w:r>
        <w:t xml:space="preserve"> </w:t>
      </w:r>
      <w:r>
        <w:t xml:space="preserve">theorize what these countries have in common.</w:t>
      </w:r>
    </w:p>
    <w:p>
      <w:pPr>
        <w:pStyle w:val="Compact"/>
        <w:numPr>
          <w:numId w:val="1002"/>
          <w:ilvl w:val="0"/>
        </w:numPr>
      </w:pPr>
      <w:r>
        <w:t xml:space="preserve">There is a second group of countries which does not to fit the model at all. On the one hand,</w:t>
      </w:r>
      <w:r>
        <w:t xml:space="preserve"> </w:t>
      </w:r>
      <w:r>
        <w:t xml:space="preserve">misfit is expected for Israel and France because they do not inform the model (see above).</w:t>
      </w:r>
      <w:r>
        <w:t xml:space="preserve"> </w:t>
      </w:r>
      <w:r>
        <w:t xml:space="preserve">On the other hand, Portugal’s poor performance gives reason for concern because this country is</w:t>
      </w:r>
      <w:r>
        <w:t xml:space="preserve"> </w:t>
      </w:r>
      <w:r>
        <w:t xml:space="preserve">also highly influential.</w:t>
      </w:r>
    </w:p>
    <w:p>
      <w:pPr>
        <w:pStyle w:val="Heading2"/>
      </w:pPr>
      <w:bookmarkStart w:id="28" w:name="the-effect-of-pecs-is-spurious"/>
      <w:bookmarkEnd w:id="28"/>
      <w:r>
        <w:t xml:space="preserve">The effect of PECs is spurious</w:t>
      </w:r>
    </w:p>
    <w:p>
      <w:pPr>
        <w:pStyle w:val="FirstParagraph"/>
      </w:pPr>
      <w:r>
        <w:t xml:space="preserve">Fixed effects analyses should routinely safeguard against mistaking such trends</w:t>
      </w:r>
      <w:r>
        <w:t xml:space="preserve"> </w:t>
      </w:r>
      <w:r>
        <w:t xml:space="preserve">in the outcome for treatment effects. More precisely, turnout has been declining</w:t>
      </w:r>
      <w:r>
        <w:t xml:space="preserve"> </w:t>
      </w:r>
      <w:r>
        <w:t xml:space="preserve">for decades in practically every established democracy. Despite that well known</w:t>
      </w:r>
      <w:r>
        <w:t xml:space="preserve"> </w:t>
      </w:r>
      <w:r>
        <w:t xml:space="preserve">fact, Tillman does not include time dummies in his analysis. Yet, as can be seen</w:t>
      </w:r>
      <w:r>
        <w:t xml:space="preserve"> </w:t>
      </w:r>
      <w:r>
        <w:t xml:space="preserve">from Models 2 and 5 in Table 1 the association between PECs and turnout becomes</w:t>
      </w:r>
      <w:r>
        <w:t xml:space="preserve"> </w:t>
      </w:r>
      <w:r>
        <w:t xml:space="preserve">indistinguishable from zero once year fixed-effects are included.</w:t>
      </w:r>
    </w:p>
    <w:p>
      <w:pPr>
        <w:pStyle w:val="BodyText"/>
      </w:pPr>
      <w:r>
        <w:t xml:space="preserve">Moreover, treatment effects may vary over time. In other words, the return</w:t>
      </w:r>
      <w:r>
        <w:t xml:space="preserve"> </w:t>
      </w:r>
      <w:r>
        <w:t xml:space="preserve">from PECs to turnout may change over the observation period. Models 3 and 6 in the</w:t>
      </w:r>
      <w:r>
        <w:t xml:space="preserve"> </w:t>
      </w:r>
      <w:r>
        <w:t xml:space="preserve">table follow up on this possibility and interact the treatment with the year</w:t>
      </w:r>
      <w:r>
        <w:t xml:space="preserve"> </w:t>
      </w:r>
      <w:r>
        <w:t xml:space="preserve">fixed-effects. However, since the interaction terms are collectively</w:t>
      </w:r>
      <w:r>
        <w:t xml:space="preserve"> </w:t>
      </w:r>
      <w:r>
        <w:t xml:space="preserve">indistinguishable from 0, the statistical evidence does not support changing</w:t>
      </w:r>
      <w:r>
        <w:t xml:space="preserve"> </w:t>
      </w:r>
      <w:r>
        <w:t xml:space="preserve">returns from PECs.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Root Mean Square Error is defined as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y</m:t>
                </m:r>
              </m:e>
            </m:groupChr>
          </m:e>
          <m:sub>
            <m:r>
              <m:t>i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 Loosely speaking, it states the</w:t>
      </w:r>
      <w:r>
        <w:t xml:space="preserve"> </w:t>
      </w:r>
      <w:r>
        <w:t xml:space="preserve">average error of the model.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c58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887d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Results</dc:title>
  <dc:creator>Dag Tanneberg</dc:creator>
  <dcterms:created xsi:type="dcterms:W3CDTF">2019-04-02T11:14:48Z</dcterms:created>
  <dcterms:modified xsi:type="dcterms:W3CDTF">2019-04-02T11:14:48Z</dcterms:modified>
</cp:coreProperties>
</file>