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277D" w14:textId="333953C9" w:rsidR="0059349F" w:rsidRPr="00D0253E" w:rsidRDefault="0059349F">
      <w:pPr>
        <w:rPr>
          <w:rFonts w:ascii="Garamond" w:hAnsi="Garamond"/>
          <w:lang w:val="en-US"/>
        </w:rPr>
      </w:pPr>
      <w:r w:rsidRPr="00D0253E">
        <w:rPr>
          <w:rFonts w:ascii="Garamond" w:hAnsi="Garamond"/>
          <w:lang w:val="en-US"/>
        </w:rPr>
        <w:t>Tillman argues that pre-electoral coalition increase the identifiability of possible governments and thereby augment electoral decisiveness. In effect, turnout should increase whenever pre-electoral coalitions form. To support his claim, Tillman reports fixed-effects panel regressions which predict turnout from various specifications of the existence and strength of pre-electoral coalitions. In the following</w:t>
      </w:r>
      <w:r w:rsidR="00841F32">
        <w:rPr>
          <w:rFonts w:ascii="Garamond" w:hAnsi="Garamond"/>
          <w:lang w:val="en-US"/>
        </w:rPr>
        <w:t>,</w:t>
      </w:r>
      <w:r w:rsidRPr="00D0253E">
        <w:rPr>
          <w:rFonts w:ascii="Garamond" w:hAnsi="Garamond"/>
          <w:lang w:val="en-US"/>
        </w:rPr>
        <w:t xml:space="preserve"> I rea</w:t>
      </w:r>
      <w:r w:rsidR="00841F32">
        <w:rPr>
          <w:rFonts w:ascii="Garamond" w:hAnsi="Garamond"/>
          <w:lang w:val="en-US"/>
        </w:rPr>
        <w:t xml:space="preserve">nalyze </w:t>
      </w:r>
      <w:r w:rsidRPr="00D0253E">
        <w:rPr>
          <w:rFonts w:ascii="Garamond" w:hAnsi="Garamond"/>
          <w:lang w:val="en-US"/>
        </w:rPr>
        <w:t>his contribution from several angles.</w:t>
      </w:r>
      <w:r w:rsidR="00872034" w:rsidRPr="00D0253E">
        <w:rPr>
          <w:rFonts w:ascii="Garamond" w:hAnsi="Garamond"/>
          <w:lang w:val="en-US"/>
        </w:rPr>
        <w:t xml:space="preserve"> In doing so, I concentrate on Tillman’s primary predictors: the presence of a pre-electoral coalition</w:t>
      </w:r>
      <w:r w:rsidR="00841F32">
        <w:rPr>
          <w:rFonts w:ascii="Garamond" w:hAnsi="Garamond"/>
          <w:lang w:val="en-US"/>
        </w:rPr>
        <w:t xml:space="preserve"> and </w:t>
      </w:r>
      <w:r w:rsidR="00872034" w:rsidRPr="00D0253E">
        <w:rPr>
          <w:rFonts w:ascii="Garamond" w:hAnsi="Garamond"/>
          <w:lang w:val="en-US"/>
        </w:rPr>
        <w:t xml:space="preserve">the </w:t>
      </w:r>
      <w:r w:rsidR="00841F32">
        <w:rPr>
          <w:rFonts w:ascii="Garamond" w:hAnsi="Garamond"/>
          <w:lang w:val="en-US"/>
        </w:rPr>
        <w:t xml:space="preserve">voting percentage </w:t>
      </w:r>
      <w:r w:rsidR="00872034" w:rsidRPr="00D0253E">
        <w:rPr>
          <w:rFonts w:ascii="Garamond" w:hAnsi="Garamond"/>
          <w:lang w:val="en-US"/>
        </w:rPr>
        <w:t>a pre-electoral coal</w:t>
      </w:r>
      <w:r w:rsidR="00841F32">
        <w:rPr>
          <w:rFonts w:ascii="Garamond" w:hAnsi="Garamond"/>
          <w:lang w:val="en-US"/>
        </w:rPr>
        <w:t>i</w:t>
      </w:r>
      <w:r w:rsidR="00872034" w:rsidRPr="00D0253E">
        <w:rPr>
          <w:rFonts w:ascii="Garamond" w:hAnsi="Garamond"/>
          <w:lang w:val="en-US"/>
        </w:rPr>
        <w:t xml:space="preserve">tion achieved. My </w:t>
      </w:r>
      <w:r w:rsidR="00841F32">
        <w:rPr>
          <w:rFonts w:ascii="Garamond" w:hAnsi="Garamond"/>
          <w:lang w:val="en-US"/>
        </w:rPr>
        <w:t xml:space="preserve">brief </w:t>
      </w:r>
      <w:r w:rsidR="00872034" w:rsidRPr="00D0253E">
        <w:rPr>
          <w:rFonts w:ascii="Garamond" w:hAnsi="Garamond"/>
          <w:lang w:val="en-US"/>
        </w:rPr>
        <w:t>assessment exposes major flaws in Tillman’s modeling strategy.</w:t>
      </w:r>
    </w:p>
    <w:p w14:paraId="1A8F9ADD" w14:textId="77777777" w:rsidR="0059349F" w:rsidRPr="00D0253E" w:rsidRDefault="00A2203D" w:rsidP="0059349F">
      <w:pPr>
        <w:pStyle w:val="Heading1"/>
        <w:rPr>
          <w:rFonts w:ascii="Garamond" w:hAnsi="Garamond"/>
          <w:lang w:val="en-US"/>
        </w:rPr>
      </w:pPr>
      <w:r w:rsidRPr="00D0253E">
        <w:rPr>
          <w:rFonts w:ascii="Garamond" w:hAnsi="Garamond"/>
          <w:lang w:val="en-US"/>
        </w:rPr>
        <w:t>Can</w:t>
      </w:r>
      <w:r w:rsidR="00DA5927" w:rsidRPr="00D0253E">
        <w:rPr>
          <w:rFonts w:ascii="Garamond" w:hAnsi="Garamond"/>
          <w:lang w:val="en-US"/>
        </w:rPr>
        <w:t xml:space="preserve"> the data support any causal effect at all?</w:t>
      </w:r>
    </w:p>
    <w:p w14:paraId="1234C975" w14:textId="77777777" w:rsidR="0059349F" w:rsidRPr="00D0253E" w:rsidRDefault="00872034" w:rsidP="0059349F">
      <w:pPr>
        <w:rPr>
          <w:rFonts w:ascii="Garamond" w:hAnsi="Garamond"/>
          <w:lang w:val="en-US"/>
        </w:rPr>
      </w:pPr>
      <w:r w:rsidRPr="00D0253E">
        <w:rPr>
          <w:rFonts w:ascii="Garamond" w:hAnsi="Garamond"/>
          <w:lang w:val="en-US"/>
        </w:rPr>
        <w:t>Generally speaking, f</w:t>
      </w:r>
      <w:r w:rsidR="0059349F" w:rsidRPr="00D0253E">
        <w:rPr>
          <w:rFonts w:ascii="Garamond" w:hAnsi="Garamond"/>
          <w:lang w:val="en-US"/>
        </w:rPr>
        <w:t xml:space="preserve">ixed-effects panel regression </w:t>
      </w:r>
      <w:r w:rsidRPr="00D0253E">
        <w:rPr>
          <w:rFonts w:ascii="Garamond" w:hAnsi="Garamond"/>
          <w:lang w:val="en-US"/>
        </w:rPr>
        <w:t xml:space="preserve">models estimate the causal effect of some treatment by comparing the outcome on the same observation unit at different points in time. Consequently, a certain amount of </w:t>
      </w:r>
      <w:r w:rsidR="00DA5927" w:rsidRPr="00D0253E">
        <w:rPr>
          <w:rFonts w:ascii="Garamond" w:hAnsi="Garamond"/>
          <w:lang w:val="en-US"/>
        </w:rPr>
        <w:t>(co-)</w:t>
      </w:r>
      <w:r w:rsidRPr="00D0253E">
        <w:rPr>
          <w:rFonts w:ascii="Garamond" w:hAnsi="Garamond"/>
          <w:lang w:val="en-US"/>
        </w:rPr>
        <w:t xml:space="preserve">variation </w:t>
      </w:r>
      <w:r w:rsidRPr="00D0253E">
        <w:rPr>
          <w:rFonts w:ascii="Garamond" w:hAnsi="Garamond"/>
          <w:i/>
          <w:lang w:val="en-US"/>
        </w:rPr>
        <w:t>within</w:t>
      </w:r>
      <w:r w:rsidRPr="00D0253E">
        <w:rPr>
          <w:rFonts w:ascii="Garamond" w:hAnsi="Garamond"/>
          <w:lang w:val="en-US"/>
        </w:rPr>
        <w:t xml:space="preserve"> the units is required</w:t>
      </w:r>
      <w:r w:rsidR="00DA5927" w:rsidRPr="00D0253E">
        <w:rPr>
          <w:rFonts w:ascii="Garamond" w:hAnsi="Garamond"/>
          <w:lang w:val="en-US"/>
        </w:rPr>
        <w:t xml:space="preserve"> to estimate any causal effect</w:t>
      </w:r>
      <w:r w:rsidRPr="00D0253E">
        <w:rPr>
          <w:rFonts w:ascii="Garamond" w:hAnsi="Garamond"/>
          <w:lang w:val="en-US"/>
        </w:rPr>
        <w:t>.</w:t>
      </w:r>
      <w:r w:rsidR="00DA5927" w:rsidRPr="00D0253E">
        <w:rPr>
          <w:rFonts w:ascii="Garamond" w:hAnsi="Garamond"/>
          <w:lang w:val="en-US"/>
        </w:rPr>
        <w:t xml:space="preserve"> The figure below shows how within-differences in turnout and PECs align for every country in the data, and it gives reason to doubt Tillman’s analysis.</w:t>
      </w:r>
    </w:p>
    <w:p w14:paraId="0E2157B0" w14:textId="77777777" w:rsidR="00872034" w:rsidRPr="00D0253E" w:rsidRDefault="00872034" w:rsidP="0059349F">
      <w:pPr>
        <w:rPr>
          <w:rFonts w:ascii="Garamond" w:hAnsi="Garamond"/>
          <w:lang w:val="en-US"/>
        </w:rPr>
      </w:pPr>
    </w:p>
    <w:p w14:paraId="302DA7AC" w14:textId="77777777" w:rsidR="00DA5927" w:rsidRPr="00D0253E" w:rsidRDefault="00DA5927" w:rsidP="00DA5927">
      <w:pPr>
        <w:pStyle w:val="Caption"/>
        <w:keepNext/>
        <w:rPr>
          <w:rFonts w:ascii="Garamond" w:hAnsi="Garamond"/>
          <w:lang w:val="en-US"/>
        </w:rPr>
      </w:pPr>
      <w:r w:rsidRPr="00D0253E">
        <w:rPr>
          <w:rFonts w:ascii="Garamond" w:hAnsi="Garamond"/>
          <w:lang w:val="en-US"/>
        </w:rPr>
        <w:t xml:space="preserve">Figure </w:t>
      </w:r>
      <w:r w:rsidRPr="00D0253E">
        <w:rPr>
          <w:rFonts w:ascii="Garamond" w:hAnsi="Garamond"/>
        </w:rPr>
        <w:fldChar w:fldCharType="begin"/>
      </w:r>
      <w:r w:rsidRPr="00D0253E">
        <w:rPr>
          <w:rFonts w:ascii="Garamond" w:hAnsi="Garamond"/>
          <w:lang w:val="en-US"/>
        </w:rPr>
        <w:instrText xml:space="preserve"> SEQ Figure \* ARABIC </w:instrText>
      </w:r>
      <w:r w:rsidRPr="00D0253E">
        <w:rPr>
          <w:rFonts w:ascii="Garamond" w:hAnsi="Garamond"/>
        </w:rPr>
        <w:fldChar w:fldCharType="separate"/>
      </w:r>
      <w:r w:rsidR="00981377" w:rsidRPr="00D0253E">
        <w:rPr>
          <w:rFonts w:ascii="Garamond" w:hAnsi="Garamond"/>
          <w:noProof/>
          <w:lang w:val="en-US"/>
        </w:rPr>
        <w:t>1</w:t>
      </w:r>
      <w:r w:rsidRPr="00D0253E">
        <w:rPr>
          <w:rFonts w:ascii="Garamond" w:hAnsi="Garamond"/>
        </w:rPr>
        <w:fldChar w:fldCharType="end"/>
      </w:r>
      <w:r w:rsidRPr="00D0253E">
        <w:rPr>
          <w:rFonts w:ascii="Garamond" w:hAnsi="Garamond"/>
          <w:lang w:val="en-US"/>
        </w:rPr>
        <w:t xml:space="preserve"> Correlation of Within-Changes in Turnout and PECs</w:t>
      </w:r>
    </w:p>
    <w:p w14:paraId="628635D1" w14:textId="77777777" w:rsidR="00872034" w:rsidRPr="00D0253E" w:rsidRDefault="00DA5927" w:rsidP="0059349F">
      <w:pPr>
        <w:rPr>
          <w:rFonts w:ascii="Garamond" w:hAnsi="Garamond"/>
          <w:lang w:val="en-US"/>
        </w:rPr>
      </w:pPr>
      <w:r w:rsidRPr="00D0253E">
        <w:rPr>
          <w:rFonts w:ascii="Garamond" w:hAnsi="Garamond"/>
          <w:noProof/>
          <w:lang w:val="en-US"/>
        </w:rPr>
        <w:drawing>
          <wp:inline distT="0" distB="0" distL="0" distR="0" wp14:anchorId="2994098C" wp14:editId="2F3F11D5">
            <wp:extent cx="5756910" cy="5756910"/>
            <wp:effectExtent l="0" t="0" r="0" b="0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_VarianceDecomposition_TreatmentVsOutco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85F1" w14:textId="77777777" w:rsidR="00DA5927" w:rsidRPr="00D0253E" w:rsidRDefault="00DA5927" w:rsidP="00DA5927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D0253E">
        <w:rPr>
          <w:rFonts w:ascii="Garamond" w:hAnsi="Garamond"/>
          <w:lang w:val="en-US"/>
        </w:rPr>
        <w:lastRenderedPageBreak/>
        <w:t>The correlation between turnout and PECs varies substantially across countries, ranging from indirect (e.g. Italy and New Zealand) to null (e.g. Denmark and Japan) to direct (e.g., Germany and Greece).</w:t>
      </w:r>
      <w:r w:rsidR="00195031" w:rsidRPr="00D0253E">
        <w:rPr>
          <w:rFonts w:ascii="Garamond" w:hAnsi="Garamond"/>
          <w:lang w:val="en-US"/>
        </w:rPr>
        <w:t xml:space="preserve"> It should thus be questioned how representative of the data Tillman’s reported mean effect is.</w:t>
      </w:r>
    </w:p>
    <w:p w14:paraId="07DE416D" w14:textId="77777777" w:rsidR="00195031" w:rsidRPr="00D0253E" w:rsidRDefault="00195031" w:rsidP="00DA5927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D0253E">
        <w:rPr>
          <w:rFonts w:ascii="Garamond" w:hAnsi="Garamond"/>
          <w:lang w:val="en-US"/>
        </w:rPr>
        <w:t xml:space="preserve">On many occasions the correlation depends on outliers. For instance, the figure implies a direct association between the formation of PECs and turnout in the UK. However, the implication turns entirely on the 1983 and 1987 elections. Likewise, a strong association between turnout and the result for PECs </w:t>
      </w:r>
      <w:r w:rsidR="009A3215" w:rsidRPr="00D0253E">
        <w:rPr>
          <w:rFonts w:ascii="Garamond" w:hAnsi="Garamond"/>
          <w:lang w:val="en-US"/>
        </w:rPr>
        <w:t xml:space="preserve">is implied for Portugal. Again, the implication </w:t>
      </w:r>
      <w:r w:rsidRPr="00D0253E">
        <w:rPr>
          <w:rFonts w:ascii="Garamond" w:hAnsi="Garamond"/>
          <w:lang w:val="en-US"/>
        </w:rPr>
        <w:t xml:space="preserve">depends entirely </w:t>
      </w:r>
      <w:r w:rsidR="009A3215" w:rsidRPr="00D0253E">
        <w:rPr>
          <w:rFonts w:ascii="Garamond" w:hAnsi="Garamond"/>
          <w:lang w:val="en-US"/>
        </w:rPr>
        <w:t xml:space="preserve">on just two elections: </w:t>
      </w:r>
      <w:r w:rsidRPr="00D0253E">
        <w:rPr>
          <w:rFonts w:ascii="Garamond" w:hAnsi="Garamond"/>
          <w:lang w:val="en-US"/>
        </w:rPr>
        <w:t>1979 and 1980</w:t>
      </w:r>
      <w:r w:rsidR="009A3215" w:rsidRPr="00D0253E">
        <w:rPr>
          <w:rFonts w:ascii="Garamond" w:hAnsi="Garamond"/>
          <w:lang w:val="en-US"/>
        </w:rPr>
        <w:t>.</w:t>
      </w:r>
    </w:p>
    <w:p w14:paraId="7480A206" w14:textId="77777777" w:rsidR="009A3215" w:rsidRPr="00D0253E" w:rsidRDefault="009A3215" w:rsidP="00DA5927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D0253E">
        <w:rPr>
          <w:rFonts w:ascii="Garamond" w:hAnsi="Garamond"/>
          <w:lang w:val="en-US"/>
        </w:rPr>
        <w:t xml:space="preserve">Countries contribute unequally to Tillman’s </w:t>
      </w:r>
      <w:r w:rsidR="00A2203D" w:rsidRPr="00D0253E">
        <w:rPr>
          <w:rFonts w:ascii="Garamond" w:hAnsi="Garamond"/>
          <w:lang w:val="en-US"/>
        </w:rPr>
        <w:t>analysis</w:t>
      </w:r>
      <w:r w:rsidRPr="00D0253E">
        <w:rPr>
          <w:rFonts w:ascii="Garamond" w:hAnsi="Garamond"/>
          <w:lang w:val="en-US"/>
        </w:rPr>
        <w:t xml:space="preserve">. </w:t>
      </w:r>
      <w:r w:rsidR="00A2203D" w:rsidRPr="00D0253E">
        <w:rPr>
          <w:rFonts w:ascii="Garamond" w:hAnsi="Garamond"/>
          <w:lang w:val="en-US"/>
        </w:rPr>
        <w:t>P</w:t>
      </w:r>
      <w:r w:rsidRPr="00D0253E">
        <w:rPr>
          <w:rFonts w:ascii="Garamond" w:hAnsi="Garamond"/>
          <w:lang w:val="en-US"/>
        </w:rPr>
        <w:t xml:space="preserve">re-electoral coalitions formed in every French and </w:t>
      </w:r>
      <w:proofErr w:type="spellStart"/>
      <w:r w:rsidRPr="00D0253E">
        <w:rPr>
          <w:rFonts w:ascii="Garamond" w:hAnsi="Garamond"/>
          <w:lang w:val="en-US"/>
        </w:rPr>
        <w:t>Israelian</w:t>
      </w:r>
      <w:proofErr w:type="spellEnd"/>
      <w:r w:rsidRPr="00D0253E">
        <w:rPr>
          <w:rFonts w:ascii="Garamond" w:hAnsi="Garamond"/>
          <w:lang w:val="en-US"/>
        </w:rPr>
        <w:t xml:space="preserve"> election. Since the treatment does not vary, </w:t>
      </w:r>
      <w:r w:rsidR="00A2203D" w:rsidRPr="00D0253E">
        <w:rPr>
          <w:rFonts w:ascii="Garamond" w:hAnsi="Garamond"/>
          <w:lang w:val="en-US"/>
        </w:rPr>
        <w:t xml:space="preserve">these cases </w:t>
      </w:r>
      <w:r w:rsidRPr="00D0253E">
        <w:rPr>
          <w:rFonts w:ascii="Garamond" w:hAnsi="Garamond"/>
          <w:lang w:val="en-US"/>
        </w:rPr>
        <w:t xml:space="preserve">drop out. Moreover, almost half of all countries do not exhibit substantially strong associations for either treatment. </w:t>
      </w:r>
      <w:r w:rsidR="00A2203D" w:rsidRPr="00D0253E">
        <w:rPr>
          <w:rFonts w:ascii="Garamond" w:hAnsi="Garamond"/>
          <w:lang w:val="en-US"/>
        </w:rPr>
        <w:t>Hence</w:t>
      </w:r>
      <w:r w:rsidRPr="00D0253E">
        <w:rPr>
          <w:rFonts w:ascii="Garamond" w:hAnsi="Garamond"/>
          <w:lang w:val="en-US"/>
        </w:rPr>
        <w:t xml:space="preserve">, Tillman’s results </w:t>
      </w:r>
      <w:r w:rsidR="00A2203D" w:rsidRPr="00D0253E">
        <w:rPr>
          <w:rFonts w:ascii="Garamond" w:hAnsi="Garamond"/>
          <w:lang w:val="en-US"/>
        </w:rPr>
        <w:t xml:space="preserve">may </w:t>
      </w:r>
      <w:r w:rsidRPr="00D0253E">
        <w:rPr>
          <w:rFonts w:ascii="Garamond" w:hAnsi="Garamond"/>
          <w:lang w:val="en-US"/>
        </w:rPr>
        <w:t xml:space="preserve">be driven by strong positive outliers such as </w:t>
      </w:r>
      <w:r w:rsidR="00A2203D" w:rsidRPr="00D0253E">
        <w:rPr>
          <w:rFonts w:ascii="Garamond" w:hAnsi="Garamond"/>
          <w:lang w:val="en-US"/>
        </w:rPr>
        <w:t>Greece</w:t>
      </w:r>
      <w:r w:rsidRPr="00D0253E">
        <w:rPr>
          <w:rFonts w:ascii="Garamond" w:hAnsi="Garamond"/>
          <w:lang w:val="en-US"/>
        </w:rPr>
        <w:t xml:space="preserve"> respectively Portugal.</w:t>
      </w:r>
      <w:r w:rsidR="00981377" w:rsidRPr="00D0253E">
        <w:rPr>
          <w:rFonts w:ascii="Garamond" w:hAnsi="Garamond"/>
          <w:lang w:val="en-US"/>
        </w:rPr>
        <w:t xml:space="preserve"> </w:t>
      </w:r>
      <w:r w:rsidR="00A2203D" w:rsidRPr="00D0253E">
        <w:rPr>
          <w:rFonts w:ascii="Garamond" w:hAnsi="Garamond"/>
          <w:lang w:val="en-US"/>
        </w:rPr>
        <w:t>Jackknife resampling supports that impression (see Figure 2), but it does invalidate Tillman’s conclusions.</w:t>
      </w:r>
    </w:p>
    <w:p w14:paraId="05D4BF90" w14:textId="77777777" w:rsidR="00781A0A" w:rsidRPr="00D0253E" w:rsidRDefault="00781A0A" w:rsidP="00781A0A">
      <w:pPr>
        <w:rPr>
          <w:rFonts w:ascii="Garamond" w:hAnsi="Garamond"/>
          <w:lang w:val="en-US"/>
        </w:rPr>
      </w:pPr>
    </w:p>
    <w:p w14:paraId="4DC5A2B2" w14:textId="77777777" w:rsidR="00981377" w:rsidRPr="00D0253E" w:rsidRDefault="00981377" w:rsidP="00981377">
      <w:pPr>
        <w:pStyle w:val="Caption"/>
        <w:keepNext/>
        <w:rPr>
          <w:rFonts w:ascii="Garamond" w:hAnsi="Garamond"/>
          <w:lang w:val="en-US"/>
        </w:rPr>
      </w:pPr>
      <w:r w:rsidRPr="00D0253E">
        <w:rPr>
          <w:rFonts w:ascii="Garamond" w:hAnsi="Garamond"/>
          <w:lang w:val="en-US"/>
        </w:rPr>
        <w:t xml:space="preserve">Figure </w:t>
      </w:r>
      <w:r w:rsidRPr="00D0253E">
        <w:rPr>
          <w:rFonts w:ascii="Garamond" w:hAnsi="Garamond"/>
        </w:rPr>
        <w:fldChar w:fldCharType="begin"/>
      </w:r>
      <w:r w:rsidRPr="00D0253E">
        <w:rPr>
          <w:rFonts w:ascii="Garamond" w:hAnsi="Garamond"/>
          <w:lang w:val="en-US"/>
        </w:rPr>
        <w:instrText xml:space="preserve"> SEQ Figure \* ARABIC </w:instrText>
      </w:r>
      <w:r w:rsidRPr="00D0253E">
        <w:rPr>
          <w:rFonts w:ascii="Garamond" w:hAnsi="Garamond"/>
        </w:rPr>
        <w:fldChar w:fldCharType="separate"/>
      </w:r>
      <w:r w:rsidRPr="00D0253E">
        <w:rPr>
          <w:rFonts w:ascii="Garamond" w:hAnsi="Garamond"/>
          <w:noProof/>
          <w:lang w:val="en-US"/>
        </w:rPr>
        <w:t>2</w:t>
      </w:r>
      <w:r w:rsidRPr="00D0253E">
        <w:rPr>
          <w:rFonts w:ascii="Garamond" w:hAnsi="Garamond"/>
        </w:rPr>
        <w:fldChar w:fldCharType="end"/>
      </w:r>
      <w:r w:rsidRPr="00D0253E">
        <w:rPr>
          <w:rFonts w:ascii="Garamond" w:hAnsi="Garamond"/>
          <w:lang w:val="en-US"/>
        </w:rPr>
        <w:t xml:space="preserve"> Jackknifed Coefficients and Standard Errors</w:t>
      </w:r>
    </w:p>
    <w:p w14:paraId="31FF6706" w14:textId="096181A8" w:rsidR="00781A0A" w:rsidRPr="00D0253E" w:rsidRDefault="00421AA8" w:rsidP="00781A0A">
      <w:pPr>
        <w:rPr>
          <w:rFonts w:ascii="Garamond" w:hAnsi="Garamond"/>
          <w:lang w:val="en-US"/>
        </w:rPr>
      </w:pPr>
      <w:r w:rsidRPr="00D0253E">
        <w:rPr>
          <w:rFonts w:ascii="Garamond" w:hAnsi="Garamond"/>
          <w:noProof/>
          <w:lang w:val="en-US"/>
        </w:rPr>
        <w:drawing>
          <wp:inline distT="0" distB="0" distL="0" distR="0" wp14:anchorId="219BE748" wp14:editId="750472E5">
            <wp:extent cx="5756910" cy="5756910"/>
            <wp:effectExtent l="0" t="0" r="0" b="0"/>
            <wp:docPr id="3" name="Picture 3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intrange_jackknife_treatmen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0E0" w14:textId="04F55E10" w:rsidR="00D0253E" w:rsidRPr="00D0253E" w:rsidRDefault="00D0253E" w:rsidP="00D0253E">
      <w:pPr>
        <w:pStyle w:val="Heading1"/>
        <w:rPr>
          <w:rFonts w:ascii="Garamond" w:hAnsi="Garamond"/>
          <w:lang w:val="en-US"/>
        </w:rPr>
      </w:pPr>
      <w:r w:rsidRPr="00D0253E">
        <w:rPr>
          <w:rFonts w:ascii="Garamond" w:hAnsi="Garamond"/>
          <w:lang w:val="en-US"/>
        </w:rPr>
        <w:lastRenderedPageBreak/>
        <w:t xml:space="preserve">The effect of PECs is </w:t>
      </w:r>
      <w:r w:rsidR="00FB2915">
        <w:rPr>
          <w:rFonts w:ascii="Garamond" w:hAnsi="Garamond"/>
          <w:lang w:val="en-US"/>
        </w:rPr>
        <w:t>probably spurious</w:t>
      </w:r>
      <w:bookmarkStart w:id="0" w:name="_GoBack"/>
      <w:bookmarkEnd w:id="0"/>
    </w:p>
    <w:p w14:paraId="19619954" w14:textId="6AE525BE" w:rsidR="00D0253E" w:rsidRDefault="00712B7B" w:rsidP="00781A0A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Turnout has been declining for decades in practically every democracy worldwide. </w:t>
      </w:r>
      <w:r w:rsidR="00D0253E">
        <w:rPr>
          <w:rFonts w:ascii="Garamond" w:hAnsi="Garamond"/>
          <w:lang w:val="en-US"/>
        </w:rPr>
        <w:t xml:space="preserve">Fixed effects analyses should routinely safeguard against mistaking </w:t>
      </w:r>
      <w:r>
        <w:rPr>
          <w:rFonts w:ascii="Garamond" w:hAnsi="Garamond"/>
          <w:lang w:val="en-US"/>
        </w:rPr>
        <w:t xml:space="preserve">such </w:t>
      </w:r>
      <w:r w:rsidR="00D0253E">
        <w:rPr>
          <w:rFonts w:ascii="Garamond" w:hAnsi="Garamond"/>
          <w:lang w:val="en-US"/>
        </w:rPr>
        <w:t xml:space="preserve">trends in the outcome for treatment effects. The simplest possible way to do so is to include time dummies. As can be seen from Models 2 and 5 in Table 1 the association between PECs and turnout entirely disappears once year dummies have been included. Moreover, treatment effects may vary over time. However, since </w:t>
      </w:r>
      <w:r w:rsidR="00D0253E">
        <w:rPr>
          <w:rFonts w:ascii="Garamond" w:eastAsia="Times New Roman" w:hAnsi="Garamond" w:cs="Calibri"/>
          <w:lang w:val="en-US"/>
        </w:rPr>
        <w:t>i</w:t>
      </w:r>
      <w:r w:rsidR="00D0253E" w:rsidRPr="00D0253E">
        <w:rPr>
          <w:rFonts w:ascii="Garamond" w:eastAsia="Times New Roman" w:hAnsi="Garamond" w:cs="Calibri"/>
          <w:lang w:val="en-US"/>
        </w:rPr>
        <w:t>nteraction</w:t>
      </w:r>
      <w:r w:rsidR="00D0253E">
        <w:rPr>
          <w:rFonts w:ascii="Garamond" w:eastAsia="Times New Roman" w:hAnsi="Garamond" w:cs="Calibri"/>
          <w:lang w:val="en-US"/>
        </w:rPr>
        <w:t xml:space="preserve"> effects </w:t>
      </w:r>
      <w:r w:rsidR="00D0253E" w:rsidRPr="00D0253E">
        <w:rPr>
          <w:rFonts w:ascii="Garamond" w:eastAsia="Times New Roman" w:hAnsi="Garamond" w:cs="Calibri"/>
          <w:lang w:val="en-US"/>
        </w:rPr>
        <w:t>with year dummies are collectively indistinguishable from 0</w:t>
      </w:r>
      <w:r w:rsidR="0064461C">
        <w:rPr>
          <w:rFonts w:ascii="Garamond" w:eastAsia="Times New Roman" w:hAnsi="Garamond" w:cs="Calibri"/>
          <w:lang w:val="en-US"/>
        </w:rPr>
        <w:t xml:space="preserve"> (Model 3 and 6)</w:t>
      </w:r>
      <w:r>
        <w:rPr>
          <w:rFonts w:ascii="Garamond" w:eastAsia="Times New Roman" w:hAnsi="Garamond" w:cs="Calibri"/>
          <w:lang w:val="en-US"/>
        </w:rPr>
        <w:t xml:space="preserve">, the </w:t>
      </w:r>
      <w:r w:rsidR="00D0253E" w:rsidRPr="00D0253E">
        <w:rPr>
          <w:rFonts w:ascii="Garamond" w:eastAsia="Times New Roman" w:hAnsi="Garamond" w:cs="Calibri"/>
          <w:lang w:val="en-US"/>
        </w:rPr>
        <w:t>statistical evidence does not support changing returns from PECs.</w:t>
      </w:r>
      <w:r w:rsidR="0064461C">
        <w:rPr>
          <w:rStyle w:val="FootnoteReference"/>
          <w:rFonts w:ascii="Garamond" w:eastAsia="Times New Roman" w:hAnsi="Garamond" w:cs="Calibri"/>
          <w:lang w:val="en-US"/>
        </w:rPr>
        <w:footnoteReference w:id="1"/>
      </w:r>
    </w:p>
    <w:p w14:paraId="340BBCE7" w14:textId="77777777" w:rsidR="00D0253E" w:rsidRPr="00D0253E" w:rsidRDefault="00D0253E" w:rsidP="00781A0A">
      <w:pPr>
        <w:rPr>
          <w:rFonts w:ascii="Garamond" w:hAnsi="Garamond"/>
          <w:lang w:val="en-US"/>
        </w:rPr>
      </w:pPr>
    </w:p>
    <w:p w14:paraId="7CE36C33" w14:textId="18B2445E" w:rsidR="00D0253E" w:rsidRPr="00D0253E" w:rsidRDefault="00D0253E" w:rsidP="00D0253E">
      <w:pPr>
        <w:pStyle w:val="Caption"/>
        <w:keepNext/>
        <w:rPr>
          <w:lang w:val="en-US"/>
        </w:rPr>
      </w:pPr>
      <w:r w:rsidRPr="00D0253E">
        <w:rPr>
          <w:lang w:val="en-US"/>
        </w:rPr>
        <w:t xml:space="preserve">Table </w:t>
      </w:r>
      <w:r>
        <w:fldChar w:fldCharType="begin"/>
      </w:r>
      <w:r w:rsidRPr="00D0253E">
        <w:rPr>
          <w:lang w:val="en-US"/>
        </w:rPr>
        <w:instrText xml:space="preserve"> SEQ Table \* ARABIC </w:instrText>
      </w:r>
      <w:r>
        <w:fldChar w:fldCharType="separate"/>
      </w:r>
      <w:r w:rsidRPr="00D0253E">
        <w:rPr>
          <w:noProof/>
          <w:lang w:val="en-US"/>
        </w:rPr>
        <w:t>1</w:t>
      </w:r>
      <w:r>
        <w:fldChar w:fldCharType="end"/>
      </w:r>
      <w:r w:rsidRPr="00D0253E">
        <w:rPr>
          <w:lang w:val="en-US"/>
        </w:rPr>
        <w:t xml:space="preserve"> Fixed-effects regression including time trends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209"/>
        <w:gridCol w:w="1209"/>
        <w:gridCol w:w="1208"/>
        <w:gridCol w:w="1208"/>
        <w:gridCol w:w="1208"/>
        <w:gridCol w:w="1223"/>
      </w:tblGrid>
      <w:tr w:rsidR="00D0253E" w:rsidRPr="00D0253E" w14:paraId="2515C54B" w14:textId="77777777" w:rsidTr="00712B7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8D127C4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  <w:lang w:val="en-US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AEF301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proofErr w:type="spellStart"/>
            <w:r w:rsidRPr="00B209C8">
              <w:rPr>
                <w:rFonts w:ascii="Garamond" w:eastAsia="Times New Roman" w:hAnsi="Garamond" w:cs="Calibri"/>
                <w:i/>
                <w:iCs/>
              </w:rPr>
              <w:t>Dependent</w:t>
            </w:r>
            <w:proofErr w:type="spellEnd"/>
            <w:r w:rsidRPr="00B209C8">
              <w:rPr>
                <w:rFonts w:ascii="Garamond" w:eastAsia="Times New Roman" w:hAnsi="Garamond" w:cs="Calibri"/>
                <w:i/>
                <w:iCs/>
              </w:rPr>
              <w:t xml:space="preserve"> variable:</w:t>
            </w:r>
            <w:r w:rsidRPr="00D0253E">
              <w:rPr>
                <w:rFonts w:ascii="Garamond" w:eastAsia="Times New Roman" w:hAnsi="Garamond" w:cs="Calibri"/>
                <w:i/>
                <w:iCs/>
              </w:rPr>
              <w:t xml:space="preserve"> </w:t>
            </w:r>
            <w:proofErr w:type="spellStart"/>
            <w:r w:rsidRPr="00D0253E">
              <w:rPr>
                <w:rFonts w:ascii="Garamond" w:eastAsia="Times New Roman" w:hAnsi="Garamond" w:cs="Calibri"/>
                <w:i/>
                <w:iCs/>
              </w:rPr>
              <w:t>Turnout</w:t>
            </w:r>
            <w:proofErr w:type="spellEnd"/>
          </w:p>
        </w:tc>
      </w:tr>
      <w:tr w:rsidR="00D0253E" w:rsidRPr="00D0253E" w14:paraId="6E213096" w14:textId="77777777" w:rsidTr="00C57CC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F3E924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E7EAB4D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(1)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C7E65F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81A890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D07924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683AB9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45AE57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(6)</w:t>
            </w:r>
          </w:p>
        </w:tc>
      </w:tr>
      <w:tr w:rsidR="00D0253E" w:rsidRPr="00D0253E" w14:paraId="7207BC29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1D318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r w:rsidRPr="00D0253E">
              <w:rPr>
                <w:rFonts w:ascii="Garamond" w:eastAsia="Times New Roman" w:hAnsi="Garamond" w:cs="Calibri"/>
              </w:rPr>
              <w:t>PEC</w:t>
            </w:r>
          </w:p>
        </w:tc>
        <w:tc>
          <w:tcPr>
            <w:tcW w:w="0" w:type="auto"/>
            <w:vAlign w:val="center"/>
            <w:hideMark/>
          </w:tcPr>
          <w:p w14:paraId="001C0914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0.016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E94F11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14:paraId="42F13135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0.052</w:t>
            </w:r>
          </w:p>
        </w:tc>
        <w:tc>
          <w:tcPr>
            <w:tcW w:w="0" w:type="auto"/>
            <w:vAlign w:val="center"/>
            <w:hideMark/>
          </w:tcPr>
          <w:p w14:paraId="39F9952C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vAlign w:val="center"/>
            <w:hideMark/>
          </w:tcPr>
          <w:p w14:paraId="36DC876F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vAlign w:val="center"/>
            <w:hideMark/>
          </w:tcPr>
          <w:p w14:paraId="45448DFB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</w:tr>
      <w:tr w:rsidR="00D0253E" w:rsidRPr="00D0253E" w14:paraId="7844F371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52E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vAlign w:val="center"/>
            <w:hideMark/>
          </w:tcPr>
          <w:p w14:paraId="45DB31DF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(0.008)</w:t>
            </w:r>
          </w:p>
        </w:tc>
        <w:tc>
          <w:tcPr>
            <w:tcW w:w="0" w:type="auto"/>
            <w:vAlign w:val="center"/>
            <w:hideMark/>
          </w:tcPr>
          <w:p w14:paraId="05151C9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(0.008)</w:t>
            </w:r>
          </w:p>
        </w:tc>
        <w:tc>
          <w:tcPr>
            <w:tcW w:w="0" w:type="auto"/>
            <w:vAlign w:val="center"/>
            <w:hideMark/>
          </w:tcPr>
          <w:p w14:paraId="15F5B76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(0.036)</w:t>
            </w:r>
          </w:p>
        </w:tc>
        <w:tc>
          <w:tcPr>
            <w:tcW w:w="0" w:type="auto"/>
            <w:vAlign w:val="center"/>
            <w:hideMark/>
          </w:tcPr>
          <w:p w14:paraId="0E88A96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vAlign w:val="center"/>
            <w:hideMark/>
          </w:tcPr>
          <w:p w14:paraId="2BD7B1DB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vAlign w:val="center"/>
            <w:hideMark/>
          </w:tcPr>
          <w:p w14:paraId="0CCEE57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</w:tr>
      <w:tr w:rsidR="00841F32" w:rsidRPr="00D0253E" w14:paraId="11531A34" w14:textId="77777777" w:rsidTr="00841F32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83C3CA0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proofErr w:type="spellStart"/>
            <w:r w:rsidRPr="00D0253E">
              <w:rPr>
                <w:rFonts w:ascii="Garamond" w:eastAsia="Times New Roman" w:hAnsi="Garamond" w:cs="Calibri"/>
              </w:rPr>
              <w:t>Vote</w:t>
            </w:r>
            <w:proofErr w:type="spellEnd"/>
            <w:r w:rsidRPr="00D0253E">
              <w:rPr>
                <w:rFonts w:ascii="Garamond" w:eastAsia="Times New Roman" w:hAnsi="Garamond" w:cs="Calibri"/>
              </w:rPr>
              <w:t xml:space="preserve"> % PEC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9EE824C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E094B9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5A6B41A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47584321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0.038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2014223B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0.022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F71F1B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0.046</w:t>
            </w:r>
          </w:p>
        </w:tc>
      </w:tr>
      <w:tr w:rsidR="00841F32" w:rsidRPr="00D0253E" w14:paraId="223A07BE" w14:textId="77777777" w:rsidTr="00841F32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C21081F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5A414ED3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679CC0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5994ADB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7D90D6A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(0.017)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CE45D5F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(0.015)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7FDED26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(0.047)</w:t>
            </w:r>
          </w:p>
        </w:tc>
      </w:tr>
      <w:tr w:rsidR="00D0253E" w:rsidRPr="00D0253E" w14:paraId="2873524D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CD88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r w:rsidRPr="00D0253E">
              <w:rPr>
                <w:rFonts w:ascii="Garamond" w:eastAsia="Times New Roman" w:hAnsi="Garamond" w:cs="Calibri"/>
              </w:rPr>
              <w:t>ENEP</w:t>
            </w:r>
          </w:p>
        </w:tc>
        <w:tc>
          <w:tcPr>
            <w:tcW w:w="0" w:type="auto"/>
            <w:vAlign w:val="center"/>
            <w:hideMark/>
          </w:tcPr>
          <w:p w14:paraId="08A4952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-0.013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CFABC3B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2A13ECB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596CF4A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-0.013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3F3AD0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7640A12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-0.002</w:t>
            </w:r>
          </w:p>
        </w:tc>
      </w:tr>
      <w:tr w:rsidR="00D0253E" w:rsidRPr="00D0253E" w14:paraId="1DADAF1F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914A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vAlign w:val="center"/>
            <w:hideMark/>
          </w:tcPr>
          <w:p w14:paraId="220981B1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14:paraId="61C11A1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14:paraId="48121C4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14:paraId="79D38D4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14:paraId="43E0EE6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14:paraId="2726FC6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</w:tr>
      <w:tr w:rsidR="00841F32" w:rsidRPr="00D0253E" w14:paraId="758AABE9" w14:textId="77777777" w:rsidTr="00841F32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2B23F87A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proofErr w:type="spellStart"/>
            <w:r w:rsidRPr="00D0253E">
              <w:rPr>
                <w:rFonts w:ascii="Garamond" w:eastAsia="Times New Roman" w:hAnsi="Garamond" w:cs="Calibri"/>
              </w:rPr>
              <w:t>Disproportionality</w:t>
            </w:r>
            <w:proofErr w:type="spellEnd"/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E002D5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7D87EAF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0.0003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780C0C4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416FD3BA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0.002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7A1A6D1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2D737F5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0.002</w:t>
            </w:r>
          </w:p>
        </w:tc>
      </w:tr>
      <w:tr w:rsidR="00841F32" w:rsidRPr="00D0253E" w14:paraId="37BCA90C" w14:textId="77777777" w:rsidTr="00841F32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3F1F7CA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54BBDAD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45C68D5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D2947C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3B28855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5325212F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5276EF0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</w:tr>
      <w:tr w:rsidR="00D0253E" w:rsidRPr="00D0253E" w14:paraId="3BAF1539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1277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r w:rsidRPr="00D0253E">
              <w:rPr>
                <w:rFonts w:ascii="Garamond" w:eastAsia="Times New Roman" w:hAnsi="Garamond" w:cs="Calibri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400748A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0.049</w:t>
            </w:r>
          </w:p>
        </w:tc>
        <w:tc>
          <w:tcPr>
            <w:tcW w:w="0" w:type="auto"/>
            <w:vAlign w:val="center"/>
            <w:hideMark/>
          </w:tcPr>
          <w:p w14:paraId="727B1E4F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0.050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846AF43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0.069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ABE9334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0.063</w:t>
            </w:r>
          </w:p>
        </w:tc>
        <w:tc>
          <w:tcPr>
            <w:tcW w:w="0" w:type="auto"/>
            <w:vAlign w:val="center"/>
            <w:hideMark/>
          </w:tcPr>
          <w:p w14:paraId="0C22011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0.064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F90A8F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0.092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</w:p>
        </w:tc>
      </w:tr>
      <w:tr w:rsidR="00D0253E" w:rsidRPr="00D0253E" w14:paraId="0D493CAB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117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vAlign w:val="center"/>
            <w:hideMark/>
          </w:tcPr>
          <w:p w14:paraId="6A80A8F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(0.037)</w:t>
            </w:r>
          </w:p>
        </w:tc>
        <w:tc>
          <w:tcPr>
            <w:tcW w:w="0" w:type="auto"/>
            <w:vAlign w:val="center"/>
            <w:hideMark/>
          </w:tcPr>
          <w:p w14:paraId="64DF086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(0.029)</w:t>
            </w:r>
          </w:p>
        </w:tc>
        <w:tc>
          <w:tcPr>
            <w:tcW w:w="0" w:type="auto"/>
            <w:vAlign w:val="center"/>
            <w:hideMark/>
          </w:tcPr>
          <w:p w14:paraId="5B528793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(0.039)</w:t>
            </w:r>
          </w:p>
        </w:tc>
        <w:tc>
          <w:tcPr>
            <w:tcW w:w="0" w:type="auto"/>
            <w:vAlign w:val="center"/>
            <w:hideMark/>
          </w:tcPr>
          <w:p w14:paraId="0827EDAB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(0.039)</w:t>
            </w:r>
          </w:p>
        </w:tc>
        <w:tc>
          <w:tcPr>
            <w:tcW w:w="0" w:type="auto"/>
            <w:vAlign w:val="center"/>
            <w:hideMark/>
          </w:tcPr>
          <w:p w14:paraId="7ED575BC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(0.029)</w:t>
            </w:r>
          </w:p>
        </w:tc>
        <w:tc>
          <w:tcPr>
            <w:tcW w:w="0" w:type="auto"/>
            <w:vAlign w:val="center"/>
            <w:hideMark/>
          </w:tcPr>
          <w:p w14:paraId="5E12AB7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(0.030)</w:t>
            </w:r>
          </w:p>
        </w:tc>
      </w:tr>
      <w:tr w:rsidR="00841F32" w:rsidRPr="00D0253E" w14:paraId="5D1F4F1F" w14:textId="77777777" w:rsidTr="00841F32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4DA91B53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proofErr w:type="spellStart"/>
            <w:r w:rsidRPr="00D0253E">
              <w:rPr>
                <w:rFonts w:ascii="Garamond" w:eastAsia="Times New Roman" w:hAnsi="Garamond" w:cs="Calibri"/>
              </w:rPr>
              <w:t>Plurality</w:t>
            </w:r>
            <w:proofErr w:type="spellEnd"/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B8A29A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-0.042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2E6BBD3D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-0.006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7647860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0.011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0EDB594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-0.044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2A5BAC2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-0.007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9E7652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-0.024</w:t>
            </w:r>
          </w:p>
        </w:tc>
      </w:tr>
      <w:tr w:rsidR="00841F32" w:rsidRPr="00D0253E" w14:paraId="14839514" w14:textId="77777777" w:rsidTr="00841F32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52B3194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519C20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(0.042)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835300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(0.035)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B8154B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(0.055)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5B9AC85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(0.039)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5C049ABA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(0.033)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7B0CBB4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(0.052)</w:t>
            </w:r>
          </w:p>
        </w:tc>
      </w:tr>
      <w:tr w:rsidR="00D0253E" w:rsidRPr="00D0253E" w14:paraId="71789FD8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EE32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proofErr w:type="spellStart"/>
            <w:r w:rsidRPr="00D0253E">
              <w:rPr>
                <w:rFonts w:ascii="Garamond" w:eastAsia="Times New Roman" w:hAnsi="Garamond" w:cs="Calibri"/>
              </w:rPr>
              <w:t>Closeness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0A40B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4EF21675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385465E3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18D59813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5537C5E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57AF0C53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-0.001</w:t>
            </w:r>
          </w:p>
        </w:tc>
      </w:tr>
      <w:tr w:rsidR="00D0253E" w:rsidRPr="00D0253E" w14:paraId="5113DCAF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91D8D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vAlign w:val="center"/>
            <w:hideMark/>
          </w:tcPr>
          <w:p w14:paraId="7C0F7C44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14:paraId="791F38E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14:paraId="3DD808F5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14:paraId="23DC7AA5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14:paraId="5C59C50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14:paraId="7AE8D3D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(0.001)</w:t>
            </w:r>
          </w:p>
        </w:tc>
      </w:tr>
      <w:tr w:rsidR="00841F32" w:rsidRPr="00D0253E" w14:paraId="019D9857" w14:textId="77777777" w:rsidTr="00841F32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2060FE7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proofErr w:type="spellStart"/>
            <w:r w:rsidRPr="00D0253E">
              <w:rPr>
                <w:rFonts w:ascii="Garamond" w:eastAsia="Times New Roman" w:hAnsi="Garamond" w:cs="Calibri"/>
              </w:rPr>
              <w:t>Econ</w:t>
            </w:r>
            <w:proofErr w:type="spellEnd"/>
            <w:r w:rsidRPr="00D0253E">
              <w:rPr>
                <w:rFonts w:ascii="Garamond" w:eastAsia="Times New Roman" w:hAnsi="Garamond" w:cs="Calibri"/>
              </w:rPr>
              <w:t>. Growth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D9CBABA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0.002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40B4590D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1C90C4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-0.002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78E907B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ED9BDF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225A69E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-0.0002</w:t>
            </w:r>
          </w:p>
        </w:tc>
      </w:tr>
      <w:tr w:rsidR="00841F32" w:rsidRPr="00D0253E" w14:paraId="295F083A" w14:textId="77777777" w:rsidTr="00841F32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5E9F7C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4BD373A5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(0.001)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A086AE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(0.001)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7FFAF07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58E90F4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7FFBFA3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0BB37F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</w:tr>
      <w:tr w:rsidR="00D0253E" w:rsidRPr="00D0253E" w14:paraId="6A1D68D3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5876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r w:rsidRPr="00D0253E">
              <w:rPr>
                <w:rFonts w:ascii="Garamond" w:eastAsia="Times New Roman" w:hAnsi="Garamond" w:cs="Calibri"/>
              </w:rPr>
              <w:t>Log Income</w:t>
            </w:r>
          </w:p>
        </w:tc>
        <w:tc>
          <w:tcPr>
            <w:tcW w:w="0" w:type="auto"/>
            <w:vAlign w:val="center"/>
            <w:hideMark/>
          </w:tcPr>
          <w:p w14:paraId="3D0D7F7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-0.007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9E0039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0.006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1F6D8BA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0.006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5E530BC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-0.007</w:t>
            </w:r>
          </w:p>
        </w:tc>
        <w:tc>
          <w:tcPr>
            <w:tcW w:w="0" w:type="auto"/>
            <w:vAlign w:val="center"/>
            <w:hideMark/>
          </w:tcPr>
          <w:p w14:paraId="248B7BFB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0.007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620244D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0.006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</w:t>
            </w:r>
          </w:p>
        </w:tc>
      </w:tr>
      <w:tr w:rsidR="00D0253E" w:rsidRPr="00D0253E" w14:paraId="5669F68A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B521A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vAlign w:val="center"/>
            <w:hideMark/>
          </w:tcPr>
          <w:p w14:paraId="3599750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14:paraId="5B2C6A1C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14:paraId="51EF8DB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14:paraId="6E1C5B4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14:paraId="50E69CAA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14:paraId="3A1518EC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(0.003)</w:t>
            </w:r>
          </w:p>
        </w:tc>
      </w:tr>
      <w:tr w:rsidR="00841F32" w:rsidRPr="00D0253E" w14:paraId="19A8F313" w14:textId="77777777" w:rsidTr="00841F32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A24000C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proofErr w:type="spellStart"/>
            <w:r w:rsidRPr="00D0253E">
              <w:rPr>
                <w:rFonts w:ascii="Garamond" w:eastAsia="Times New Roman" w:hAnsi="Garamond" w:cs="Calibri"/>
              </w:rPr>
              <w:t>Disprop</w:t>
            </w:r>
            <w:proofErr w:type="spellEnd"/>
            <w:r w:rsidRPr="00D0253E">
              <w:rPr>
                <w:rFonts w:ascii="Garamond" w:eastAsia="Times New Roman" w:hAnsi="Garamond" w:cs="Calibri"/>
              </w:rPr>
              <w:t>. * PR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222A62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-0.007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564BE454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-0.008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883480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-0.010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F6F0265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-0.008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0BBABF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-0.009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AC1035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-0.011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</w:t>
            </w:r>
          </w:p>
        </w:tc>
      </w:tr>
      <w:tr w:rsidR="00841F32" w:rsidRPr="00D0253E" w14:paraId="327C39D1" w14:textId="77777777" w:rsidTr="00841F32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181EB2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702638E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5624061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254C805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2E343F3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3B26E4F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4F3EACE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(0.004)</w:t>
            </w:r>
          </w:p>
        </w:tc>
      </w:tr>
      <w:tr w:rsidR="00D0253E" w:rsidRPr="00D0253E" w14:paraId="69B15829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2D23A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r w:rsidRPr="00D0253E">
              <w:rPr>
                <w:rFonts w:ascii="Garamond" w:eastAsia="Times New Roman" w:hAnsi="Garamond" w:cs="Calibri"/>
              </w:rPr>
              <w:t xml:space="preserve">Plural. * </w:t>
            </w:r>
            <w:proofErr w:type="spellStart"/>
            <w:r w:rsidRPr="00D0253E">
              <w:rPr>
                <w:rFonts w:ascii="Garamond" w:eastAsia="Times New Roman" w:hAnsi="Garamond" w:cs="Calibri"/>
              </w:rPr>
              <w:t>Closen</w:t>
            </w:r>
            <w:proofErr w:type="spellEnd"/>
            <w:r w:rsidRPr="00D0253E">
              <w:rPr>
                <w:rFonts w:ascii="Garamond" w:eastAsia="Times New Roman" w:hAnsi="Garamond" w:cs="Calibr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07E9F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35A77BFA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754BF81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7E79752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148F46B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0.0004</w:t>
            </w:r>
          </w:p>
        </w:tc>
        <w:tc>
          <w:tcPr>
            <w:tcW w:w="0" w:type="auto"/>
            <w:vAlign w:val="center"/>
            <w:hideMark/>
          </w:tcPr>
          <w:p w14:paraId="57977D5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0.0004</w:t>
            </w:r>
          </w:p>
        </w:tc>
      </w:tr>
      <w:tr w:rsidR="00D0253E" w:rsidRPr="00D0253E" w14:paraId="10A053C4" w14:textId="77777777" w:rsidTr="00C57CC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3901501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982A7B8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4692E51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2227F30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076434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3FF0741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9C61F02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(0.003)</w:t>
            </w:r>
          </w:p>
        </w:tc>
      </w:tr>
      <w:tr w:rsidR="00D0253E" w:rsidRPr="00D0253E" w14:paraId="5D9BCF42" w14:textId="77777777" w:rsidTr="00C57CCD">
        <w:trPr>
          <w:tblCellSpacing w:w="15" w:type="dxa"/>
        </w:trPr>
        <w:tc>
          <w:tcPr>
            <w:tcW w:w="0" w:type="auto"/>
            <w:vAlign w:val="center"/>
          </w:tcPr>
          <w:p w14:paraId="71BA36FB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D0253E">
              <w:rPr>
                <w:rFonts w:ascii="Garamond" w:eastAsia="Times New Roman" w:hAnsi="Garamond" w:cs="Calibri"/>
              </w:rPr>
              <w:t xml:space="preserve">Year </w:t>
            </w:r>
            <w:proofErr w:type="spellStart"/>
            <w:r w:rsidRPr="00D0253E">
              <w:rPr>
                <w:rFonts w:ascii="Garamond" w:eastAsia="Times New Roman" w:hAnsi="Garamond" w:cs="Calibri"/>
              </w:rPr>
              <w:t>dummies</w:t>
            </w:r>
            <w:proofErr w:type="spellEnd"/>
            <w:r w:rsidRPr="00D0253E">
              <w:rPr>
                <w:rFonts w:ascii="Garamond" w:eastAsia="Times New Roman" w:hAnsi="Garamond" w:cs="Calibri"/>
              </w:rPr>
              <w:t>?</w:t>
            </w:r>
          </w:p>
        </w:tc>
        <w:tc>
          <w:tcPr>
            <w:tcW w:w="0" w:type="auto"/>
            <w:vAlign w:val="center"/>
          </w:tcPr>
          <w:p w14:paraId="0FDC1E8B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proofErr w:type="spellStart"/>
            <w:r w:rsidRPr="00D0253E">
              <w:rPr>
                <w:rFonts w:ascii="Garamond" w:eastAsia="Times New Roman" w:hAnsi="Garamond" w:cs="Calibri"/>
              </w:rPr>
              <w:t>No</w:t>
            </w:r>
            <w:proofErr w:type="spellEnd"/>
          </w:p>
        </w:tc>
        <w:tc>
          <w:tcPr>
            <w:tcW w:w="0" w:type="auto"/>
            <w:vAlign w:val="center"/>
          </w:tcPr>
          <w:p w14:paraId="0A8C6895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D0253E">
              <w:rPr>
                <w:rFonts w:ascii="Garamond" w:eastAsia="Times New Roman" w:hAnsi="Garamond" w:cs="Calibri"/>
              </w:rPr>
              <w:t>Yes</w:t>
            </w:r>
          </w:p>
        </w:tc>
        <w:tc>
          <w:tcPr>
            <w:tcW w:w="0" w:type="auto"/>
            <w:vAlign w:val="center"/>
          </w:tcPr>
          <w:p w14:paraId="4794C471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D0253E">
              <w:rPr>
                <w:rFonts w:ascii="Garamond" w:eastAsia="Times New Roman" w:hAnsi="Garamond" w:cs="Calibri"/>
              </w:rPr>
              <w:t>Yes</w:t>
            </w:r>
          </w:p>
        </w:tc>
        <w:tc>
          <w:tcPr>
            <w:tcW w:w="0" w:type="auto"/>
            <w:vAlign w:val="center"/>
          </w:tcPr>
          <w:p w14:paraId="3140F240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proofErr w:type="spellStart"/>
            <w:r w:rsidRPr="00D0253E">
              <w:rPr>
                <w:rFonts w:ascii="Garamond" w:eastAsia="Times New Roman" w:hAnsi="Garamond" w:cs="Calibri"/>
              </w:rPr>
              <w:t>No</w:t>
            </w:r>
            <w:proofErr w:type="spellEnd"/>
          </w:p>
        </w:tc>
        <w:tc>
          <w:tcPr>
            <w:tcW w:w="0" w:type="auto"/>
            <w:vAlign w:val="center"/>
          </w:tcPr>
          <w:p w14:paraId="239A5ADE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D0253E">
              <w:rPr>
                <w:rFonts w:ascii="Garamond" w:eastAsia="Times New Roman" w:hAnsi="Garamond" w:cs="Calibri"/>
              </w:rPr>
              <w:t>Yes</w:t>
            </w:r>
          </w:p>
        </w:tc>
        <w:tc>
          <w:tcPr>
            <w:tcW w:w="0" w:type="auto"/>
            <w:vAlign w:val="center"/>
          </w:tcPr>
          <w:p w14:paraId="739CB36A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D0253E">
              <w:rPr>
                <w:rFonts w:ascii="Garamond" w:eastAsia="Times New Roman" w:hAnsi="Garamond" w:cs="Calibri"/>
              </w:rPr>
              <w:t>Yes</w:t>
            </w:r>
          </w:p>
        </w:tc>
      </w:tr>
      <w:tr w:rsidR="00D0253E" w:rsidRPr="00D0253E" w14:paraId="2296CB1A" w14:textId="77777777" w:rsidTr="00C57CCD">
        <w:trPr>
          <w:tblCellSpacing w:w="15" w:type="dxa"/>
        </w:trPr>
        <w:tc>
          <w:tcPr>
            <w:tcW w:w="0" w:type="auto"/>
            <w:vAlign w:val="center"/>
          </w:tcPr>
          <w:p w14:paraId="3D6B0A97" w14:textId="5F7DEE7A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  <w:lang w:val="en-US"/>
              </w:rPr>
            </w:pPr>
            <w:r w:rsidRPr="00D0253E">
              <w:rPr>
                <w:rFonts w:ascii="Garamond" w:eastAsia="Times New Roman" w:hAnsi="Garamond" w:cs="Calibri"/>
                <w:lang w:val="en-US"/>
              </w:rPr>
              <w:t>Interaction w/</w:t>
            </w:r>
            <w:proofErr w:type="spellStart"/>
            <w:r w:rsidRPr="00D0253E">
              <w:rPr>
                <w:rFonts w:ascii="Garamond" w:eastAsia="Times New Roman" w:hAnsi="Garamond" w:cs="Calibri"/>
                <w:lang w:val="en-US"/>
              </w:rPr>
              <w:t>i</w:t>
            </w:r>
            <w:proofErr w:type="spellEnd"/>
            <w:r w:rsidRPr="00D0253E">
              <w:rPr>
                <w:rFonts w:ascii="Garamond" w:eastAsia="Times New Roman" w:hAnsi="Garamond" w:cs="Calibri"/>
                <w:lang w:val="en-US"/>
              </w:rPr>
              <w:br/>
              <w:t>year dummies?</w:t>
            </w:r>
          </w:p>
        </w:tc>
        <w:tc>
          <w:tcPr>
            <w:tcW w:w="0" w:type="auto"/>
            <w:vAlign w:val="center"/>
          </w:tcPr>
          <w:p w14:paraId="4E82271C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  <w:lang w:val="en-US"/>
              </w:rPr>
            </w:pPr>
            <w:r w:rsidRPr="00D0253E">
              <w:rPr>
                <w:rFonts w:ascii="Garamond" w:eastAsia="Times New Roman" w:hAnsi="Garamond" w:cs="Calibri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 w14:paraId="7223385B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  <w:lang w:val="en-US"/>
              </w:rPr>
            </w:pPr>
            <w:r w:rsidRPr="00D0253E">
              <w:rPr>
                <w:rFonts w:ascii="Garamond" w:eastAsia="Times New Roman" w:hAnsi="Garamond" w:cs="Calibri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 w14:paraId="4C35FD6F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  <w:lang w:val="en-US"/>
              </w:rPr>
            </w:pPr>
            <w:r w:rsidRPr="00D0253E">
              <w:rPr>
                <w:rFonts w:ascii="Garamond" w:eastAsia="Times New Roman" w:hAnsi="Garamond" w:cs="Calibri"/>
                <w:lang w:val="en-US"/>
              </w:rPr>
              <w:t>Yes</w:t>
            </w:r>
          </w:p>
        </w:tc>
        <w:tc>
          <w:tcPr>
            <w:tcW w:w="0" w:type="auto"/>
            <w:vAlign w:val="center"/>
          </w:tcPr>
          <w:p w14:paraId="4E486743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  <w:lang w:val="en-US"/>
              </w:rPr>
            </w:pPr>
            <w:r w:rsidRPr="00D0253E">
              <w:rPr>
                <w:rFonts w:ascii="Garamond" w:eastAsia="Times New Roman" w:hAnsi="Garamond" w:cs="Calibri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 w14:paraId="4AAE4A4F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  <w:lang w:val="en-US"/>
              </w:rPr>
            </w:pPr>
            <w:r w:rsidRPr="00D0253E">
              <w:rPr>
                <w:rFonts w:ascii="Garamond" w:eastAsia="Times New Roman" w:hAnsi="Garamond" w:cs="Calibri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 w14:paraId="1B6591CB" w14:textId="77777777" w:rsidR="00D0253E" w:rsidRPr="00D0253E" w:rsidRDefault="00D0253E" w:rsidP="00C57CCD">
            <w:pPr>
              <w:jc w:val="center"/>
              <w:rPr>
                <w:rFonts w:ascii="Garamond" w:eastAsia="Times New Roman" w:hAnsi="Garamond" w:cs="Calibri"/>
                <w:lang w:val="en-US"/>
              </w:rPr>
            </w:pPr>
            <w:r w:rsidRPr="00D0253E">
              <w:rPr>
                <w:rFonts w:ascii="Garamond" w:eastAsia="Times New Roman" w:hAnsi="Garamond" w:cs="Calibri"/>
                <w:lang w:val="en-US"/>
              </w:rPr>
              <w:t>Yes</w:t>
            </w:r>
          </w:p>
        </w:tc>
      </w:tr>
      <w:tr w:rsidR="00D0253E" w:rsidRPr="00D0253E" w14:paraId="6490D54D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5A52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proofErr w:type="spellStart"/>
            <w:r w:rsidRPr="00B209C8">
              <w:rPr>
                <w:rFonts w:ascii="Garamond" w:eastAsia="Times New Roman" w:hAnsi="Garamond" w:cs="Calibri"/>
              </w:rPr>
              <w:t>Observations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7C644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202E0DAD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21CF59B3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2AB0F62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61E1077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10E9633D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222</w:t>
            </w:r>
          </w:p>
        </w:tc>
      </w:tr>
      <w:tr w:rsidR="00D0253E" w:rsidRPr="00D0253E" w14:paraId="281C9AD1" w14:textId="77777777" w:rsidTr="00C57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1893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proofErr w:type="spellStart"/>
            <w:r w:rsidRPr="00B209C8">
              <w:rPr>
                <w:rFonts w:ascii="Garamond" w:eastAsia="Times New Roman" w:hAnsi="Garamond" w:cs="Calibri"/>
              </w:rPr>
              <w:t>Adjusted</w:t>
            </w:r>
            <w:proofErr w:type="spellEnd"/>
            <w:r w:rsidRPr="00B209C8">
              <w:rPr>
                <w:rFonts w:ascii="Garamond" w:eastAsia="Times New Roman" w:hAnsi="Garamond" w:cs="Calibri"/>
              </w:rPr>
              <w:t xml:space="preserve"> R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CEB63D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0.155</w:t>
            </w:r>
          </w:p>
        </w:tc>
        <w:tc>
          <w:tcPr>
            <w:tcW w:w="0" w:type="auto"/>
            <w:vAlign w:val="center"/>
            <w:hideMark/>
          </w:tcPr>
          <w:p w14:paraId="23321F2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0.485</w:t>
            </w:r>
          </w:p>
        </w:tc>
        <w:tc>
          <w:tcPr>
            <w:tcW w:w="0" w:type="auto"/>
            <w:vAlign w:val="center"/>
            <w:hideMark/>
          </w:tcPr>
          <w:p w14:paraId="54E1B83D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0.440</w:t>
            </w:r>
          </w:p>
        </w:tc>
        <w:tc>
          <w:tcPr>
            <w:tcW w:w="0" w:type="auto"/>
            <w:vAlign w:val="center"/>
            <w:hideMark/>
          </w:tcPr>
          <w:p w14:paraId="7265E84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0.170</w:t>
            </w:r>
          </w:p>
        </w:tc>
        <w:tc>
          <w:tcPr>
            <w:tcW w:w="0" w:type="auto"/>
            <w:vAlign w:val="center"/>
            <w:hideMark/>
          </w:tcPr>
          <w:p w14:paraId="4A8CF01E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0.502</w:t>
            </w:r>
          </w:p>
        </w:tc>
        <w:tc>
          <w:tcPr>
            <w:tcW w:w="0" w:type="auto"/>
            <w:vAlign w:val="center"/>
            <w:hideMark/>
          </w:tcPr>
          <w:p w14:paraId="1BE48059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0.481</w:t>
            </w:r>
          </w:p>
        </w:tc>
      </w:tr>
      <w:tr w:rsidR="00D0253E" w:rsidRPr="00D0253E" w14:paraId="509ADBCA" w14:textId="77777777" w:rsidTr="0064461C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C6C1E83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 xml:space="preserve">F </w:t>
            </w:r>
            <w:proofErr w:type="spellStart"/>
            <w:r w:rsidRPr="00B209C8">
              <w:rPr>
                <w:rFonts w:ascii="Garamond" w:eastAsia="Times New Roman" w:hAnsi="Garamond" w:cs="Calibri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ADB7896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6.940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  <w:r w:rsidRPr="00B209C8">
              <w:rPr>
                <w:rFonts w:ascii="Garamond" w:eastAsia="Times New Roman" w:hAnsi="Garamond" w:cs="Calibri"/>
              </w:rPr>
              <w:t> (</w:t>
            </w:r>
            <w:proofErr w:type="spellStart"/>
            <w:r w:rsidRPr="00B209C8">
              <w:rPr>
                <w:rFonts w:ascii="Garamond" w:eastAsia="Times New Roman" w:hAnsi="Garamond" w:cs="Calibri"/>
              </w:rPr>
              <w:t>df</w:t>
            </w:r>
            <w:proofErr w:type="spellEnd"/>
            <w:r w:rsidRPr="00B209C8">
              <w:rPr>
                <w:rFonts w:ascii="Garamond" w:eastAsia="Times New Roman" w:hAnsi="Garamond" w:cs="Calibri"/>
              </w:rPr>
              <w:t xml:space="preserve"> = 10; 197)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0ADC2AC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5.505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  <w:r w:rsidRPr="00B209C8">
              <w:rPr>
                <w:rFonts w:ascii="Garamond" w:eastAsia="Times New Roman" w:hAnsi="Garamond" w:cs="Calibri"/>
              </w:rPr>
              <w:t> (</w:t>
            </w:r>
            <w:proofErr w:type="spellStart"/>
            <w:r w:rsidRPr="00B209C8">
              <w:rPr>
                <w:rFonts w:ascii="Garamond" w:eastAsia="Times New Roman" w:hAnsi="Garamond" w:cs="Calibri"/>
              </w:rPr>
              <w:t>df</w:t>
            </w:r>
            <w:proofErr w:type="spellEnd"/>
            <w:r w:rsidRPr="00B209C8">
              <w:rPr>
                <w:rFonts w:ascii="Garamond" w:eastAsia="Times New Roman" w:hAnsi="Garamond" w:cs="Calibri"/>
              </w:rPr>
              <w:t xml:space="preserve"> = 51; 156)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5121275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3.238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  <w:r w:rsidRPr="00B209C8">
              <w:rPr>
                <w:rFonts w:ascii="Garamond" w:eastAsia="Times New Roman" w:hAnsi="Garamond" w:cs="Calibri"/>
              </w:rPr>
              <w:t> (</w:t>
            </w:r>
            <w:proofErr w:type="spellStart"/>
            <w:r w:rsidRPr="00B209C8">
              <w:rPr>
                <w:rFonts w:ascii="Garamond" w:eastAsia="Times New Roman" w:hAnsi="Garamond" w:cs="Calibri"/>
              </w:rPr>
              <w:t>df</w:t>
            </w:r>
            <w:proofErr w:type="spellEnd"/>
            <w:r w:rsidRPr="00B209C8">
              <w:rPr>
                <w:rFonts w:ascii="Garamond" w:eastAsia="Times New Roman" w:hAnsi="Garamond" w:cs="Calibri"/>
              </w:rPr>
              <w:t xml:space="preserve"> = 87; 120)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15AE167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7.338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  <w:r w:rsidRPr="00B209C8">
              <w:rPr>
                <w:rFonts w:ascii="Garamond" w:eastAsia="Times New Roman" w:hAnsi="Garamond" w:cs="Calibri"/>
              </w:rPr>
              <w:t> (</w:t>
            </w:r>
            <w:proofErr w:type="spellStart"/>
            <w:r w:rsidRPr="00B209C8">
              <w:rPr>
                <w:rFonts w:ascii="Garamond" w:eastAsia="Times New Roman" w:hAnsi="Garamond" w:cs="Calibri"/>
              </w:rPr>
              <w:t>df</w:t>
            </w:r>
            <w:proofErr w:type="spellEnd"/>
            <w:r w:rsidRPr="00B209C8">
              <w:rPr>
                <w:rFonts w:ascii="Garamond" w:eastAsia="Times New Roman" w:hAnsi="Garamond" w:cs="Calibri"/>
              </w:rPr>
              <w:t xml:space="preserve"> = 10; 193)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6861085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5.727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  <w:r w:rsidRPr="00B209C8">
              <w:rPr>
                <w:rFonts w:ascii="Garamond" w:eastAsia="Times New Roman" w:hAnsi="Garamond" w:cs="Calibri"/>
              </w:rPr>
              <w:t> (</w:t>
            </w:r>
            <w:proofErr w:type="spellStart"/>
            <w:r w:rsidRPr="00B209C8">
              <w:rPr>
                <w:rFonts w:ascii="Garamond" w:eastAsia="Times New Roman" w:hAnsi="Garamond" w:cs="Calibri"/>
              </w:rPr>
              <w:t>df</w:t>
            </w:r>
            <w:proofErr w:type="spellEnd"/>
            <w:r w:rsidRPr="00B209C8">
              <w:rPr>
                <w:rFonts w:ascii="Garamond" w:eastAsia="Times New Roman" w:hAnsi="Garamond" w:cs="Calibri"/>
              </w:rPr>
              <w:t xml:space="preserve"> = 51; 152)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034B1EF" w14:textId="77777777" w:rsidR="00D0253E" w:rsidRPr="00B209C8" w:rsidRDefault="00D0253E" w:rsidP="00C57CCD">
            <w:pPr>
              <w:jc w:val="center"/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</w:rPr>
              <w:t>3.478</w:t>
            </w:r>
            <w:r w:rsidRPr="00B209C8">
              <w:rPr>
                <w:rFonts w:ascii="Garamond" w:eastAsia="Times New Roman" w:hAnsi="Garamond" w:cs="Calibri"/>
                <w:vertAlign w:val="superscript"/>
              </w:rPr>
              <w:t>***</w:t>
            </w:r>
            <w:r w:rsidRPr="00B209C8">
              <w:rPr>
                <w:rFonts w:ascii="Garamond" w:eastAsia="Times New Roman" w:hAnsi="Garamond" w:cs="Calibri"/>
              </w:rPr>
              <w:t> (</w:t>
            </w:r>
            <w:proofErr w:type="spellStart"/>
            <w:r w:rsidRPr="00B209C8">
              <w:rPr>
                <w:rFonts w:ascii="Garamond" w:eastAsia="Times New Roman" w:hAnsi="Garamond" w:cs="Calibri"/>
              </w:rPr>
              <w:t>df</w:t>
            </w:r>
            <w:proofErr w:type="spellEnd"/>
            <w:r w:rsidRPr="00B209C8">
              <w:rPr>
                <w:rFonts w:ascii="Garamond" w:eastAsia="Times New Roman" w:hAnsi="Garamond" w:cs="Calibri"/>
              </w:rPr>
              <w:t xml:space="preserve"> = 90; 113)</w:t>
            </w:r>
          </w:p>
        </w:tc>
      </w:tr>
      <w:tr w:rsidR="00D0253E" w:rsidRPr="00D0253E" w14:paraId="3D5A1E64" w14:textId="77777777" w:rsidTr="00C57CCD">
        <w:trPr>
          <w:tblCellSpacing w:w="15" w:type="dxa"/>
        </w:trPr>
        <w:tc>
          <w:tcPr>
            <w:tcW w:w="0" w:type="auto"/>
            <w:hideMark/>
          </w:tcPr>
          <w:p w14:paraId="48EA567E" w14:textId="77777777" w:rsidR="00D0253E" w:rsidRPr="00B209C8" w:rsidRDefault="00D0253E" w:rsidP="00C57CCD">
            <w:pPr>
              <w:rPr>
                <w:rFonts w:ascii="Garamond" w:eastAsia="Times New Roman" w:hAnsi="Garamond" w:cs="Calibri"/>
              </w:rPr>
            </w:pPr>
            <w:r w:rsidRPr="00B209C8">
              <w:rPr>
                <w:rFonts w:ascii="Garamond" w:eastAsia="Times New Roman" w:hAnsi="Garamond" w:cs="Calibri"/>
                <w:i/>
                <w:iCs/>
              </w:rPr>
              <w:t>Note: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15A6DC32" w14:textId="25B8E594" w:rsidR="00D0253E" w:rsidRPr="00B209C8" w:rsidRDefault="00D0253E" w:rsidP="00D0253E">
            <w:pPr>
              <w:jc w:val="right"/>
              <w:rPr>
                <w:rFonts w:ascii="Garamond" w:eastAsia="Times New Roman" w:hAnsi="Garamond" w:cs="Calibri"/>
                <w:lang w:val="en-US"/>
              </w:rPr>
            </w:pPr>
            <w:r w:rsidRPr="00B209C8">
              <w:rPr>
                <w:rFonts w:ascii="Garamond" w:eastAsia="Times New Roman" w:hAnsi="Garamond" w:cs="Calibri"/>
                <w:vertAlign w:val="superscript"/>
                <w:lang w:val="en-US"/>
              </w:rPr>
              <w:t>*</w:t>
            </w:r>
            <w:r w:rsidRPr="00B209C8">
              <w:rPr>
                <w:rFonts w:ascii="Garamond" w:eastAsia="Times New Roman" w:hAnsi="Garamond" w:cs="Calibri"/>
                <w:lang w:val="en-US"/>
              </w:rPr>
              <w:t>p&lt;0.1; </w:t>
            </w:r>
            <w:r w:rsidRPr="00B209C8">
              <w:rPr>
                <w:rFonts w:ascii="Garamond" w:eastAsia="Times New Roman" w:hAnsi="Garamond" w:cs="Calibri"/>
                <w:vertAlign w:val="superscript"/>
                <w:lang w:val="en-US"/>
              </w:rPr>
              <w:t>**</w:t>
            </w:r>
            <w:r w:rsidRPr="00B209C8">
              <w:rPr>
                <w:rFonts w:ascii="Garamond" w:eastAsia="Times New Roman" w:hAnsi="Garamond" w:cs="Calibri"/>
                <w:lang w:val="en-US"/>
              </w:rPr>
              <w:t>p&lt;0.05; </w:t>
            </w:r>
            <w:r w:rsidRPr="00B209C8">
              <w:rPr>
                <w:rFonts w:ascii="Garamond" w:eastAsia="Times New Roman" w:hAnsi="Garamond" w:cs="Calibri"/>
                <w:vertAlign w:val="superscript"/>
                <w:lang w:val="en-US"/>
              </w:rPr>
              <w:t>***</w:t>
            </w:r>
            <w:r w:rsidRPr="00B209C8">
              <w:rPr>
                <w:rFonts w:ascii="Garamond" w:eastAsia="Times New Roman" w:hAnsi="Garamond" w:cs="Calibri"/>
                <w:lang w:val="en-US"/>
              </w:rPr>
              <w:t>p&lt;0.01</w:t>
            </w:r>
            <w:r w:rsidRPr="00D0253E">
              <w:rPr>
                <w:rFonts w:ascii="Garamond" w:eastAsia="Times New Roman" w:hAnsi="Garamond" w:cs="Calibri"/>
                <w:lang w:val="en-US"/>
              </w:rPr>
              <w:t>; Country clustered</w:t>
            </w:r>
            <w:r w:rsidR="00712B7B">
              <w:rPr>
                <w:rFonts w:ascii="Garamond" w:eastAsia="Times New Roman" w:hAnsi="Garamond" w:cs="Calibri"/>
                <w:lang w:val="en-US"/>
              </w:rPr>
              <w:t>,</w:t>
            </w:r>
            <w:r w:rsidRPr="00D0253E">
              <w:rPr>
                <w:rFonts w:ascii="Garamond" w:eastAsia="Times New Roman" w:hAnsi="Garamond" w:cs="Calibri"/>
                <w:lang w:val="en-US"/>
              </w:rPr>
              <w:t xml:space="preserve"> robust SE</w:t>
            </w:r>
            <w:r w:rsidR="00712B7B">
              <w:rPr>
                <w:rFonts w:ascii="Garamond" w:eastAsia="Times New Roman" w:hAnsi="Garamond" w:cs="Calibri"/>
                <w:lang w:val="en-US"/>
              </w:rPr>
              <w:t>s</w:t>
            </w:r>
            <w:r w:rsidRPr="00D0253E">
              <w:rPr>
                <w:rFonts w:ascii="Garamond" w:eastAsia="Times New Roman" w:hAnsi="Garamond" w:cs="Calibri"/>
                <w:lang w:val="en-US"/>
              </w:rPr>
              <w:t xml:space="preserve"> in parentheses</w:t>
            </w:r>
          </w:p>
        </w:tc>
      </w:tr>
    </w:tbl>
    <w:p w14:paraId="454CACF5" w14:textId="77777777" w:rsidR="00421AA8" w:rsidRPr="00D0253E" w:rsidRDefault="00421AA8" w:rsidP="00712B7B">
      <w:pPr>
        <w:rPr>
          <w:rFonts w:ascii="Garamond" w:hAnsi="Garamond"/>
          <w:lang w:val="en-US"/>
        </w:rPr>
      </w:pPr>
    </w:p>
    <w:sectPr w:rsidR="00421AA8" w:rsidRPr="00D0253E" w:rsidSect="00FB414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7DEC7" w14:textId="77777777" w:rsidR="00954FE3" w:rsidRDefault="00954FE3" w:rsidP="00A2203D">
      <w:r>
        <w:separator/>
      </w:r>
    </w:p>
  </w:endnote>
  <w:endnote w:type="continuationSeparator" w:id="0">
    <w:p w14:paraId="7ABF0E33" w14:textId="77777777" w:rsidR="00954FE3" w:rsidRDefault="00954FE3" w:rsidP="00A2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5654C" w14:textId="77777777" w:rsidR="00954FE3" w:rsidRDefault="00954FE3" w:rsidP="00A2203D">
      <w:r>
        <w:separator/>
      </w:r>
    </w:p>
  </w:footnote>
  <w:footnote w:type="continuationSeparator" w:id="0">
    <w:p w14:paraId="390F2E8E" w14:textId="77777777" w:rsidR="00954FE3" w:rsidRDefault="00954FE3" w:rsidP="00A2203D">
      <w:r>
        <w:continuationSeparator/>
      </w:r>
    </w:p>
  </w:footnote>
  <w:footnote w:id="1">
    <w:p w14:paraId="73E5D1B9" w14:textId="1F4FD78C" w:rsidR="0064461C" w:rsidRPr="0064461C" w:rsidRDefault="0064461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4461C">
        <w:rPr>
          <w:lang w:val="en-US"/>
        </w:rPr>
        <w:t xml:space="preserve"> </w:t>
      </w:r>
      <w:r w:rsidRPr="0064461C">
        <w:rPr>
          <w:rFonts w:ascii="Garamond" w:hAnsi="Garamond"/>
          <w:lang w:val="en-US"/>
        </w:rPr>
        <w:t xml:space="preserve">Results are substantially similar when a </w:t>
      </w:r>
      <w:r>
        <w:rPr>
          <w:rFonts w:ascii="Garamond" w:hAnsi="Garamond"/>
          <w:lang w:val="en-US"/>
        </w:rPr>
        <w:t>cubic</w:t>
      </w:r>
      <w:r w:rsidRPr="0064461C">
        <w:rPr>
          <w:rFonts w:ascii="Garamond" w:hAnsi="Garamond"/>
          <w:lang w:val="en-US"/>
        </w:rPr>
        <w:t xml:space="preserve"> trend is used</w:t>
      </w:r>
      <w:r>
        <w:rPr>
          <w:rFonts w:ascii="Garamond" w:hAnsi="Garamond"/>
          <w:lang w:val="en-US"/>
        </w:rPr>
        <w:t xml:space="preserve"> instead</w:t>
      </w:r>
      <w:r w:rsidRPr="0064461C">
        <w:rPr>
          <w:rFonts w:ascii="Garamond" w:hAnsi="Garamond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B59DE"/>
    <w:multiLevelType w:val="hybridMultilevel"/>
    <w:tmpl w:val="B48A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9F"/>
    <w:rsid w:val="001845F2"/>
    <w:rsid w:val="00195031"/>
    <w:rsid w:val="00421AA8"/>
    <w:rsid w:val="00504CE1"/>
    <w:rsid w:val="0059349F"/>
    <w:rsid w:val="0064461C"/>
    <w:rsid w:val="00712B7B"/>
    <w:rsid w:val="00781A0A"/>
    <w:rsid w:val="00841F32"/>
    <w:rsid w:val="00872034"/>
    <w:rsid w:val="00954FE3"/>
    <w:rsid w:val="00981377"/>
    <w:rsid w:val="009A3215"/>
    <w:rsid w:val="00A2203D"/>
    <w:rsid w:val="00BE7F0B"/>
    <w:rsid w:val="00D0253E"/>
    <w:rsid w:val="00DA5927"/>
    <w:rsid w:val="00E55213"/>
    <w:rsid w:val="00EA03F3"/>
    <w:rsid w:val="00FB2915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E19D3"/>
  <w15:chartTrackingRefBased/>
  <w15:docId w15:val="{3D9CFEDB-4A7C-4046-848C-325A5992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5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9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27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A592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9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03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03D"/>
  </w:style>
  <w:style w:type="paragraph" w:styleId="Footer">
    <w:name w:val="footer"/>
    <w:basedOn w:val="Normal"/>
    <w:link w:val="FooterChar"/>
    <w:uiPriority w:val="99"/>
    <w:unhideWhenUsed/>
    <w:rsid w:val="00A2203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03D"/>
  </w:style>
  <w:style w:type="character" w:customStyle="1" w:styleId="Heading2Char">
    <w:name w:val="Heading 2 Char"/>
    <w:basedOn w:val="DefaultParagraphFont"/>
    <w:link w:val="Heading2"/>
    <w:uiPriority w:val="9"/>
    <w:rsid w:val="00D02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46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46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46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03F6C-5619-BD4D-8E05-C03F75E6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Tanneberg</dc:creator>
  <cp:keywords/>
  <dc:description/>
  <cp:lastModifiedBy>Dag Tanneberg</cp:lastModifiedBy>
  <cp:revision>8</cp:revision>
  <dcterms:created xsi:type="dcterms:W3CDTF">2019-03-29T13:07:00Z</dcterms:created>
  <dcterms:modified xsi:type="dcterms:W3CDTF">2019-03-30T12:32:00Z</dcterms:modified>
</cp:coreProperties>
</file>