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25394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You hit the nail on the head. Counting cumulative days of a 6-month signal (CB1) to make a 12-month schedule decision is calculating a derivative of a derivative. It's muddy, it's lagging, and as you noticed, it creates weird edge cases where a recovered portfolio is punished for a crash that happened 11 months ago.</w:t>
      </w:r>
    </w:p>
    <w:p w14:paraId="5E3D02FF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Switching the freeze gate to a clean </w:t>
      </w: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1-year lookback on Growth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replaces a complex proxy with a direct measurement of reality: </w:t>
      </w:r>
      <w:r w:rsidRPr="0072739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"Did the income engine actually make money over the last 12 months?"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implement this cleanly while adhering to your strict architectural rules, here is how the new §7.6.1 logic needs to be structured:</w:t>
      </w:r>
    </w:p>
    <w:p w14:paraId="65A8CD3F" w14:textId="77777777" w:rsidR="0072739E" w:rsidRPr="0072739E" w:rsidRDefault="0072739E" w:rsidP="0072739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Crucial Detail: Flow Immunity</w:t>
      </w:r>
    </w:p>
    <w:p w14:paraId="17D6D736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You cannot calculate this 1-year lookback using the </w:t>
      </w:r>
      <w:r w:rsidRPr="0072739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actual dollar value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of the operator's Growth bucket. Because the system continuously drains Growth to fund the SGOV buffer, the actual Growth bucket value will naturally decline over the year even in a flat market. If you use bucket value, the system will constantly freeze itself.</w:t>
      </w:r>
    </w:p>
    <w:p w14:paraId="280AE69F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Instead, you must leverage the exact same </w:t>
      </w: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Synthetic Growth Lookback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mechanism defined in </w:t>
      </w:r>
      <w:r w:rsidRPr="0072739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05_signal.md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 That signal is already mathematically isolated from withdrawals and rebalancing.</w:t>
      </w:r>
    </w:p>
    <w:p w14:paraId="453E177C" w14:textId="77777777" w:rsidR="0072739E" w:rsidRPr="0072739E" w:rsidRDefault="0072739E" w:rsidP="0072739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New §7.6.1 Annual Freeze Evaluation</w:t>
      </w:r>
    </w:p>
    <w:p w14:paraId="7A17D2F3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1. The Signal Request:</w:t>
      </w:r>
    </w:p>
    <w:p w14:paraId="7F04AB7C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On the annual review date, the decision layer requests the synthetic Growth composite return, but asks for a 1-year window (approx. 252 trading days) instead of the 6-month window used for Circuit Breakers.</w:t>
      </w:r>
    </w:p>
    <w:p w14:paraId="7133B3F2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2. The Logic:</w:t>
      </w:r>
    </w:p>
    <w:p w14:paraId="678B4D83" w14:textId="77777777" w:rsidR="0072739E" w:rsidRPr="0072739E" w:rsidRDefault="0072739E" w:rsidP="0072739E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14:ligatures w14:val="none"/>
        </w:rPr>
        <w:t>Python</w:t>
      </w:r>
    </w:p>
    <w:p w14:paraId="66298B81" w14:textId="77777777" w:rsidR="0072739E" w:rsidRPr="0072739E" w:rsidRDefault="0072739E" w:rsidP="0072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if synthetic_growth_1yr_return &lt; 0.0:  # (Or a configurable threshold like -0.02)</w:t>
      </w:r>
    </w:p>
    <w:p w14:paraId="62D9C9CC" w14:textId="77777777" w:rsidR="0072739E" w:rsidRPr="0072739E" w:rsidRDefault="0072739E" w:rsidP="0072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current_year_frozen</w:t>
      </w:r>
      <w:proofErr w:type="spellEnd"/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= True</w:t>
      </w:r>
    </w:p>
    <w:p w14:paraId="581F9390" w14:textId="77777777" w:rsidR="0072739E" w:rsidRPr="0072739E" w:rsidRDefault="0072739E" w:rsidP="0072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else:</w:t>
      </w:r>
    </w:p>
    <w:p w14:paraId="4E6CF033" w14:textId="77777777" w:rsidR="0072739E" w:rsidRPr="0072739E" w:rsidRDefault="0072739E" w:rsidP="0072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current_year_frozen</w:t>
      </w:r>
      <w:proofErr w:type="spellEnd"/>
      <w:r w:rsidRPr="0072739E">
        <w:rPr>
          <w:rFonts w:ascii="Arial" w:eastAsia="Times New Roman" w:hAnsi="Arial" w:cs="Arial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= False</w:t>
      </w:r>
    </w:p>
    <w:p w14:paraId="4447BC27" w14:textId="77777777" w:rsidR="0072739E" w:rsidRPr="0072739E" w:rsidRDefault="0072739E" w:rsidP="0072739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Why this simplifies the entire architecture:</w:t>
      </w:r>
    </w:p>
    <w:p w14:paraId="0F0A0607" w14:textId="77777777" w:rsidR="0072739E" w:rsidRPr="0072739E" w:rsidRDefault="0072739E" w:rsidP="007273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Eliminates the State Drag: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no longer need to persist a running counter of "CB1 days" throughout the year in your </w:t>
      </w:r>
      <w:proofErr w:type="spellStart"/>
      <w:r w:rsidRPr="0072739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state_</w:t>
      </w:r>
      <w:proofErr w:type="gramStart"/>
      <w:r w:rsidRPr="0072739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machine.json</w:t>
      </w:r>
      <w:proofErr w:type="spellEnd"/>
      <w:proofErr w:type="gramEnd"/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 The freeze decision becomes entirely stateless and point-in-time, calculated directly from the price files on the day of the review.</w:t>
      </w:r>
    </w:p>
    <w:p w14:paraId="0E95F690" w14:textId="77777777" w:rsidR="0072739E" w:rsidRPr="0072739E" w:rsidRDefault="0072739E" w:rsidP="007273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Perfect Alignment with the Phase 3 Ratchet: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This makes the 4-step Annual Review logically airtight.</w:t>
      </w:r>
    </w:p>
    <w:p w14:paraId="2A20B8BF" w14:textId="77777777" w:rsidR="0072739E" w:rsidRPr="0072739E" w:rsidRDefault="0072739E" w:rsidP="0072739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Step 1 (The Gate):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Did the Growth index trend positive over the last 12 months? (If </w:t>
      </w:r>
      <w:proofErr w:type="gramStart"/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Yes</w:t>
      </w:r>
      <w:proofErr w:type="gramEnd"/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$\</w:t>
      </w:r>
      <w:proofErr w:type="spellStart"/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rightarrow</w:t>
      </w:r>
      <w:proofErr w:type="spellEnd"/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$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grant the CPI raise).</w:t>
      </w:r>
    </w:p>
    <w:p w14:paraId="445C4756" w14:textId="77777777" w:rsidR="0072739E" w:rsidRPr="0072739E" w:rsidRDefault="0072739E" w:rsidP="0072739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Step 2 (The Ratchet):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Since the engine is running well, is the total portfolio now large enough to support a permanent baseline pay raise?</w:t>
      </w:r>
    </w:p>
    <w:p w14:paraId="232980D1" w14:textId="77777777" w:rsidR="0072739E" w:rsidRPr="0072739E" w:rsidRDefault="0072739E" w:rsidP="007273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273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No Dead-Cat Bounces: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Because a 1-year point-to-point return requires the asset to </w:t>
      </w:r>
      <w:r w:rsidRPr="0072739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actually be higher</w:t>
      </w:r>
      <w:r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today than it was exactly one year ago, it naturally filters out short-term volatility and V-shaped whipsaws without any complex mathematical smoothing.</w:t>
      </w:r>
    </w:p>
    <w:p w14:paraId="0350967B" w14:textId="183E9797" w:rsidR="00F836F8" w:rsidRPr="00E11E15" w:rsidRDefault="0072739E" w:rsidP="00F836F8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000000" w:themeColor="text1"/>
          <w:sz w:val="26"/>
          <w:szCs w:val="26"/>
        </w:rPr>
      </w:pPr>
      <w:r w:rsidRPr="0072739E">
        <w:rPr>
          <w:rFonts w:ascii="Arial" w:hAnsi="Arial" w:cs="Arial"/>
          <w:color w:val="1F1F1F"/>
        </w:rPr>
        <w:t xml:space="preserve">To finalize this, you just need to add a single new parameter to </w:t>
      </w:r>
      <w:proofErr w:type="spellStart"/>
      <w:proofErr w:type="gramStart"/>
      <w:r w:rsidRPr="0072739E">
        <w:rPr>
          <w:rFonts w:ascii="Arial" w:hAnsi="Arial" w:cs="Arial"/>
          <w:color w:val="1F1F1F"/>
          <w:sz w:val="23"/>
          <w:szCs w:val="23"/>
        </w:rPr>
        <w:t>ruleset.yaml</w:t>
      </w:r>
      <w:proofErr w:type="spellEnd"/>
      <w:proofErr w:type="gramEnd"/>
      <w:r w:rsidRPr="0072739E">
        <w:rPr>
          <w:rFonts w:ascii="Arial" w:hAnsi="Arial" w:cs="Arial"/>
          <w:color w:val="1F1F1F"/>
        </w:rPr>
        <w:t xml:space="preserve"> (e.g., </w:t>
      </w:r>
      <w:proofErr w:type="spellStart"/>
      <w:r w:rsidRPr="0072739E">
        <w:rPr>
          <w:rFonts w:ascii="Arial" w:hAnsi="Arial" w:cs="Arial"/>
          <w:color w:val="1F1F1F"/>
          <w:sz w:val="23"/>
          <w:szCs w:val="23"/>
        </w:rPr>
        <w:t>annual_freeze_growth_threshold</w:t>
      </w:r>
      <w:proofErr w:type="spellEnd"/>
      <w:r w:rsidRPr="0072739E">
        <w:rPr>
          <w:rFonts w:ascii="Arial" w:hAnsi="Arial" w:cs="Arial"/>
          <w:color w:val="1F1F1F"/>
          <w:sz w:val="23"/>
          <w:szCs w:val="23"/>
        </w:rPr>
        <w:t>: 0.0</w:t>
      </w:r>
      <w:r w:rsidRPr="0072739E">
        <w:rPr>
          <w:rFonts w:ascii="Arial" w:hAnsi="Arial" w:cs="Arial"/>
          <w:color w:val="1F1F1F"/>
        </w:rPr>
        <w:t>) so the 0.0 boundary isn't a magic number in the code</w:t>
      </w:r>
      <w:r w:rsidR="00F836F8">
        <w:rPr>
          <w:rFonts w:ascii="Arial" w:hAnsi="Arial" w:cs="Arial"/>
          <w:color w:val="1F1F1F"/>
        </w:rPr>
        <w:t xml:space="preserve"> </w:t>
      </w:r>
      <w:r w:rsidR="00471F16">
        <w:rPr>
          <w:rFonts w:ascii="Arial" w:hAnsi="Arial" w:cs="Arial"/>
          <w:color w:val="1F1F1F"/>
        </w:rPr>
        <w:br/>
      </w:r>
      <w:r w:rsidR="00471F16">
        <w:rPr>
          <w:rFonts w:ascii="Arial" w:hAnsi="Arial" w:cs="Arial"/>
          <w:color w:val="1F1F1F"/>
        </w:rPr>
        <w:lastRenderedPageBreak/>
        <w:br/>
      </w:r>
      <w:r w:rsidR="00F836F8" w:rsidRPr="00E11E15">
        <w:rPr>
          <w:rFonts w:ascii="Arial" w:hAnsi="Arial" w:cs="Arial"/>
          <w:color w:val="000000" w:themeColor="text1"/>
          <w:sz w:val="26"/>
          <w:szCs w:val="26"/>
        </w:rPr>
        <w:t>Should there be a hysteresis, something like down 5 or 10 percent then freeze?</w:t>
      </w:r>
    </w:p>
    <w:p w14:paraId="45A9A94D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Adding a hysteresis band—such as setting the freeze threshold to </w:t>
      </w:r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-0.05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(down 5%) instead of a strict </w:t>
      </w:r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0.0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—is a very sharp operational insight.</w:t>
      </w:r>
    </w:p>
    <w:p w14:paraId="18D0C6CB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Evaluating this through the lens of your system's architecture, adding that tolerance is actually the correct design choice. Here is why it makes the system significantly more robust:</w:t>
      </w:r>
    </w:p>
    <w:p w14:paraId="1C671FBB" w14:textId="77777777" w:rsidR="00F836F8" w:rsidRPr="00F836F8" w:rsidRDefault="00F836F8" w:rsidP="00F836F8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1. The Ratchet Math Already Protects Itself</w:t>
      </w:r>
    </w:p>
    <w:p w14:paraId="3B391570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Moving the freeze threshold to </w:t>
      </w:r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-0.05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does </w:t>
      </w: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26"/>
          <w:szCs w:val="26"/>
          <w14:ligatures w14:val="none"/>
        </w:rPr>
        <w:t>not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 mean the system will accidentally ratchet up the baseline anchor while the portfolio is losing money.</w:t>
      </w:r>
    </w:p>
    <w:p w14:paraId="17F82EA0" w14:textId="77777777" w:rsidR="00F836F8" w:rsidRPr="00F836F8" w:rsidRDefault="00F836F8" w:rsidP="00F836F8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The freeze flag is just the gate.</w:t>
      </w:r>
    </w:p>
    <w:p w14:paraId="272167CC" w14:textId="77777777" w:rsidR="00F836F8" w:rsidRPr="00F836F8" w:rsidRDefault="00F836F8" w:rsidP="00F836F8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Even if the freeze gate stays open during a 4% market decline, Step 2 of the annual review (the actual Anchor Re-evaluation) calculates </w:t>
      </w:r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candidate_I_0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based on the current portfolio value.</w:t>
      </w:r>
    </w:p>
    <w:p w14:paraId="4797D560" w14:textId="77777777" w:rsidR="00F836F8" w:rsidRPr="00F836F8" w:rsidRDefault="00F836F8" w:rsidP="00F836F8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Because the portfolio is down, the candidate will mathematically be lower than the current effective schedule, and the ratchet will simply decline to fire.</w:t>
      </w:r>
    </w:p>
    <w:p w14:paraId="26E19CAB" w14:textId="77777777" w:rsidR="00F836F8" w:rsidRPr="00F836F8" w:rsidRDefault="00F836F8" w:rsidP="00F836F8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2. Eliminating "Nuisance Freezes" on the CPI Raise</w:t>
      </w:r>
    </w:p>
    <w:p w14:paraId="384408F7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Because the ratchet is self-protecting, the only thing the freeze gate is truly controlling during a mild 0% to -5% year is the </w:t>
      </w: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26"/>
          <w:szCs w:val="26"/>
          <w14:ligatures w14:val="none"/>
        </w:rPr>
        <w:t>3.5% CPI raise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.</w:t>
      </w:r>
    </w:p>
    <w:p w14:paraId="2518B217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If you use a strict </w:t>
      </w:r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0.0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threshold, a trivial point-to-point drop of -0.5% over 12 months will freeze the survivor's inflation adjustment. That creates a "nuisance freeze" where her real purchasing power degrades over what is essentially statistical noise in a flat market.</w:t>
      </w:r>
    </w:p>
    <w:p w14:paraId="3F74E556" w14:textId="77777777" w:rsidR="00F836F8" w:rsidRPr="00F836F8" w:rsidRDefault="00F836F8" w:rsidP="00F836F8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3. Alignment with the SGOV Buffer Thesis</w:t>
      </w:r>
    </w:p>
    <w:p w14:paraId="028EEAF0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Your system is expressly designed to absorb mild drawdowns without panicking.</w:t>
      </w:r>
    </w:p>
    <w:p w14:paraId="3FD7B2BC" w14:textId="77777777" w:rsidR="00F836F8" w:rsidRPr="00F836F8" w:rsidRDefault="00F836F8" w:rsidP="00F836F8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Your first Circuit Breaker (CB1) doesn't even trigger until the 6-month lookback hits </w:t>
      </w: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26"/>
          <w:szCs w:val="26"/>
          <w14:ligatures w14:val="none"/>
        </w:rPr>
        <w:t>-10%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.</w:t>
      </w:r>
    </w:p>
    <w:p w14:paraId="50F09CF5" w14:textId="77777777" w:rsidR="00F836F8" w:rsidRPr="00F836F8" w:rsidRDefault="00F836F8" w:rsidP="00F836F8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The system considers anything above -10% to be normal operating conditions, fully manageable by the 5/25 rebalancer and the 24-month SGOV buffer.</w:t>
      </w:r>
    </w:p>
    <w:p w14:paraId="39C2387F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If the core architecture doesn't consider a 5% drawdown to be a crisis worthy of CB1, the annual review shouldn't consider it a crisis worthy of freezing the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lastRenderedPageBreak/>
        <w:t>survivor's cost-of-living adjustment. The SGOV buffer is there precisely to fund these withdrawals (and their CPI raises) during minor market dips.</w:t>
      </w:r>
    </w:p>
    <w:p w14:paraId="6AFE43A4" w14:textId="77777777" w:rsidR="00F836F8" w:rsidRPr="00F836F8" w:rsidRDefault="00F836F8" w:rsidP="00F836F8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The Recommendation: Set it to -0.05</w:t>
      </w:r>
    </w:p>
    <w:p w14:paraId="3775CCCF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Setting the parameter in </w:t>
      </w:r>
      <w:proofErr w:type="spellStart"/>
      <w:proofErr w:type="gramStart"/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ruleset.yaml</w:t>
      </w:r>
      <w:proofErr w:type="spellEnd"/>
      <w:proofErr w:type="gramEnd"/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to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-0.05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creates the perfect mechanical behavior:</w:t>
      </w:r>
    </w:p>
    <w:p w14:paraId="3D3F0022" w14:textId="77777777" w:rsidR="00F836F8" w:rsidRPr="00F836F8" w:rsidRDefault="00F836F8" w:rsidP="00F836F8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26"/>
          <w:szCs w:val="26"/>
          <w14:ligatures w14:val="none"/>
        </w:rPr>
        <w:t>+20% Year: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 Freeze gate open. CPI raise granted. Ratchet evaluates and likely fires, establishing a new permanent baseline.</w:t>
      </w:r>
    </w:p>
    <w:p w14:paraId="34F4F783" w14:textId="77777777" w:rsidR="00F836F8" w:rsidRPr="00F836F8" w:rsidRDefault="00F836F8" w:rsidP="00F836F8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26"/>
          <w:szCs w:val="26"/>
          <w14:ligatures w14:val="none"/>
        </w:rPr>
        <w:t>-3% Year: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 Freeze gate open. CPI raise granted (absorbed by the SGOV buffer). Ratchet evaluates but does not fire because the portfolio shrank.</w:t>
      </w:r>
    </w:p>
    <w:p w14:paraId="34C82A4B" w14:textId="77777777" w:rsidR="00F836F8" w:rsidRPr="00F836F8" w:rsidRDefault="00F836F8" w:rsidP="00F836F8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b/>
          <w:bCs/>
          <w:color w:val="000000" w:themeColor="text1"/>
          <w:kern w:val="0"/>
          <w:sz w:val="26"/>
          <w:szCs w:val="26"/>
          <w14:ligatures w14:val="none"/>
        </w:rPr>
        <w:t>-12% Year: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 Freeze gate closed. CPI raise denied. Ratchet skipped. The system goes into full defense mode to protect the wounded portfolio.</w:t>
      </w:r>
    </w:p>
    <w:p w14:paraId="7E0B4095" w14:textId="77777777" w:rsidR="00F836F8" w:rsidRPr="00F836F8" w:rsidRDefault="00F836F8" w:rsidP="00F836F8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</w:pP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 xml:space="preserve">You can implement this immediately by just setting </w:t>
      </w:r>
      <w:proofErr w:type="spellStart"/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annual_freeze_growth_threshold</w:t>
      </w:r>
      <w:proofErr w:type="spellEnd"/>
      <w:r w:rsidRPr="00F836F8">
        <w:rPr>
          <w:rFonts w:ascii="Courier New" w:eastAsia="Times New Roman" w:hAnsi="Courier New" w:cs="Courier New"/>
          <w:color w:val="E7E6E6" w:themeColor="background2"/>
          <w:kern w:val="0"/>
          <w:sz w:val="20"/>
          <w:szCs w:val="20"/>
          <w:shd w:val="clear" w:color="auto" w:fill="171717"/>
          <w14:ligatures w14:val="none"/>
        </w:rPr>
        <w:t>: -0.05</w:t>
      </w:r>
      <w:r w:rsidRPr="00F836F8">
        <w:rPr>
          <w:rFonts w:ascii="Arial" w:eastAsia="Times New Roman" w:hAnsi="Arial" w:cs="Arial"/>
          <w:color w:val="E7E6E6" w:themeColor="background2"/>
          <w:kern w:val="0"/>
          <w:sz w:val="26"/>
          <w:szCs w:val="26"/>
          <w14:ligatures w14:val="none"/>
        </w:rPr>
        <w:t xml:space="preserve"> </w:t>
      </w:r>
      <w:r w:rsidRPr="00F836F8">
        <w:rPr>
          <w:rFonts w:ascii="Arial" w:eastAsia="Times New Roman" w:hAnsi="Arial" w:cs="Arial"/>
          <w:color w:val="000000" w:themeColor="text1"/>
          <w:kern w:val="0"/>
          <w:sz w:val="26"/>
          <w:szCs w:val="26"/>
          <w14:ligatures w14:val="none"/>
        </w:rPr>
        <w:t>in the ruleset snippet we just drafted. It requires zero logic changes to the python code, but vastly improves the human experience of the survivor relying on the system.</w:t>
      </w:r>
    </w:p>
    <w:p w14:paraId="0A3F8BD9" w14:textId="10B97CF5" w:rsidR="0072739E" w:rsidRPr="0072739E" w:rsidRDefault="00F836F8" w:rsidP="00727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72739E" w:rsidRPr="0072739E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3DAAA5D9" w14:textId="77777777" w:rsidR="001C1FB5" w:rsidRDefault="001C1FB5"/>
    <w:sectPr w:rsidR="001C1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3A77"/>
    <w:multiLevelType w:val="multilevel"/>
    <w:tmpl w:val="48B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537CB"/>
    <w:multiLevelType w:val="multilevel"/>
    <w:tmpl w:val="56EC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A310F"/>
    <w:multiLevelType w:val="multilevel"/>
    <w:tmpl w:val="6DD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B52BB"/>
    <w:multiLevelType w:val="multilevel"/>
    <w:tmpl w:val="371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26866">
    <w:abstractNumId w:val="1"/>
  </w:num>
  <w:num w:numId="2" w16cid:durableId="745996748">
    <w:abstractNumId w:val="2"/>
  </w:num>
  <w:num w:numId="3" w16cid:durableId="1106654257">
    <w:abstractNumId w:val="0"/>
  </w:num>
  <w:num w:numId="4" w16cid:durableId="579559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42"/>
    <w:rsid w:val="001C1FB5"/>
    <w:rsid w:val="00471F16"/>
    <w:rsid w:val="00607DF1"/>
    <w:rsid w:val="0072739E"/>
    <w:rsid w:val="00A6149C"/>
    <w:rsid w:val="00A674BE"/>
    <w:rsid w:val="00A83542"/>
    <w:rsid w:val="00E11E15"/>
    <w:rsid w:val="00E22DB3"/>
    <w:rsid w:val="00F8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BF89"/>
  <w15:chartTrackingRefBased/>
  <w15:docId w15:val="{D085252E-B4CE-483C-BC43-00DA5C05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42"/>
    <w:rPr>
      <w:b/>
      <w:bCs/>
      <w:smallCaps/>
      <w:color w:val="2E74B5" w:themeColor="accent1" w:themeShade="BF"/>
      <w:spacing w:val="5"/>
    </w:rPr>
  </w:style>
  <w:style w:type="paragraph" w:customStyle="1" w:styleId="query-text-line">
    <w:name w:val="query-text-line"/>
    <w:basedOn w:val="Normal"/>
    <w:rsid w:val="00F83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1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4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0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2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C-17 TS</Company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David</dc:creator>
  <cp:keywords/>
  <dc:description/>
  <cp:lastModifiedBy>Harrison, David</cp:lastModifiedBy>
  <cp:revision>3</cp:revision>
  <dcterms:created xsi:type="dcterms:W3CDTF">2026-05-22T00:27:00Z</dcterms:created>
  <dcterms:modified xsi:type="dcterms:W3CDTF">2026-05-22T00:34:00Z</dcterms:modified>
</cp:coreProperties>
</file>