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434B1" w14:textId="77777777" w:rsidR="00D5592A" w:rsidRPr="00D5592A" w:rsidRDefault="00D5592A" w:rsidP="00D5592A">
      <w:p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color w:val="1F1F1F"/>
          <w:kern w:val="0"/>
          <w:sz w:val="24"/>
          <w:szCs w:val="24"/>
          <w14:ligatures w14:val="none"/>
        </w:rPr>
        <w:t xml:space="preserve">Based on the snippets of the </w:t>
      </w:r>
      <w:r w:rsidRPr="00D5592A">
        <w:rPr>
          <w:rFonts w:ascii="Arial" w:eastAsia="Times New Roman" w:hAnsi="Arial" w:cs="Arial"/>
          <w:color w:val="1F1F1F"/>
          <w:kern w:val="0"/>
          <w:sz w:val="23"/>
          <w:szCs w:val="23"/>
          <w14:ligatures w14:val="none"/>
        </w:rPr>
        <w:t>momentum_engine_spec.md</w:t>
      </w:r>
      <w:r w:rsidRPr="00D5592A">
        <w:rPr>
          <w:rFonts w:ascii="Arial" w:eastAsia="Times New Roman" w:hAnsi="Arial" w:cs="Arial"/>
          <w:color w:val="1F1F1F"/>
          <w:kern w:val="0"/>
          <w:sz w:val="24"/>
          <w:szCs w:val="24"/>
          <w14:ligatures w14:val="none"/>
        </w:rPr>
        <w:t xml:space="preserve"> and the broader architecture of your system, your foundational thesis for Phase 2 is excellent. Using </w:t>
      </w:r>
      <w:r w:rsidRPr="00D5592A">
        <w:rPr>
          <w:rFonts w:ascii="Arial" w:eastAsia="Times New Roman" w:hAnsi="Arial" w:cs="Arial"/>
          <w:b/>
          <w:bCs/>
          <w:color w:val="1F1F1F"/>
          <w:kern w:val="0"/>
          <w:sz w:val="24"/>
          <w:szCs w:val="24"/>
          <w:bdr w:val="none" w:sz="0" w:space="0" w:color="auto" w:frame="1"/>
          <w14:ligatures w14:val="none"/>
        </w:rPr>
        <w:t>QQQ as the signal asset</w:t>
      </w:r>
      <w:r w:rsidRPr="00D5592A">
        <w:rPr>
          <w:rFonts w:ascii="Arial" w:eastAsia="Times New Roman" w:hAnsi="Arial" w:cs="Arial"/>
          <w:color w:val="1F1F1F"/>
          <w:kern w:val="0"/>
          <w:sz w:val="24"/>
          <w:szCs w:val="24"/>
          <w14:ligatures w14:val="none"/>
        </w:rPr>
        <w:t xml:space="preserve"> but </w:t>
      </w:r>
      <w:r w:rsidRPr="00D5592A">
        <w:rPr>
          <w:rFonts w:ascii="Arial" w:eastAsia="Times New Roman" w:hAnsi="Arial" w:cs="Arial"/>
          <w:b/>
          <w:bCs/>
          <w:color w:val="1F1F1F"/>
          <w:kern w:val="0"/>
          <w:sz w:val="24"/>
          <w:szCs w:val="24"/>
          <w:bdr w:val="none" w:sz="0" w:space="0" w:color="auto" w:frame="1"/>
          <w14:ligatures w14:val="none"/>
        </w:rPr>
        <w:t>TQQQ as the execution vehicle</w:t>
      </w:r>
      <w:r w:rsidRPr="00D5592A">
        <w:rPr>
          <w:rFonts w:ascii="Arial" w:eastAsia="Times New Roman" w:hAnsi="Arial" w:cs="Arial"/>
          <w:color w:val="1F1F1F"/>
          <w:kern w:val="0"/>
          <w:sz w:val="24"/>
          <w:szCs w:val="24"/>
          <w14:ligatures w14:val="none"/>
        </w:rPr>
        <w:t xml:space="preserve"> is the exact right way to build this. It isolates your mathematical signal from the daily volatility decay (beta slippage) inherent in leveraged ETFs.</w:t>
      </w:r>
    </w:p>
    <w:p w14:paraId="56E64989" w14:textId="77777777" w:rsidR="00D5592A" w:rsidRPr="00D5592A" w:rsidRDefault="00D5592A" w:rsidP="00D5592A">
      <w:p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color w:val="1F1F1F"/>
          <w:kern w:val="0"/>
          <w:sz w:val="24"/>
          <w:szCs w:val="24"/>
          <w14:ligatures w14:val="none"/>
        </w:rPr>
        <w:t xml:space="preserve">However, moving from a passive weekly rebalancer to a </w:t>
      </w:r>
      <w:r w:rsidRPr="00D5592A">
        <w:rPr>
          <w:rFonts w:ascii="Arial" w:eastAsia="Times New Roman" w:hAnsi="Arial" w:cs="Arial"/>
          <w:i/>
          <w:iCs/>
          <w:color w:val="1F1F1F"/>
          <w:kern w:val="0"/>
          <w:sz w:val="24"/>
          <w:szCs w:val="24"/>
          <w:bdr w:val="none" w:sz="0" w:space="0" w:color="auto" w:frame="1"/>
          <w14:ligatures w14:val="none"/>
        </w:rPr>
        <w:t>daily binary momentum strategy</w:t>
      </w:r>
      <w:r w:rsidRPr="00D5592A">
        <w:rPr>
          <w:rFonts w:ascii="Arial" w:eastAsia="Times New Roman" w:hAnsi="Arial" w:cs="Arial"/>
          <w:color w:val="1F1F1F"/>
          <w:kern w:val="0"/>
          <w:sz w:val="24"/>
          <w:szCs w:val="24"/>
          <w14:ligatures w14:val="none"/>
        </w:rPr>
        <w:t xml:space="preserve"> introduces friction with your core "Failure-quiet" and mechanical architecture.</w:t>
      </w:r>
    </w:p>
    <w:p w14:paraId="5B9FE170" w14:textId="77777777" w:rsidR="00D5592A" w:rsidRPr="00D5592A" w:rsidRDefault="00D5592A" w:rsidP="00D5592A">
      <w:p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color w:val="1F1F1F"/>
          <w:kern w:val="0"/>
          <w:sz w:val="24"/>
          <w:szCs w:val="24"/>
          <w14:ligatures w14:val="none"/>
        </w:rPr>
        <w:t>Here are the three structural vulnerabilities in the Momentum Engine that need tightening:</w:t>
      </w:r>
    </w:p>
    <w:p w14:paraId="1F986945" w14:textId="77777777" w:rsidR="00D5592A" w:rsidRPr="00D5592A" w:rsidRDefault="00D5592A" w:rsidP="00D5592A">
      <w:pPr>
        <w:spacing w:after="0" w:line="240" w:lineRule="auto"/>
        <w:outlineLvl w:val="2"/>
        <w:rPr>
          <w:rFonts w:ascii="Arial" w:eastAsia="Times New Roman" w:hAnsi="Arial" w:cs="Arial"/>
          <w:b/>
          <w:bCs/>
          <w:color w:val="1F1F1F"/>
          <w:kern w:val="0"/>
          <w:sz w:val="27"/>
          <w:szCs w:val="27"/>
          <w14:ligatures w14:val="none"/>
        </w:rPr>
      </w:pPr>
      <w:r w:rsidRPr="00D5592A">
        <w:rPr>
          <w:rFonts w:ascii="Arial" w:eastAsia="Times New Roman" w:hAnsi="Arial" w:cs="Arial"/>
          <w:b/>
          <w:bCs/>
          <w:color w:val="1F1F1F"/>
          <w:kern w:val="0"/>
          <w:sz w:val="27"/>
          <w:szCs w:val="27"/>
          <w14:ligatures w14:val="none"/>
        </w:rPr>
        <w:t>1. The Whipsaw &amp; PDT Vulnerability (Missing Hysteresis)</w:t>
      </w:r>
    </w:p>
    <w:p w14:paraId="350B3EE7" w14:textId="77777777" w:rsidR="00D5592A" w:rsidRPr="00D5592A" w:rsidRDefault="00D5592A" w:rsidP="00D5592A">
      <w:p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b/>
          <w:bCs/>
          <w:color w:val="1F1F1F"/>
          <w:kern w:val="0"/>
          <w:sz w:val="24"/>
          <w:szCs w:val="24"/>
          <w:bdr w:val="none" w:sz="0" w:space="0" w:color="auto" w:frame="1"/>
          <w14:ligatures w14:val="none"/>
        </w:rPr>
        <w:t>The Flaw:</w:t>
      </w:r>
      <w:r w:rsidRPr="00D5592A">
        <w:rPr>
          <w:rFonts w:ascii="Arial" w:eastAsia="Times New Roman" w:hAnsi="Arial" w:cs="Arial"/>
          <w:color w:val="1F1F1F"/>
          <w:kern w:val="0"/>
          <w:sz w:val="24"/>
          <w:szCs w:val="24"/>
          <w14:ligatures w14:val="none"/>
        </w:rPr>
        <w:t xml:space="preserve"> The spec notes the engine "transitions between these states based on signal evaluations performed daily." If your signal is a hard line (e.g., QQQ Price crossing the 200-day SMA), the system is incredibly vulnerable to whipsawing during sideways, trendless markets. If QQQ closes 10 cents above the SMA on Tuesday, falls 15 cents below on Wednesday, and rises again on Thursday, the engine will order massive, portfolio-wide liquidations and repurchases three days in a row.</w:t>
      </w:r>
    </w:p>
    <w:p w14:paraId="0B78FEA9" w14:textId="77777777" w:rsidR="00D5592A" w:rsidRPr="00D5592A" w:rsidRDefault="00D5592A" w:rsidP="00D5592A">
      <w:pPr>
        <w:numPr>
          <w:ilvl w:val="0"/>
          <w:numId w:val="1"/>
        </w:num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color w:val="1F1F1F"/>
          <w:kern w:val="0"/>
          <w:sz w:val="24"/>
          <w:szCs w:val="24"/>
          <w14:ligatures w14:val="none"/>
        </w:rPr>
        <w:t xml:space="preserve">In an IRA, doing this more than 3 times in a rolling 5-day period will trigger a </w:t>
      </w:r>
      <w:r w:rsidRPr="00D5592A">
        <w:rPr>
          <w:rFonts w:ascii="Arial" w:eastAsia="Times New Roman" w:hAnsi="Arial" w:cs="Arial"/>
          <w:b/>
          <w:bCs/>
          <w:color w:val="1F1F1F"/>
          <w:kern w:val="0"/>
          <w:sz w:val="24"/>
          <w:szCs w:val="24"/>
          <w:bdr w:val="none" w:sz="0" w:space="0" w:color="auto" w:frame="1"/>
          <w14:ligatures w14:val="none"/>
        </w:rPr>
        <w:t>Pattern Day Trader (PDT)</w:t>
      </w:r>
      <w:r w:rsidRPr="00D5592A">
        <w:rPr>
          <w:rFonts w:ascii="Arial" w:eastAsia="Times New Roman" w:hAnsi="Arial" w:cs="Arial"/>
          <w:color w:val="1F1F1F"/>
          <w:kern w:val="0"/>
          <w:sz w:val="24"/>
          <w:szCs w:val="24"/>
          <w14:ligatures w14:val="none"/>
        </w:rPr>
        <w:t xml:space="preserve"> flag from IBKR, which can lock the account from opening new positions for 90 days.</w:t>
      </w:r>
    </w:p>
    <w:p w14:paraId="3BCE4B99" w14:textId="77777777" w:rsidR="00D5592A" w:rsidRPr="00D5592A" w:rsidRDefault="00D5592A" w:rsidP="00D5592A">
      <w:p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b/>
          <w:bCs/>
          <w:color w:val="1F1F1F"/>
          <w:kern w:val="0"/>
          <w:sz w:val="24"/>
          <w:szCs w:val="24"/>
          <w:bdr w:val="none" w:sz="0" w:space="0" w:color="auto" w:frame="1"/>
          <w14:ligatures w14:val="none"/>
        </w:rPr>
        <w:t>The Improvement:</w:t>
      </w:r>
      <w:r w:rsidRPr="00D5592A">
        <w:rPr>
          <w:rFonts w:ascii="Arial" w:eastAsia="Times New Roman" w:hAnsi="Arial" w:cs="Arial"/>
          <w:color w:val="1F1F1F"/>
          <w:kern w:val="0"/>
          <w:sz w:val="24"/>
          <w:szCs w:val="24"/>
          <w14:ligatures w14:val="none"/>
        </w:rPr>
        <w:t xml:space="preserve"> You must implement a </w:t>
      </w:r>
      <w:r w:rsidRPr="00D5592A">
        <w:rPr>
          <w:rFonts w:ascii="Arial" w:eastAsia="Times New Roman" w:hAnsi="Arial" w:cs="Arial"/>
          <w:b/>
          <w:bCs/>
          <w:color w:val="1F1F1F"/>
          <w:kern w:val="0"/>
          <w:sz w:val="24"/>
          <w:szCs w:val="24"/>
          <w:bdr w:val="none" w:sz="0" w:space="0" w:color="auto" w:frame="1"/>
          <w14:ligatures w14:val="none"/>
        </w:rPr>
        <w:t>Confirmation Window</w:t>
      </w:r>
      <w:r w:rsidRPr="00D5592A">
        <w:rPr>
          <w:rFonts w:ascii="Arial" w:eastAsia="Times New Roman" w:hAnsi="Arial" w:cs="Arial"/>
          <w:color w:val="1F1F1F"/>
          <w:kern w:val="0"/>
          <w:sz w:val="24"/>
          <w:szCs w:val="24"/>
          <w14:ligatures w14:val="none"/>
        </w:rPr>
        <w:t xml:space="preserve"> or a </w:t>
      </w:r>
      <w:r w:rsidRPr="00D5592A">
        <w:rPr>
          <w:rFonts w:ascii="Arial" w:eastAsia="Times New Roman" w:hAnsi="Arial" w:cs="Arial"/>
          <w:b/>
          <w:bCs/>
          <w:color w:val="1F1F1F"/>
          <w:kern w:val="0"/>
          <w:sz w:val="24"/>
          <w:szCs w:val="24"/>
          <w:bdr w:val="none" w:sz="0" w:space="0" w:color="auto" w:frame="1"/>
          <w14:ligatures w14:val="none"/>
        </w:rPr>
        <w:t>Hysteresis Band</w:t>
      </w:r>
      <w:r w:rsidRPr="00D5592A">
        <w:rPr>
          <w:rFonts w:ascii="Arial" w:eastAsia="Times New Roman" w:hAnsi="Arial" w:cs="Arial"/>
          <w:color w:val="1F1F1F"/>
          <w:kern w:val="0"/>
          <w:sz w:val="24"/>
          <w:szCs w:val="24"/>
          <w14:ligatures w14:val="none"/>
        </w:rPr>
        <w:t xml:space="preserve"> (exactly like you just did for the Phase 3 freeze gate).</w:t>
      </w:r>
    </w:p>
    <w:p w14:paraId="7436FAE1" w14:textId="77777777" w:rsidR="00D5592A" w:rsidRPr="00D5592A" w:rsidRDefault="00D5592A" w:rsidP="00D5592A">
      <w:pPr>
        <w:numPr>
          <w:ilvl w:val="0"/>
          <w:numId w:val="2"/>
        </w:num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i/>
          <w:iCs/>
          <w:color w:val="1F1F1F"/>
          <w:kern w:val="0"/>
          <w:sz w:val="24"/>
          <w:szCs w:val="24"/>
          <w:bdr w:val="none" w:sz="0" w:space="0" w:color="auto" w:frame="1"/>
          <w14:ligatures w14:val="none"/>
        </w:rPr>
        <w:t>Time-based:</w:t>
      </w:r>
      <w:r w:rsidRPr="00D5592A">
        <w:rPr>
          <w:rFonts w:ascii="Arial" w:eastAsia="Times New Roman" w:hAnsi="Arial" w:cs="Arial"/>
          <w:color w:val="1F1F1F"/>
          <w:kern w:val="0"/>
          <w:sz w:val="24"/>
          <w:szCs w:val="24"/>
          <w14:ligatures w14:val="none"/>
        </w:rPr>
        <w:t xml:space="preserve"> QQQ must close above the moving average for 3 consecutive days to trigger a BUY, and below for 3 consecutive days to trigger a SELL.</w:t>
      </w:r>
    </w:p>
    <w:p w14:paraId="7C4382D2" w14:textId="77777777" w:rsidR="00D5592A" w:rsidRPr="00D5592A" w:rsidRDefault="00D5592A" w:rsidP="00D5592A">
      <w:pPr>
        <w:numPr>
          <w:ilvl w:val="0"/>
          <w:numId w:val="2"/>
        </w:num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i/>
          <w:iCs/>
          <w:color w:val="1F1F1F"/>
          <w:kern w:val="0"/>
          <w:sz w:val="24"/>
          <w:szCs w:val="24"/>
          <w:bdr w:val="none" w:sz="0" w:space="0" w:color="auto" w:frame="1"/>
          <w14:ligatures w14:val="none"/>
        </w:rPr>
        <w:t>Price-based (Hysteresis):</w:t>
      </w:r>
      <w:r w:rsidRPr="00D5592A">
        <w:rPr>
          <w:rFonts w:ascii="Arial" w:eastAsia="Times New Roman" w:hAnsi="Arial" w:cs="Arial"/>
          <w:color w:val="1F1F1F"/>
          <w:kern w:val="0"/>
          <w:sz w:val="24"/>
          <w:szCs w:val="24"/>
          <w14:ligatures w14:val="none"/>
        </w:rPr>
        <w:t xml:space="preserve"> Buy TQQQ when QQQ &gt; (200 SMA + 1.5%). Sell to SGOV when QQQ &lt; (200 SMA - 1.5%).</w:t>
      </w:r>
    </w:p>
    <w:p w14:paraId="44FEA082" w14:textId="77777777" w:rsidR="00D5592A" w:rsidRPr="00D5592A" w:rsidRDefault="00D5592A" w:rsidP="00D5592A">
      <w:pPr>
        <w:spacing w:after="0" w:line="240" w:lineRule="auto"/>
        <w:ind w:left="720"/>
        <w:rPr>
          <w:rFonts w:ascii="Arial" w:eastAsia="Times New Roman" w:hAnsi="Arial" w:cs="Arial"/>
          <w:color w:val="1F1F1F"/>
          <w:kern w:val="0"/>
          <w:sz w:val="24"/>
          <w:szCs w:val="24"/>
          <w14:ligatures w14:val="none"/>
        </w:rPr>
      </w:pPr>
      <w:r w:rsidRPr="00D5592A">
        <w:rPr>
          <w:rFonts w:ascii="Arial" w:eastAsia="Times New Roman" w:hAnsi="Arial" w:cs="Arial"/>
          <w:color w:val="1F1F1F"/>
          <w:kern w:val="0"/>
          <w:sz w:val="24"/>
          <w:szCs w:val="24"/>
          <w14:ligatures w14:val="none"/>
        </w:rPr>
        <w:t>This creates a "dead zone" around the moving average that ignores market noise and only acts on confirmed macro-regime shifts.</w:t>
      </w:r>
    </w:p>
    <w:p w14:paraId="77607C8E" w14:textId="77777777" w:rsidR="00D5592A" w:rsidRPr="00D5592A" w:rsidRDefault="00D5592A" w:rsidP="00D5592A">
      <w:pPr>
        <w:spacing w:after="0" w:line="240" w:lineRule="auto"/>
        <w:outlineLvl w:val="2"/>
        <w:rPr>
          <w:rFonts w:ascii="Arial" w:eastAsia="Times New Roman" w:hAnsi="Arial" w:cs="Arial"/>
          <w:b/>
          <w:bCs/>
          <w:color w:val="1F1F1F"/>
          <w:kern w:val="0"/>
          <w:sz w:val="27"/>
          <w:szCs w:val="27"/>
          <w14:ligatures w14:val="none"/>
        </w:rPr>
      </w:pPr>
      <w:r w:rsidRPr="00D5592A">
        <w:rPr>
          <w:rFonts w:ascii="Arial" w:eastAsia="Times New Roman" w:hAnsi="Arial" w:cs="Arial"/>
          <w:b/>
          <w:bCs/>
          <w:color w:val="1F1F1F"/>
          <w:kern w:val="0"/>
          <w:sz w:val="27"/>
          <w:szCs w:val="27"/>
          <w14:ligatures w14:val="none"/>
        </w:rPr>
        <w:t>2. The Daily vs. Weekly Cadence Clash</w:t>
      </w:r>
    </w:p>
    <w:p w14:paraId="4B9751EA" w14:textId="77777777" w:rsidR="00D5592A" w:rsidRPr="00D5592A" w:rsidRDefault="00D5592A" w:rsidP="00D5592A">
      <w:p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b/>
          <w:bCs/>
          <w:color w:val="1F1F1F"/>
          <w:kern w:val="0"/>
          <w:sz w:val="24"/>
          <w:szCs w:val="24"/>
          <w:bdr w:val="none" w:sz="0" w:space="0" w:color="auto" w:frame="1"/>
          <w14:ligatures w14:val="none"/>
        </w:rPr>
        <w:t>The Flaw:</w:t>
      </w:r>
      <w:r w:rsidRPr="00D5592A">
        <w:rPr>
          <w:rFonts w:ascii="Arial" w:eastAsia="Times New Roman" w:hAnsi="Arial" w:cs="Arial"/>
          <w:color w:val="1F1F1F"/>
          <w:kern w:val="0"/>
          <w:sz w:val="24"/>
          <w:szCs w:val="24"/>
          <w14:ligatures w14:val="none"/>
        </w:rPr>
        <w:t xml:space="preserve"> The core IRAPM system is structurally built around a </w:t>
      </w:r>
      <w:r w:rsidRPr="00D5592A">
        <w:rPr>
          <w:rFonts w:ascii="Arial" w:eastAsia="Times New Roman" w:hAnsi="Arial" w:cs="Arial"/>
          <w:b/>
          <w:bCs/>
          <w:color w:val="1F1F1F"/>
          <w:kern w:val="0"/>
          <w:sz w:val="24"/>
          <w:szCs w:val="24"/>
          <w:bdr w:val="none" w:sz="0" w:space="0" w:color="auto" w:frame="1"/>
          <w14:ligatures w14:val="none"/>
        </w:rPr>
        <w:t>weekly</w:t>
      </w:r>
      <w:r w:rsidRPr="00D5592A">
        <w:rPr>
          <w:rFonts w:ascii="Arial" w:eastAsia="Times New Roman" w:hAnsi="Arial" w:cs="Arial"/>
          <w:color w:val="1F1F1F"/>
          <w:kern w:val="0"/>
          <w:sz w:val="24"/>
          <w:szCs w:val="24"/>
          <w14:ligatures w14:val="none"/>
        </w:rPr>
        <w:t xml:space="preserve"> cycle. The Decision Layer (§7), the </w:t>
      </w:r>
      <w:proofErr w:type="spellStart"/>
      <w:r w:rsidRPr="00D5592A">
        <w:rPr>
          <w:rFonts w:ascii="Arial" w:eastAsia="Times New Roman" w:hAnsi="Arial" w:cs="Arial"/>
          <w:color w:val="1F1F1F"/>
          <w:kern w:val="0"/>
          <w:sz w:val="23"/>
          <w:szCs w:val="23"/>
          <w14:ligatures w14:val="none"/>
        </w:rPr>
        <w:t>cycle_</w:t>
      </w:r>
      <w:proofErr w:type="gramStart"/>
      <w:r w:rsidRPr="00D5592A">
        <w:rPr>
          <w:rFonts w:ascii="Arial" w:eastAsia="Times New Roman" w:hAnsi="Arial" w:cs="Arial"/>
          <w:color w:val="1F1F1F"/>
          <w:kern w:val="0"/>
          <w:sz w:val="23"/>
          <w:szCs w:val="23"/>
          <w14:ligatures w14:val="none"/>
        </w:rPr>
        <w:t>attempt.json</w:t>
      </w:r>
      <w:proofErr w:type="spellEnd"/>
      <w:proofErr w:type="gramEnd"/>
      <w:r w:rsidRPr="00D5592A">
        <w:rPr>
          <w:rFonts w:ascii="Arial" w:eastAsia="Times New Roman" w:hAnsi="Arial" w:cs="Arial"/>
          <w:color w:val="1F1F1F"/>
          <w:kern w:val="0"/>
          <w:sz w:val="24"/>
          <w:szCs w:val="24"/>
          <w14:ligatures w14:val="none"/>
        </w:rPr>
        <w:t xml:space="preserve"> idempotency locks (§15), and the Event Log are all optimized for a system that wakes up once a week, takes a breath, and acts. Forcing the Momentum Engine to evaluate and trade </w:t>
      </w:r>
      <w:r w:rsidRPr="00D5592A">
        <w:rPr>
          <w:rFonts w:ascii="Arial" w:eastAsia="Times New Roman" w:hAnsi="Arial" w:cs="Arial"/>
          <w:i/>
          <w:iCs/>
          <w:color w:val="1F1F1F"/>
          <w:kern w:val="0"/>
          <w:sz w:val="24"/>
          <w:szCs w:val="24"/>
          <w:bdr w:val="none" w:sz="0" w:space="0" w:color="auto" w:frame="1"/>
          <w14:ligatures w14:val="none"/>
        </w:rPr>
        <w:t>daily</w:t>
      </w:r>
      <w:r w:rsidRPr="00D5592A">
        <w:rPr>
          <w:rFonts w:ascii="Arial" w:eastAsia="Times New Roman" w:hAnsi="Arial" w:cs="Arial"/>
          <w:color w:val="1F1F1F"/>
          <w:kern w:val="0"/>
          <w:sz w:val="24"/>
          <w:szCs w:val="24"/>
          <w14:ligatures w14:val="none"/>
        </w:rPr>
        <w:t xml:space="preserve"> puts intense pressure on your broker layer and increases the surface area for API timeouts, </w:t>
      </w:r>
      <w:proofErr w:type="spellStart"/>
      <w:r w:rsidRPr="00D5592A">
        <w:rPr>
          <w:rFonts w:ascii="Arial" w:eastAsia="Times New Roman" w:hAnsi="Arial" w:cs="Arial"/>
          <w:color w:val="1F1F1F"/>
          <w:kern w:val="0"/>
          <w:sz w:val="23"/>
          <w:szCs w:val="23"/>
          <w14:ligatures w14:val="none"/>
        </w:rPr>
        <w:t>reqMktData</w:t>
      </w:r>
      <w:proofErr w:type="spellEnd"/>
      <w:r w:rsidRPr="00D5592A">
        <w:rPr>
          <w:rFonts w:ascii="Arial" w:eastAsia="Times New Roman" w:hAnsi="Arial" w:cs="Arial"/>
          <w:color w:val="1F1F1F"/>
          <w:kern w:val="0"/>
          <w:sz w:val="24"/>
          <w:szCs w:val="24"/>
          <w14:ligatures w14:val="none"/>
        </w:rPr>
        <w:t xml:space="preserve"> failures, and split-brain sync issues between your two hardware boxes.</w:t>
      </w:r>
    </w:p>
    <w:p w14:paraId="072E6171" w14:textId="77777777" w:rsidR="00D5592A" w:rsidRPr="00D5592A" w:rsidRDefault="00D5592A" w:rsidP="00D5592A">
      <w:p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b/>
          <w:bCs/>
          <w:color w:val="1F1F1F"/>
          <w:kern w:val="0"/>
          <w:sz w:val="24"/>
          <w:szCs w:val="24"/>
          <w:bdr w:val="none" w:sz="0" w:space="0" w:color="auto" w:frame="1"/>
          <w14:ligatures w14:val="none"/>
        </w:rPr>
        <w:t>The Improvement:</w:t>
      </w:r>
      <w:r w:rsidRPr="00D5592A">
        <w:rPr>
          <w:rFonts w:ascii="Arial" w:eastAsia="Times New Roman" w:hAnsi="Arial" w:cs="Arial"/>
          <w:color w:val="1F1F1F"/>
          <w:kern w:val="0"/>
          <w:sz w:val="24"/>
          <w:szCs w:val="24"/>
          <w14:ligatures w14:val="none"/>
        </w:rPr>
        <w:t xml:space="preserve"> If you are using long-term macro indicators like the 150-day and 200-day moving averages, a daily evaluation is false precision. A macro regime doesn't meaningfully shift overnight.</w:t>
      </w:r>
    </w:p>
    <w:p w14:paraId="195CE0F4" w14:textId="77777777" w:rsidR="00D5592A" w:rsidRPr="00D5592A" w:rsidRDefault="00D5592A" w:rsidP="00D5592A">
      <w:pPr>
        <w:numPr>
          <w:ilvl w:val="0"/>
          <w:numId w:val="3"/>
        </w:num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color w:val="1F1F1F"/>
          <w:kern w:val="0"/>
          <w:sz w:val="24"/>
          <w:szCs w:val="24"/>
          <w14:ligatures w14:val="none"/>
        </w:rPr>
        <w:t xml:space="preserve">Evaluate the Momentum signal </w:t>
      </w:r>
      <w:r w:rsidRPr="00D5592A">
        <w:rPr>
          <w:rFonts w:ascii="Arial" w:eastAsia="Times New Roman" w:hAnsi="Arial" w:cs="Arial"/>
          <w:b/>
          <w:bCs/>
          <w:color w:val="1F1F1F"/>
          <w:kern w:val="0"/>
          <w:sz w:val="24"/>
          <w:szCs w:val="24"/>
          <w:bdr w:val="none" w:sz="0" w:space="0" w:color="auto" w:frame="1"/>
          <w14:ligatures w14:val="none"/>
        </w:rPr>
        <w:t>weekly</w:t>
      </w:r>
      <w:r w:rsidRPr="00D5592A">
        <w:rPr>
          <w:rFonts w:ascii="Arial" w:eastAsia="Times New Roman" w:hAnsi="Arial" w:cs="Arial"/>
          <w:color w:val="1F1F1F"/>
          <w:kern w:val="0"/>
          <w:sz w:val="24"/>
          <w:szCs w:val="24"/>
          <w14:ligatures w14:val="none"/>
        </w:rPr>
        <w:t>, using the exact same cycle schedule as Phase 1 and 3.</w:t>
      </w:r>
    </w:p>
    <w:p w14:paraId="1B2EAD43" w14:textId="77777777" w:rsidR="00D5592A" w:rsidRPr="00D5592A" w:rsidRDefault="00D5592A" w:rsidP="00D5592A">
      <w:pPr>
        <w:numPr>
          <w:ilvl w:val="0"/>
          <w:numId w:val="3"/>
        </w:num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color w:val="1F1F1F"/>
          <w:kern w:val="0"/>
          <w:sz w:val="24"/>
          <w:szCs w:val="24"/>
          <w14:ligatures w14:val="none"/>
        </w:rPr>
        <w:t xml:space="preserve">If you must evaluate daily to catch a Black Monday crash, restrict the </w:t>
      </w:r>
      <w:r w:rsidRPr="00D5592A">
        <w:rPr>
          <w:rFonts w:ascii="Arial" w:eastAsia="Times New Roman" w:hAnsi="Arial" w:cs="Arial"/>
          <w:i/>
          <w:iCs/>
          <w:color w:val="1F1F1F"/>
          <w:kern w:val="0"/>
          <w:sz w:val="24"/>
          <w:szCs w:val="24"/>
          <w:bdr w:val="none" w:sz="0" w:space="0" w:color="auto" w:frame="1"/>
          <w14:ligatures w14:val="none"/>
        </w:rPr>
        <w:t>Action</w:t>
      </w:r>
      <w:r w:rsidRPr="00D5592A">
        <w:rPr>
          <w:rFonts w:ascii="Arial" w:eastAsia="Times New Roman" w:hAnsi="Arial" w:cs="Arial"/>
          <w:color w:val="1F1F1F"/>
          <w:kern w:val="0"/>
          <w:sz w:val="24"/>
          <w:szCs w:val="24"/>
          <w14:ligatures w14:val="none"/>
        </w:rPr>
        <w:t xml:space="preserve"> to a weekly cycle unless the signal violates a catastrophic threshold (e.g., QQQ drops 5% below the SMA in a single day).</w:t>
      </w:r>
    </w:p>
    <w:p w14:paraId="68B994CA" w14:textId="77777777" w:rsidR="00D5592A" w:rsidRPr="00D5592A" w:rsidRDefault="00D5592A" w:rsidP="00D5592A">
      <w:pPr>
        <w:spacing w:after="0" w:line="240" w:lineRule="auto"/>
        <w:outlineLvl w:val="2"/>
        <w:rPr>
          <w:rFonts w:ascii="Arial" w:eastAsia="Times New Roman" w:hAnsi="Arial" w:cs="Arial"/>
          <w:b/>
          <w:bCs/>
          <w:color w:val="1F1F1F"/>
          <w:kern w:val="0"/>
          <w:sz w:val="27"/>
          <w:szCs w:val="27"/>
          <w14:ligatures w14:val="none"/>
        </w:rPr>
      </w:pPr>
      <w:r w:rsidRPr="00D5592A">
        <w:rPr>
          <w:rFonts w:ascii="Arial" w:eastAsia="Times New Roman" w:hAnsi="Arial" w:cs="Arial"/>
          <w:b/>
          <w:bCs/>
          <w:color w:val="1F1F1F"/>
          <w:kern w:val="0"/>
          <w:sz w:val="27"/>
          <w:szCs w:val="27"/>
          <w14:ligatures w14:val="none"/>
        </w:rPr>
        <w:t>3. The TQQQ "Beta Slippage" Trap in Choppy Markets</w:t>
      </w:r>
    </w:p>
    <w:p w14:paraId="328E0517" w14:textId="77777777" w:rsidR="00D5592A" w:rsidRPr="00D5592A" w:rsidRDefault="00D5592A" w:rsidP="00D5592A">
      <w:p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b/>
          <w:bCs/>
          <w:color w:val="1F1F1F"/>
          <w:kern w:val="0"/>
          <w:sz w:val="24"/>
          <w:szCs w:val="24"/>
          <w:bdr w:val="none" w:sz="0" w:space="0" w:color="auto" w:frame="1"/>
          <w14:ligatures w14:val="none"/>
        </w:rPr>
        <w:t>The Flaw:</w:t>
      </w:r>
      <w:r w:rsidRPr="00D5592A">
        <w:rPr>
          <w:rFonts w:ascii="Arial" w:eastAsia="Times New Roman" w:hAnsi="Arial" w:cs="Arial"/>
          <w:color w:val="1F1F1F"/>
          <w:kern w:val="0"/>
          <w:sz w:val="24"/>
          <w:szCs w:val="24"/>
          <w14:ligatures w14:val="none"/>
        </w:rPr>
        <w:t xml:space="preserve"> TQQQ is designed to deliver 3x the </w:t>
      </w:r>
      <w:r w:rsidRPr="00D5592A">
        <w:rPr>
          <w:rFonts w:ascii="Arial" w:eastAsia="Times New Roman" w:hAnsi="Arial" w:cs="Arial"/>
          <w:i/>
          <w:iCs/>
          <w:color w:val="1F1F1F"/>
          <w:kern w:val="0"/>
          <w:sz w:val="24"/>
          <w:szCs w:val="24"/>
          <w:bdr w:val="none" w:sz="0" w:space="0" w:color="auto" w:frame="1"/>
          <w14:ligatures w14:val="none"/>
        </w:rPr>
        <w:t>daily</w:t>
      </w:r>
      <w:r w:rsidRPr="00D5592A">
        <w:rPr>
          <w:rFonts w:ascii="Arial" w:eastAsia="Times New Roman" w:hAnsi="Arial" w:cs="Arial"/>
          <w:color w:val="1F1F1F"/>
          <w:kern w:val="0"/>
          <w:sz w:val="24"/>
          <w:szCs w:val="24"/>
          <w14:ligatures w14:val="none"/>
        </w:rPr>
        <w:t xml:space="preserve"> return of QQQ. In a smooth, multi-year bull market, this compounds beautifully. But in a volatile, choppy market that hasn't quite broken down below your moving average, the math works against you. If QQQ </w:t>
      </w:r>
      <w:r w:rsidRPr="00D5592A">
        <w:rPr>
          <w:rFonts w:ascii="Arial" w:eastAsia="Times New Roman" w:hAnsi="Arial" w:cs="Arial"/>
          <w:color w:val="1F1F1F"/>
          <w:kern w:val="0"/>
          <w:sz w:val="24"/>
          <w:szCs w:val="24"/>
          <w14:ligatures w14:val="none"/>
        </w:rPr>
        <w:lastRenderedPageBreak/>
        <w:t>goes up 5% one day and down 4.76% the next day, it is back to even. TQQQ will go up 15% and down 14.28%—leaving you mathematically poorer due to volatility decay.</w:t>
      </w:r>
    </w:p>
    <w:p w14:paraId="0D6618ED" w14:textId="77777777" w:rsidR="00D5592A" w:rsidRPr="00D5592A" w:rsidRDefault="00D5592A" w:rsidP="00D5592A">
      <w:p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b/>
          <w:bCs/>
          <w:color w:val="1F1F1F"/>
          <w:kern w:val="0"/>
          <w:sz w:val="24"/>
          <w:szCs w:val="24"/>
          <w:bdr w:val="none" w:sz="0" w:space="0" w:color="auto" w:frame="1"/>
          <w14:ligatures w14:val="none"/>
        </w:rPr>
        <w:t>The Improvement:</w:t>
      </w:r>
      <w:r w:rsidRPr="00D5592A">
        <w:rPr>
          <w:rFonts w:ascii="Arial" w:eastAsia="Times New Roman" w:hAnsi="Arial" w:cs="Arial"/>
          <w:color w:val="1F1F1F"/>
          <w:kern w:val="0"/>
          <w:sz w:val="24"/>
          <w:szCs w:val="24"/>
          <w14:ligatures w14:val="none"/>
        </w:rPr>
        <w:t xml:space="preserve"> Ensure your momentum engine has an "idle" or "de-leveraged" state. A binary TQQQ or SGOV switch assumes the market is either screaming upward or crashing downward.</w:t>
      </w:r>
    </w:p>
    <w:p w14:paraId="20D70036" w14:textId="77777777" w:rsidR="00D5592A" w:rsidRPr="00D5592A" w:rsidRDefault="00D5592A" w:rsidP="00D5592A">
      <w:pPr>
        <w:numPr>
          <w:ilvl w:val="0"/>
          <w:numId w:val="4"/>
        </w:num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color w:val="1F1F1F"/>
          <w:kern w:val="0"/>
          <w:sz w:val="24"/>
          <w:szCs w:val="24"/>
          <w14:ligatures w14:val="none"/>
        </w:rPr>
        <w:t>Consider a 3-state engine based on your two moving averages:</w:t>
      </w:r>
    </w:p>
    <w:p w14:paraId="732FCF5C" w14:textId="77777777" w:rsidR="00D5592A" w:rsidRPr="00D5592A" w:rsidRDefault="00D5592A" w:rsidP="00D5592A">
      <w:pPr>
        <w:numPr>
          <w:ilvl w:val="1"/>
          <w:numId w:val="4"/>
        </w:num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b/>
          <w:bCs/>
          <w:color w:val="1F1F1F"/>
          <w:kern w:val="0"/>
          <w:sz w:val="24"/>
          <w:szCs w:val="24"/>
          <w:bdr w:val="none" w:sz="0" w:space="0" w:color="auto" w:frame="1"/>
          <w14:ligatures w14:val="none"/>
        </w:rPr>
        <w:t>State 1 (Aggressive):</w:t>
      </w:r>
      <w:r w:rsidRPr="00D5592A">
        <w:rPr>
          <w:rFonts w:ascii="Arial" w:eastAsia="Times New Roman" w:hAnsi="Arial" w:cs="Arial"/>
          <w:color w:val="1F1F1F"/>
          <w:kern w:val="0"/>
          <w:sz w:val="24"/>
          <w:szCs w:val="24"/>
          <w14:ligatures w14:val="none"/>
        </w:rPr>
        <w:t xml:space="preserve"> QQQ &gt; 150 SMA </w:t>
      </w:r>
      <w:r w:rsidRPr="00D5592A">
        <w:rPr>
          <w:rFonts w:ascii="Arial" w:eastAsia="Times New Roman" w:hAnsi="Arial" w:cs="Arial"/>
          <w:i/>
          <w:iCs/>
          <w:color w:val="1F1F1F"/>
          <w:kern w:val="0"/>
          <w:sz w:val="24"/>
          <w:szCs w:val="24"/>
          <w:bdr w:val="none" w:sz="0" w:space="0" w:color="auto" w:frame="1"/>
          <w14:ligatures w14:val="none"/>
        </w:rPr>
        <w:t>and</w:t>
      </w:r>
      <w:r w:rsidRPr="00D5592A">
        <w:rPr>
          <w:rFonts w:ascii="Arial" w:eastAsia="Times New Roman" w:hAnsi="Arial" w:cs="Arial"/>
          <w:color w:val="1F1F1F"/>
          <w:kern w:val="0"/>
          <w:sz w:val="24"/>
          <w:szCs w:val="24"/>
          <w14:ligatures w14:val="none"/>
        </w:rPr>
        <w:t xml:space="preserve"> 150 SMA &gt; 200 SMA </w:t>
      </w:r>
      <w:r w:rsidRPr="00D5592A">
        <w:rPr>
          <w:rFonts w:ascii="Arial" w:eastAsia="Times New Roman" w:hAnsi="Arial" w:cs="Arial"/>
          <w:color w:val="1F1F1F"/>
          <w:kern w:val="0"/>
          <w:sz w:val="24"/>
          <w:szCs w:val="24"/>
          <w:bdr w:val="none" w:sz="0" w:space="0" w:color="auto" w:frame="1"/>
          <w14:ligatures w14:val="none"/>
        </w:rPr>
        <w:t>$\</w:t>
      </w:r>
      <w:proofErr w:type="spellStart"/>
      <w:r w:rsidRPr="00D5592A">
        <w:rPr>
          <w:rFonts w:ascii="Arial" w:eastAsia="Times New Roman" w:hAnsi="Arial" w:cs="Arial"/>
          <w:color w:val="1F1F1F"/>
          <w:kern w:val="0"/>
          <w:sz w:val="24"/>
          <w:szCs w:val="24"/>
          <w:bdr w:val="none" w:sz="0" w:space="0" w:color="auto" w:frame="1"/>
          <w14:ligatures w14:val="none"/>
        </w:rPr>
        <w:t>rightarrow</w:t>
      </w:r>
      <w:proofErr w:type="spellEnd"/>
      <w:r w:rsidRPr="00D5592A">
        <w:rPr>
          <w:rFonts w:ascii="Arial" w:eastAsia="Times New Roman" w:hAnsi="Arial" w:cs="Arial"/>
          <w:color w:val="1F1F1F"/>
          <w:kern w:val="0"/>
          <w:sz w:val="24"/>
          <w:szCs w:val="24"/>
          <w:bdr w:val="none" w:sz="0" w:space="0" w:color="auto" w:frame="1"/>
          <w14:ligatures w14:val="none"/>
        </w:rPr>
        <w:t>$</w:t>
      </w:r>
      <w:r w:rsidRPr="00D5592A">
        <w:rPr>
          <w:rFonts w:ascii="Arial" w:eastAsia="Times New Roman" w:hAnsi="Arial" w:cs="Arial"/>
          <w:color w:val="1F1F1F"/>
          <w:kern w:val="0"/>
          <w:sz w:val="24"/>
          <w:szCs w:val="24"/>
          <w14:ligatures w14:val="none"/>
        </w:rPr>
        <w:t xml:space="preserve"> Hold </w:t>
      </w:r>
      <w:r w:rsidRPr="00D5592A">
        <w:rPr>
          <w:rFonts w:ascii="Arial" w:eastAsia="Times New Roman" w:hAnsi="Arial" w:cs="Arial"/>
          <w:b/>
          <w:bCs/>
          <w:color w:val="1F1F1F"/>
          <w:kern w:val="0"/>
          <w:sz w:val="24"/>
          <w:szCs w:val="24"/>
          <w:bdr w:val="none" w:sz="0" w:space="0" w:color="auto" w:frame="1"/>
          <w14:ligatures w14:val="none"/>
        </w:rPr>
        <w:t>TQQQ</w:t>
      </w:r>
      <w:r w:rsidRPr="00D5592A">
        <w:rPr>
          <w:rFonts w:ascii="Arial" w:eastAsia="Times New Roman" w:hAnsi="Arial" w:cs="Arial"/>
          <w:color w:val="1F1F1F"/>
          <w:kern w:val="0"/>
          <w:sz w:val="24"/>
          <w:szCs w:val="24"/>
          <w14:ligatures w14:val="none"/>
        </w:rPr>
        <w:t>.</w:t>
      </w:r>
    </w:p>
    <w:p w14:paraId="0C330206" w14:textId="77777777" w:rsidR="00D5592A" w:rsidRPr="00D5592A" w:rsidRDefault="00D5592A" w:rsidP="00D5592A">
      <w:pPr>
        <w:numPr>
          <w:ilvl w:val="1"/>
          <w:numId w:val="4"/>
        </w:num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b/>
          <w:bCs/>
          <w:color w:val="1F1F1F"/>
          <w:kern w:val="0"/>
          <w:sz w:val="24"/>
          <w:szCs w:val="24"/>
          <w:bdr w:val="none" w:sz="0" w:space="0" w:color="auto" w:frame="1"/>
          <w14:ligatures w14:val="none"/>
        </w:rPr>
        <w:t>State 2 (Neutral/Choppy):</w:t>
      </w:r>
      <w:r w:rsidRPr="00D5592A">
        <w:rPr>
          <w:rFonts w:ascii="Arial" w:eastAsia="Times New Roman" w:hAnsi="Arial" w:cs="Arial"/>
          <w:color w:val="1F1F1F"/>
          <w:kern w:val="0"/>
          <w:sz w:val="24"/>
          <w:szCs w:val="24"/>
          <w14:ligatures w14:val="none"/>
        </w:rPr>
        <w:t xml:space="preserve"> QQQ is between the 150 and 200 SMA </w:t>
      </w:r>
      <w:r w:rsidRPr="00D5592A">
        <w:rPr>
          <w:rFonts w:ascii="Arial" w:eastAsia="Times New Roman" w:hAnsi="Arial" w:cs="Arial"/>
          <w:color w:val="1F1F1F"/>
          <w:kern w:val="0"/>
          <w:sz w:val="24"/>
          <w:szCs w:val="24"/>
          <w:bdr w:val="none" w:sz="0" w:space="0" w:color="auto" w:frame="1"/>
          <w14:ligatures w14:val="none"/>
        </w:rPr>
        <w:t>$\</w:t>
      </w:r>
      <w:proofErr w:type="spellStart"/>
      <w:r w:rsidRPr="00D5592A">
        <w:rPr>
          <w:rFonts w:ascii="Arial" w:eastAsia="Times New Roman" w:hAnsi="Arial" w:cs="Arial"/>
          <w:color w:val="1F1F1F"/>
          <w:kern w:val="0"/>
          <w:sz w:val="24"/>
          <w:szCs w:val="24"/>
          <w:bdr w:val="none" w:sz="0" w:space="0" w:color="auto" w:frame="1"/>
          <w14:ligatures w14:val="none"/>
        </w:rPr>
        <w:t>rightarrow</w:t>
      </w:r>
      <w:proofErr w:type="spellEnd"/>
      <w:r w:rsidRPr="00D5592A">
        <w:rPr>
          <w:rFonts w:ascii="Arial" w:eastAsia="Times New Roman" w:hAnsi="Arial" w:cs="Arial"/>
          <w:color w:val="1F1F1F"/>
          <w:kern w:val="0"/>
          <w:sz w:val="24"/>
          <w:szCs w:val="24"/>
          <w:bdr w:val="none" w:sz="0" w:space="0" w:color="auto" w:frame="1"/>
          <w14:ligatures w14:val="none"/>
        </w:rPr>
        <w:t>$</w:t>
      </w:r>
      <w:r w:rsidRPr="00D5592A">
        <w:rPr>
          <w:rFonts w:ascii="Arial" w:eastAsia="Times New Roman" w:hAnsi="Arial" w:cs="Arial"/>
          <w:color w:val="1F1F1F"/>
          <w:kern w:val="0"/>
          <w:sz w:val="24"/>
          <w:szCs w:val="24"/>
          <w14:ligatures w14:val="none"/>
        </w:rPr>
        <w:t xml:space="preserve"> Hold standard </w:t>
      </w:r>
      <w:r w:rsidRPr="00D5592A">
        <w:rPr>
          <w:rFonts w:ascii="Arial" w:eastAsia="Times New Roman" w:hAnsi="Arial" w:cs="Arial"/>
          <w:b/>
          <w:bCs/>
          <w:color w:val="1F1F1F"/>
          <w:kern w:val="0"/>
          <w:sz w:val="24"/>
          <w:szCs w:val="24"/>
          <w:bdr w:val="none" w:sz="0" w:space="0" w:color="auto" w:frame="1"/>
          <w14:ligatures w14:val="none"/>
        </w:rPr>
        <w:t>QQQ</w:t>
      </w:r>
      <w:r w:rsidRPr="00D5592A">
        <w:rPr>
          <w:rFonts w:ascii="Arial" w:eastAsia="Times New Roman" w:hAnsi="Arial" w:cs="Arial"/>
          <w:color w:val="1F1F1F"/>
          <w:kern w:val="0"/>
          <w:sz w:val="24"/>
          <w:szCs w:val="24"/>
          <w14:ligatures w14:val="none"/>
        </w:rPr>
        <w:t xml:space="preserve"> (strips out the 3x leverage penalty while the trend is undecided).</w:t>
      </w:r>
    </w:p>
    <w:p w14:paraId="1BE14E90" w14:textId="77777777" w:rsidR="00D5592A" w:rsidRPr="00D5592A" w:rsidRDefault="00D5592A" w:rsidP="00D5592A">
      <w:pPr>
        <w:numPr>
          <w:ilvl w:val="1"/>
          <w:numId w:val="4"/>
        </w:num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b/>
          <w:bCs/>
          <w:color w:val="1F1F1F"/>
          <w:kern w:val="0"/>
          <w:sz w:val="24"/>
          <w:szCs w:val="24"/>
          <w:bdr w:val="none" w:sz="0" w:space="0" w:color="auto" w:frame="1"/>
          <w14:ligatures w14:val="none"/>
        </w:rPr>
        <w:t>State 3 (Defensive):</w:t>
      </w:r>
      <w:r w:rsidRPr="00D5592A">
        <w:rPr>
          <w:rFonts w:ascii="Arial" w:eastAsia="Times New Roman" w:hAnsi="Arial" w:cs="Arial"/>
          <w:color w:val="1F1F1F"/>
          <w:kern w:val="0"/>
          <w:sz w:val="24"/>
          <w:szCs w:val="24"/>
          <w14:ligatures w14:val="none"/>
        </w:rPr>
        <w:t xml:space="preserve"> QQQ &lt; 200 SMA </w:t>
      </w:r>
      <w:r w:rsidRPr="00D5592A">
        <w:rPr>
          <w:rFonts w:ascii="Arial" w:eastAsia="Times New Roman" w:hAnsi="Arial" w:cs="Arial"/>
          <w:color w:val="1F1F1F"/>
          <w:kern w:val="0"/>
          <w:sz w:val="24"/>
          <w:szCs w:val="24"/>
          <w:bdr w:val="none" w:sz="0" w:space="0" w:color="auto" w:frame="1"/>
          <w14:ligatures w14:val="none"/>
        </w:rPr>
        <w:t>$\</w:t>
      </w:r>
      <w:proofErr w:type="spellStart"/>
      <w:r w:rsidRPr="00D5592A">
        <w:rPr>
          <w:rFonts w:ascii="Arial" w:eastAsia="Times New Roman" w:hAnsi="Arial" w:cs="Arial"/>
          <w:color w:val="1F1F1F"/>
          <w:kern w:val="0"/>
          <w:sz w:val="24"/>
          <w:szCs w:val="24"/>
          <w:bdr w:val="none" w:sz="0" w:space="0" w:color="auto" w:frame="1"/>
          <w14:ligatures w14:val="none"/>
        </w:rPr>
        <w:t>rightarrow</w:t>
      </w:r>
      <w:proofErr w:type="spellEnd"/>
      <w:r w:rsidRPr="00D5592A">
        <w:rPr>
          <w:rFonts w:ascii="Arial" w:eastAsia="Times New Roman" w:hAnsi="Arial" w:cs="Arial"/>
          <w:color w:val="1F1F1F"/>
          <w:kern w:val="0"/>
          <w:sz w:val="24"/>
          <w:szCs w:val="24"/>
          <w:bdr w:val="none" w:sz="0" w:space="0" w:color="auto" w:frame="1"/>
          <w14:ligatures w14:val="none"/>
        </w:rPr>
        <w:t>$</w:t>
      </w:r>
      <w:r w:rsidRPr="00D5592A">
        <w:rPr>
          <w:rFonts w:ascii="Arial" w:eastAsia="Times New Roman" w:hAnsi="Arial" w:cs="Arial"/>
          <w:color w:val="1F1F1F"/>
          <w:kern w:val="0"/>
          <w:sz w:val="24"/>
          <w:szCs w:val="24"/>
          <w14:ligatures w14:val="none"/>
        </w:rPr>
        <w:t xml:space="preserve"> Hold </w:t>
      </w:r>
      <w:r w:rsidRPr="00D5592A">
        <w:rPr>
          <w:rFonts w:ascii="Arial" w:eastAsia="Times New Roman" w:hAnsi="Arial" w:cs="Arial"/>
          <w:b/>
          <w:bCs/>
          <w:color w:val="1F1F1F"/>
          <w:kern w:val="0"/>
          <w:sz w:val="24"/>
          <w:szCs w:val="24"/>
          <w:bdr w:val="none" w:sz="0" w:space="0" w:color="auto" w:frame="1"/>
          <w14:ligatures w14:val="none"/>
        </w:rPr>
        <w:t>SGOV</w:t>
      </w:r>
      <w:r w:rsidRPr="00D5592A">
        <w:rPr>
          <w:rFonts w:ascii="Arial" w:eastAsia="Times New Roman" w:hAnsi="Arial" w:cs="Arial"/>
          <w:color w:val="1F1F1F"/>
          <w:kern w:val="0"/>
          <w:sz w:val="24"/>
          <w:szCs w:val="24"/>
          <w14:ligatures w14:val="none"/>
        </w:rPr>
        <w:t>.</w:t>
      </w:r>
    </w:p>
    <w:p w14:paraId="2D8FAE80" w14:textId="77777777" w:rsidR="00D5592A" w:rsidRPr="00D5592A" w:rsidRDefault="00D5592A" w:rsidP="00D5592A">
      <w:pPr>
        <w:spacing w:after="0" w:line="240" w:lineRule="auto"/>
        <w:outlineLvl w:val="2"/>
        <w:rPr>
          <w:rFonts w:ascii="Arial" w:eastAsia="Times New Roman" w:hAnsi="Arial" w:cs="Arial"/>
          <w:b/>
          <w:bCs/>
          <w:color w:val="1F1F1F"/>
          <w:kern w:val="0"/>
          <w:sz w:val="27"/>
          <w:szCs w:val="27"/>
          <w14:ligatures w14:val="none"/>
        </w:rPr>
      </w:pPr>
      <w:r w:rsidRPr="00D5592A">
        <w:rPr>
          <w:rFonts w:ascii="Arial" w:eastAsia="Times New Roman" w:hAnsi="Arial" w:cs="Arial"/>
          <w:b/>
          <w:bCs/>
          <w:color w:val="1F1F1F"/>
          <w:kern w:val="0"/>
          <w:sz w:val="27"/>
          <w:szCs w:val="27"/>
          <w14:ligatures w14:val="none"/>
        </w:rPr>
        <w:t>Summary Recommendation</w:t>
      </w:r>
    </w:p>
    <w:p w14:paraId="7C262336" w14:textId="77777777" w:rsidR="00D5592A" w:rsidRPr="00D5592A" w:rsidRDefault="00D5592A" w:rsidP="00D5592A">
      <w:pPr>
        <w:spacing w:after="0" w:line="240" w:lineRule="auto"/>
        <w:rPr>
          <w:rFonts w:ascii="Arial" w:eastAsia="Times New Roman" w:hAnsi="Arial" w:cs="Arial"/>
          <w:color w:val="1F1F1F"/>
          <w:kern w:val="0"/>
          <w:sz w:val="24"/>
          <w:szCs w:val="24"/>
          <w14:ligatures w14:val="none"/>
        </w:rPr>
      </w:pPr>
      <w:r w:rsidRPr="00D5592A">
        <w:rPr>
          <w:rFonts w:ascii="Arial" w:eastAsia="Times New Roman" w:hAnsi="Arial" w:cs="Arial"/>
          <w:color w:val="1F1F1F"/>
          <w:kern w:val="0"/>
          <w:sz w:val="24"/>
          <w:szCs w:val="24"/>
          <w14:ligatures w14:val="none"/>
        </w:rPr>
        <w:t xml:space="preserve">To align the Momentum Engine with your core design philosophy: Add a </w:t>
      </w:r>
      <w:r w:rsidRPr="00D5592A">
        <w:rPr>
          <w:rFonts w:ascii="Arial" w:eastAsia="Times New Roman" w:hAnsi="Arial" w:cs="Arial"/>
          <w:b/>
          <w:bCs/>
          <w:color w:val="1F1F1F"/>
          <w:kern w:val="0"/>
          <w:sz w:val="24"/>
          <w:szCs w:val="24"/>
          <w:bdr w:val="none" w:sz="0" w:space="0" w:color="auto" w:frame="1"/>
          <w14:ligatures w14:val="none"/>
        </w:rPr>
        <w:t>1.5% hysteresis band</w:t>
      </w:r>
      <w:r w:rsidRPr="00D5592A">
        <w:rPr>
          <w:rFonts w:ascii="Arial" w:eastAsia="Times New Roman" w:hAnsi="Arial" w:cs="Arial"/>
          <w:color w:val="1F1F1F"/>
          <w:kern w:val="0"/>
          <w:sz w:val="24"/>
          <w:szCs w:val="24"/>
          <w14:ligatures w14:val="none"/>
        </w:rPr>
        <w:t xml:space="preserve"> to the crossover logic to prevent PDT violations, and strongly consider pulling the evaluation cadence back to </w:t>
      </w:r>
      <w:r w:rsidRPr="00D5592A">
        <w:rPr>
          <w:rFonts w:ascii="Arial" w:eastAsia="Times New Roman" w:hAnsi="Arial" w:cs="Arial"/>
          <w:b/>
          <w:bCs/>
          <w:color w:val="1F1F1F"/>
          <w:kern w:val="0"/>
          <w:sz w:val="24"/>
          <w:szCs w:val="24"/>
          <w:bdr w:val="none" w:sz="0" w:space="0" w:color="auto" w:frame="1"/>
          <w14:ligatures w14:val="none"/>
        </w:rPr>
        <w:t>weekly</w:t>
      </w:r>
      <w:r w:rsidRPr="00D5592A">
        <w:rPr>
          <w:rFonts w:ascii="Arial" w:eastAsia="Times New Roman" w:hAnsi="Arial" w:cs="Arial"/>
          <w:color w:val="1F1F1F"/>
          <w:kern w:val="0"/>
          <w:sz w:val="24"/>
          <w:szCs w:val="24"/>
          <w14:ligatures w14:val="none"/>
        </w:rPr>
        <w:t xml:space="preserve"> to utilize the robust cycle idempotency logic you've already built and tested for the other phases.</w:t>
      </w:r>
    </w:p>
    <w:p w14:paraId="0D73B14B" w14:textId="77777777" w:rsidR="001C1FB5" w:rsidRDefault="001C1FB5"/>
    <w:sectPr w:rsidR="001C1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57F12"/>
    <w:multiLevelType w:val="multilevel"/>
    <w:tmpl w:val="76B6C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8233A"/>
    <w:multiLevelType w:val="multilevel"/>
    <w:tmpl w:val="4E9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20877"/>
    <w:multiLevelType w:val="multilevel"/>
    <w:tmpl w:val="C1E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C1B65"/>
    <w:multiLevelType w:val="multilevel"/>
    <w:tmpl w:val="7542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579637">
    <w:abstractNumId w:val="3"/>
  </w:num>
  <w:num w:numId="2" w16cid:durableId="483398360">
    <w:abstractNumId w:val="2"/>
  </w:num>
  <w:num w:numId="3" w16cid:durableId="1098715273">
    <w:abstractNumId w:val="1"/>
  </w:num>
  <w:num w:numId="4" w16cid:durableId="1814134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B8"/>
    <w:rsid w:val="001C1FB5"/>
    <w:rsid w:val="00607DF1"/>
    <w:rsid w:val="006407B8"/>
    <w:rsid w:val="009F1A65"/>
    <w:rsid w:val="00D55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943AF2-D5BF-4B8C-9E46-FD8DA5FC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7B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407B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407B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407B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407B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0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7B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407B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407B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407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407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0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7B8"/>
    <w:rPr>
      <w:rFonts w:eastAsiaTheme="majorEastAsia" w:cstheme="majorBidi"/>
      <w:color w:val="272727" w:themeColor="text1" w:themeTint="D8"/>
    </w:rPr>
  </w:style>
  <w:style w:type="paragraph" w:styleId="Title">
    <w:name w:val="Title"/>
    <w:basedOn w:val="Normal"/>
    <w:next w:val="Normal"/>
    <w:link w:val="TitleChar"/>
    <w:uiPriority w:val="10"/>
    <w:qFormat/>
    <w:rsid w:val="00640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7B8"/>
    <w:pPr>
      <w:spacing w:before="160"/>
      <w:jc w:val="center"/>
    </w:pPr>
    <w:rPr>
      <w:i/>
      <w:iCs/>
      <w:color w:val="404040" w:themeColor="text1" w:themeTint="BF"/>
    </w:rPr>
  </w:style>
  <w:style w:type="character" w:customStyle="1" w:styleId="QuoteChar">
    <w:name w:val="Quote Char"/>
    <w:basedOn w:val="DefaultParagraphFont"/>
    <w:link w:val="Quote"/>
    <w:uiPriority w:val="29"/>
    <w:rsid w:val="006407B8"/>
    <w:rPr>
      <w:i/>
      <w:iCs/>
      <w:color w:val="404040" w:themeColor="text1" w:themeTint="BF"/>
    </w:rPr>
  </w:style>
  <w:style w:type="paragraph" w:styleId="ListParagraph">
    <w:name w:val="List Paragraph"/>
    <w:basedOn w:val="Normal"/>
    <w:uiPriority w:val="34"/>
    <w:qFormat/>
    <w:rsid w:val="006407B8"/>
    <w:pPr>
      <w:ind w:left="720"/>
      <w:contextualSpacing/>
    </w:pPr>
  </w:style>
  <w:style w:type="character" w:styleId="IntenseEmphasis">
    <w:name w:val="Intense Emphasis"/>
    <w:basedOn w:val="DefaultParagraphFont"/>
    <w:uiPriority w:val="21"/>
    <w:qFormat/>
    <w:rsid w:val="006407B8"/>
    <w:rPr>
      <w:i/>
      <w:iCs/>
      <w:color w:val="2E74B5" w:themeColor="accent1" w:themeShade="BF"/>
    </w:rPr>
  </w:style>
  <w:style w:type="paragraph" w:styleId="IntenseQuote">
    <w:name w:val="Intense Quote"/>
    <w:basedOn w:val="Normal"/>
    <w:next w:val="Normal"/>
    <w:link w:val="IntenseQuoteChar"/>
    <w:uiPriority w:val="30"/>
    <w:qFormat/>
    <w:rsid w:val="006407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07B8"/>
    <w:rPr>
      <w:i/>
      <w:iCs/>
      <w:color w:val="2E74B5" w:themeColor="accent1" w:themeShade="BF"/>
    </w:rPr>
  </w:style>
  <w:style w:type="character" w:styleId="IntenseReference">
    <w:name w:val="Intense Reference"/>
    <w:basedOn w:val="DefaultParagraphFont"/>
    <w:uiPriority w:val="32"/>
    <w:qFormat/>
    <w:rsid w:val="006407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61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3591</Characters>
  <Application>Microsoft Office Word</Application>
  <DocSecurity>0</DocSecurity>
  <Lines>29</Lines>
  <Paragraphs>8</Paragraphs>
  <ScaleCrop>false</ScaleCrop>
  <Company>C-17 TS</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David</dc:creator>
  <cp:keywords/>
  <dc:description/>
  <cp:lastModifiedBy>Harrison, David</cp:lastModifiedBy>
  <cp:revision>2</cp:revision>
  <dcterms:created xsi:type="dcterms:W3CDTF">2026-05-22T00:50:00Z</dcterms:created>
  <dcterms:modified xsi:type="dcterms:W3CDTF">2026-05-22T00:51:00Z</dcterms:modified>
</cp:coreProperties>
</file>