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Design Phase</w:t>
      </w:r>
    </w:p>
    <w:p>
      <w:pPr>
        <w:spacing w:after="300"/>
        <w:jc w:val="center"/>
      </w:pPr>
      <w:r>
        <w:rPr>
          <w:b/>
          <w:bCs/>
          <w:sz w:val="28"/>
          <w:szCs w:val="28"/>
        </w:rPr>
        <w:t xml:space="preserve">Proposed Solution Template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000000" w:sz="4"/>
              <w:left w:val="single" w:color="000000" w:sz="4"/>
              <w:bottom w:val="single" w:color="000000" w:sz="4"/>
              <w:right w:val="single" w:color="000000" w:sz="4"/>
            </w:tcBorders>
          </w:tcPr>
          <w:p>
            <w:r>
              <w:t xml:space="preserve">Date</w:t>
            </w:r>
          </w:p>
        </w:tc>
        <w:tc>
          <w:tcPr>
            <w:tcW w:type="dxa" w:w="6500"/>
            <w:tcBorders>
              <w:top w:val="single" w:color="000000" w:sz="4"/>
              <w:left w:val="single" w:color="000000" w:sz="4"/>
              <w:bottom w:val="single" w:color="000000" w:sz="4"/>
              <w:right w:val="single" w:color="000000" w:sz="4"/>
            </w:tcBorders>
          </w:tcPr>
          <w:p>
            <w:r>
              <w:t xml:space="preserve">3 July 2026</w:t>
            </w:r>
          </w:p>
        </w:tc>
      </w:tr>
      <w:tr>
        <w:tc>
          <w:tcPr>
            <w:tcW w:type="dxa" w:w="3000"/>
            <w:tcBorders>
              <w:top w:val="single" w:color="000000" w:sz="4"/>
              <w:left w:val="single" w:color="000000" w:sz="4"/>
              <w:bottom w:val="single" w:color="000000" w:sz="4"/>
              <w:right w:val="single" w:color="000000" w:sz="4"/>
            </w:tcBorders>
          </w:tcPr>
          <w:p>
            <w:r>
              <w:t xml:space="preserve">Team ID</w:t>
            </w:r>
          </w:p>
        </w:tc>
        <w:tc>
          <w:tcPr>
            <w:tcW w:type="dxa" w:w="6500"/>
            <w:tcBorders>
              <w:top w:val="single" w:color="000000" w:sz="4"/>
              <w:left w:val="single" w:color="000000" w:sz="4"/>
              <w:bottom w:val="single" w:color="000000" w:sz="4"/>
              <w:right w:val="single" w:color="000000" w:sz="4"/>
            </w:tcBorders>
          </w:tcPr>
          <w:p>
            <w:r>
              <w:t xml:space="preserve"/>
            </w:r>
          </w:p>
        </w:tc>
      </w:tr>
      <w:tr>
        <w:tc>
          <w:tcPr>
            <w:tcW w:type="dxa" w:w="3000"/>
            <w:tcBorders>
              <w:top w:val="single" w:color="000000" w:sz="4"/>
              <w:left w:val="single" w:color="000000" w:sz="4"/>
              <w:bottom w:val="single" w:color="000000" w:sz="4"/>
              <w:right w:val="single" w:color="000000" w:sz="4"/>
            </w:tcBorders>
          </w:tcPr>
          <w:p>
            <w:r>
              <w:t xml:space="preserve">Project Name</w:t>
            </w:r>
          </w:p>
        </w:tc>
        <w:tc>
          <w:tcPr>
            <w:tcW w:type="dxa" w:w="6500"/>
            <w:tcBorders>
              <w:top w:val="single" w:color="000000" w:sz="4"/>
              <w:left w:val="single" w:color="000000" w:sz="4"/>
              <w:bottom w:val="single" w:color="000000" w:sz="4"/>
              <w:right w:val="single" w:color="000000" w:sz="4"/>
            </w:tcBorders>
          </w:tcPr>
          <w:p>
            <w:r>
              <w:t xml:space="preserve">Rising Waters</w:t>
            </w:r>
          </w:p>
        </w:tc>
      </w:tr>
      <w:tr>
        <w:tc>
          <w:tcPr>
            <w:tcW w:type="dxa" w:w="3000"/>
            <w:tcBorders>
              <w:top w:val="single" w:color="000000" w:sz="4"/>
              <w:left w:val="single" w:color="000000" w:sz="4"/>
              <w:bottom w:val="single" w:color="000000" w:sz="4"/>
              <w:right w:val="single" w:color="000000" w:sz="4"/>
            </w:tcBorders>
          </w:tcPr>
          <w:p>
            <w:r>
              <w:t xml:space="preserve">Maximum Marks</w:t>
            </w:r>
          </w:p>
        </w:tc>
        <w:tc>
          <w:tcPr>
            <w:tcW w:type="dxa" w:w="6500"/>
            <w:tcBorders>
              <w:top w:val="single" w:color="000000" w:sz="4"/>
              <w:left w:val="single" w:color="000000" w:sz="4"/>
              <w:bottom w:val="single" w:color="000000" w:sz="4"/>
              <w:right w:val="single" w:color="000000" w:sz="4"/>
            </w:tcBorders>
          </w:tcPr>
          <w:p>
            <w:r>
              <w:t xml:space="preserve">2 Marks</w:t>
            </w:r>
          </w:p>
        </w:tc>
      </w:tr>
    </w:tbl>
    <w:p>
      <w:pPr>
        <w:spacing w:after="200"/>
      </w:pPr>
    </w:p>
    <w:p>
      <w:pPr>
        <w:spacing w:after="150"/>
      </w:pPr>
      <w:r>
        <w:rPr>
          <w:b/>
          <w:bCs/>
          <w:sz w:val="24"/>
          <w:szCs w:val="24"/>
        </w:rPr>
        <w:t xml:space="preserve">Proposed Solution Template:</w:t>
      </w:r>
    </w:p>
    <w:p>
      <w:pPr>
        <w:spacing w:after="200"/>
      </w:pPr>
      <w:r>
        <w:t xml:space="preserve">Project team shall fill the following information in the proposed solution template.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6400"/>
      </w:tblGrid>
      <w:tr>
        <w:tc>
          <w:tcPr>
            <w:tcW w:type="dxa" w:w="900"/>
            <w:tcBorders>
              <w:top w:val="single" w:color="000000" w:sz="4"/>
              <w:left w:val="single" w:color="000000" w:sz="4"/>
              <w:bottom w:val="single" w:color="000000" w:sz="4"/>
              <w:right w:val="single" w:color="000000" w:sz="4"/>
            </w:tcBorders>
            <w:shd w:fill="D9D9D9" w:val="clear"/>
            <w:vAlign w:val="center"/>
          </w:tcPr>
          <w:p>
            <w:r>
              <w:rPr>
                <w:b/>
                <w:bCs/>
              </w:rPr>
              <w:t xml:space="preserve">S.No.</w:t>
            </w:r>
          </w:p>
        </w:tc>
        <w:tc>
          <w:tcPr>
            <w:tcW w:type="dxa" w:w="3200"/>
            <w:tcBorders>
              <w:top w:val="single" w:color="000000" w:sz="4"/>
              <w:left w:val="single" w:color="000000" w:sz="4"/>
              <w:bottom w:val="single" w:color="000000" w:sz="4"/>
              <w:right w:val="single" w:color="000000" w:sz="4"/>
            </w:tcBorders>
            <w:shd w:fill="D9D9D9" w:val="clear"/>
            <w:vAlign w:val="center"/>
          </w:tcPr>
          <w:p>
            <w:r>
              <w:rPr>
                <w:b/>
                <w:bCs/>
              </w:rPr>
              <w:t xml:space="preserve">Parameter</w:t>
            </w:r>
          </w:p>
        </w:tc>
        <w:tc>
          <w:tcPr>
            <w:tcW w:type="dxa" w:w="6400"/>
            <w:tcBorders>
              <w:top w:val="single" w:color="000000" w:sz="4"/>
              <w:left w:val="single" w:color="000000" w:sz="4"/>
              <w:bottom w:val="single" w:color="000000" w:sz="4"/>
              <w:right w:val="single" w:color="000000" w:sz="4"/>
            </w:tcBorders>
            <w:shd w:fill="D9D9D9" w:val="clear"/>
            <w:vAlign w:val="center"/>
          </w:tcPr>
          <w:p>
            <w:r>
              <w:rPr>
                <w:b/>
                <w:bCs/>
              </w:rPr>
              <w:t xml:space="preserve">Description</w:t>
            </w:r>
          </w:p>
        </w:tc>
      </w:tr>
      <w:tr>
        <w:tc>
          <w:tcPr>
            <w:tcW w:type="dxa" w:w="900"/>
            <w:tcBorders>
              <w:top w:val="single" w:color="000000" w:sz="4"/>
              <w:left w:val="single" w:color="000000" w:sz="4"/>
              <w:bottom w:val="single" w:color="000000" w:sz="4"/>
              <w:right w:val="single" w:color="000000" w:sz="4"/>
            </w:tcBorders>
            <w:vAlign w:val="center"/>
          </w:tcPr>
          <w:p>
            <w:r>
              <w:rPr>
                <w:b w:val="false"/>
                <w:bCs w:val="false"/>
              </w:rPr>
              <w:t xml:space="preserve">1.</w:t>
            </w:r>
          </w:p>
        </w:tc>
        <w:tc>
          <w:tcPr>
            <w:tcW w:type="dxa" w:w="3200"/>
            <w:tcBorders>
              <w:top w:val="single" w:color="000000" w:sz="4"/>
              <w:left w:val="single" w:color="000000" w:sz="4"/>
              <w:bottom w:val="single" w:color="000000" w:sz="4"/>
              <w:right w:val="single" w:color="000000" w:sz="4"/>
            </w:tcBorders>
            <w:vAlign w:val="center"/>
          </w:tcPr>
          <w:p>
            <w:r>
              <w:rPr>
                <w:b/>
                <w:bCs/>
              </w:rPr>
              <w:t xml:space="preserve">Problem Statement (Problem to be solved)</w:t>
            </w:r>
          </w:p>
        </w:tc>
        <w:tc>
          <w:tcPr>
            <w:tcW w:type="dxa" w:w="6400"/>
            <w:tcBorders>
              <w:top w:val="single" w:color="000000" w:sz="4"/>
              <w:left w:val="single" w:color="000000" w:sz="4"/>
              <w:bottom w:val="single" w:color="000000" w:sz="4"/>
              <w:right w:val="single" w:color="000000" w:sz="4"/>
            </w:tcBorders>
            <w:vAlign w:val="center"/>
          </w:tcPr>
          <w:p>
            <w:r>
              <w:rPr>
                <w:b w:val="false"/>
                <w:bCs w:val="false"/>
              </w:rPr>
              <w:t xml:space="preserve">Floods claim lives and displace millions every year, yet conventional forecasting methods are too slow and manual to give authorities and communities enough warning time to evacuate and prepare, particularly in flood-prone districts during monsoon season.</w:t>
            </w:r>
          </w:p>
        </w:tc>
      </w:tr>
      <w:tr>
        <w:tc>
          <w:tcPr>
            <w:tcW w:type="dxa" w:w="900"/>
            <w:tcBorders>
              <w:top w:val="single" w:color="000000" w:sz="4"/>
              <w:left w:val="single" w:color="000000" w:sz="4"/>
              <w:bottom w:val="single" w:color="000000" w:sz="4"/>
              <w:right w:val="single" w:color="000000" w:sz="4"/>
            </w:tcBorders>
            <w:vAlign w:val="center"/>
          </w:tcPr>
          <w:p>
            <w:r>
              <w:rPr>
                <w:b w:val="false"/>
                <w:bCs w:val="false"/>
              </w:rPr>
              <w:t xml:space="preserve">2.</w:t>
            </w:r>
          </w:p>
        </w:tc>
        <w:tc>
          <w:tcPr>
            <w:tcW w:type="dxa" w:w="3200"/>
            <w:tcBorders>
              <w:top w:val="single" w:color="000000" w:sz="4"/>
              <w:left w:val="single" w:color="000000" w:sz="4"/>
              <w:bottom w:val="single" w:color="000000" w:sz="4"/>
              <w:right w:val="single" w:color="000000" w:sz="4"/>
            </w:tcBorders>
            <w:vAlign w:val="center"/>
          </w:tcPr>
          <w:p>
            <w:r>
              <w:rPr>
                <w:b/>
                <w:bCs/>
              </w:rPr>
              <w:t xml:space="preserve">Idea / Solution description</w:t>
            </w:r>
          </w:p>
        </w:tc>
        <w:tc>
          <w:tcPr>
            <w:tcW w:type="dxa" w:w="6400"/>
            <w:tcBorders>
              <w:top w:val="single" w:color="000000" w:sz="4"/>
              <w:left w:val="single" w:color="000000" w:sz="4"/>
              <w:bottom w:val="single" w:color="000000" w:sz="4"/>
              <w:right w:val="single" w:color="000000" w:sz="4"/>
            </w:tcBorders>
            <w:vAlign w:val="center"/>
          </w:tcPr>
          <w:p>
            <w:r>
              <w:rPr>
                <w:b w:val="false"/>
                <w:bCs w:val="false"/>
              </w:rPr>
              <w:t xml:space="preserve">Rising Waters is a machine learning-powered flood prediction system trained on historical weather data. Using Decision Tree, Random Forest, KNN and XGBoost classifiers, it analyses rainfall, cloud visibility and seasonal patterns to predict flood likelihood in real time. The best-performing model is served through a Flask web application so meteorologists and disaster-management teams can monitor flood risk across regions and receive automated alerts.</w:t>
            </w:r>
          </w:p>
        </w:tc>
      </w:tr>
      <w:tr>
        <w:tc>
          <w:tcPr>
            <w:tcW w:type="dxa" w:w="900"/>
            <w:tcBorders>
              <w:top w:val="single" w:color="000000" w:sz="4"/>
              <w:left w:val="single" w:color="000000" w:sz="4"/>
              <w:bottom w:val="single" w:color="000000" w:sz="4"/>
              <w:right w:val="single" w:color="000000" w:sz="4"/>
            </w:tcBorders>
            <w:vAlign w:val="center"/>
          </w:tcPr>
          <w:p>
            <w:r>
              <w:rPr>
                <w:b w:val="false"/>
                <w:bCs w:val="false"/>
              </w:rPr>
              <w:t xml:space="preserve">3.</w:t>
            </w:r>
          </w:p>
        </w:tc>
        <w:tc>
          <w:tcPr>
            <w:tcW w:type="dxa" w:w="3200"/>
            <w:tcBorders>
              <w:top w:val="single" w:color="000000" w:sz="4"/>
              <w:left w:val="single" w:color="000000" w:sz="4"/>
              <w:bottom w:val="single" w:color="000000" w:sz="4"/>
              <w:right w:val="single" w:color="000000" w:sz="4"/>
            </w:tcBorders>
            <w:vAlign w:val="center"/>
          </w:tcPr>
          <w:p>
            <w:r>
              <w:rPr>
                <w:b/>
                <w:bCs/>
              </w:rPr>
              <w:t xml:space="preserve">Novelty / Uniqueness</w:t>
            </w:r>
          </w:p>
        </w:tc>
        <w:tc>
          <w:tcPr>
            <w:tcW w:type="dxa" w:w="6400"/>
            <w:tcBorders>
              <w:top w:val="single" w:color="000000" w:sz="4"/>
              <w:left w:val="single" w:color="000000" w:sz="4"/>
              <w:bottom w:val="single" w:color="000000" w:sz="4"/>
              <w:right w:val="single" w:color="000000" w:sz="4"/>
            </w:tcBorders>
            <w:vAlign w:val="center"/>
          </w:tcPr>
          <w:p>
            <w:r>
              <w:rPr>
                <w:b w:val="false"/>
                <w:bCs w:val="false"/>
              </w:rPr>
              <w:t xml:space="preserve">Combines multiple classification algorithms and automatically selects the best performer (XGBoost, 96.55% test accuracy) rather than relying on a single static model or manual bulletin interpretation. Provides a multi-region, real-time dashboard with automated multi-channel alerting (email/SMS), unlike existing fragmented, manual monitoring processes.</w:t>
            </w:r>
          </w:p>
        </w:tc>
      </w:tr>
      <w:tr>
        <w:tc>
          <w:tcPr>
            <w:tcW w:type="dxa" w:w="900"/>
            <w:tcBorders>
              <w:top w:val="single" w:color="000000" w:sz="4"/>
              <w:left w:val="single" w:color="000000" w:sz="4"/>
              <w:bottom w:val="single" w:color="000000" w:sz="4"/>
              <w:right w:val="single" w:color="000000" w:sz="4"/>
            </w:tcBorders>
            <w:vAlign w:val="center"/>
          </w:tcPr>
          <w:p>
            <w:r>
              <w:rPr>
                <w:b w:val="false"/>
                <w:bCs w:val="false"/>
              </w:rPr>
              <w:t xml:space="preserve">4.</w:t>
            </w:r>
          </w:p>
        </w:tc>
        <w:tc>
          <w:tcPr>
            <w:tcW w:type="dxa" w:w="3200"/>
            <w:tcBorders>
              <w:top w:val="single" w:color="000000" w:sz="4"/>
              <w:left w:val="single" w:color="000000" w:sz="4"/>
              <w:bottom w:val="single" w:color="000000" w:sz="4"/>
              <w:right w:val="single" w:color="000000" w:sz="4"/>
            </w:tcBorders>
            <w:vAlign w:val="center"/>
          </w:tcPr>
          <w:p>
            <w:r>
              <w:rPr>
                <w:b/>
                <w:bCs/>
              </w:rPr>
              <w:t xml:space="preserve">Social Impact / Customer Satisfaction</w:t>
            </w:r>
          </w:p>
        </w:tc>
        <w:tc>
          <w:tcPr>
            <w:tcW w:type="dxa" w:w="6400"/>
            <w:tcBorders>
              <w:top w:val="single" w:color="000000" w:sz="4"/>
              <w:left w:val="single" w:color="000000" w:sz="4"/>
              <w:bottom w:val="single" w:color="000000" w:sz="4"/>
              <w:right w:val="single" w:color="000000" w:sz="4"/>
            </w:tcBorders>
            <w:vAlign w:val="center"/>
          </w:tcPr>
          <w:p>
            <w:r>
              <w:rPr>
                <w:b w:val="false"/>
                <w:bCs w:val="false"/>
              </w:rPr>
              <w:t xml:space="preserve">Gives authorities several hours' additional lead time to issue evacuation advisories, reducing loss of life and property damage. Improves resource allocation during monsoon season by letting coordinators prioritise the most at-risk regions first, and builds public trust through consistently accurate, transparent predictions.</w:t>
            </w:r>
          </w:p>
        </w:tc>
      </w:tr>
      <w:tr>
        <w:tc>
          <w:tcPr>
            <w:tcW w:type="dxa" w:w="900"/>
            <w:tcBorders>
              <w:top w:val="single" w:color="000000" w:sz="4"/>
              <w:left w:val="single" w:color="000000" w:sz="4"/>
              <w:bottom w:val="single" w:color="000000" w:sz="4"/>
              <w:right w:val="single" w:color="000000" w:sz="4"/>
            </w:tcBorders>
            <w:vAlign w:val="center"/>
          </w:tcPr>
          <w:p>
            <w:r>
              <w:rPr>
                <w:b w:val="false"/>
                <w:bCs w:val="false"/>
              </w:rPr>
              <w:t xml:space="preserve">5.</w:t>
            </w:r>
          </w:p>
        </w:tc>
        <w:tc>
          <w:tcPr>
            <w:tcW w:type="dxa" w:w="3200"/>
            <w:tcBorders>
              <w:top w:val="single" w:color="000000" w:sz="4"/>
              <w:left w:val="single" w:color="000000" w:sz="4"/>
              <w:bottom w:val="single" w:color="000000" w:sz="4"/>
              <w:right w:val="single" w:color="000000" w:sz="4"/>
            </w:tcBorders>
            <w:vAlign w:val="center"/>
          </w:tcPr>
          <w:p>
            <w:r>
              <w:rPr>
                <w:b/>
                <w:bCs/>
              </w:rPr>
              <w:t xml:space="preserve">Business Model (Revenue Model)</w:t>
            </w:r>
          </w:p>
        </w:tc>
        <w:tc>
          <w:tcPr>
            <w:tcW w:type="dxa" w:w="6400"/>
            <w:tcBorders>
              <w:top w:val="single" w:color="000000" w:sz="4"/>
              <w:left w:val="single" w:color="000000" w:sz="4"/>
              <w:bottom w:val="single" w:color="000000" w:sz="4"/>
              <w:right w:val="single" w:color="000000" w:sz="4"/>
            </w:tcBorders>
            <w:vAlign w:val="center"/>
          </w:tcPr>
          <w:p>
            <w:r>
              <w:rPr>
                <w:b w:val="false"/>
                <w:bCs w:val="false"/>
              </w:rPr>
              <w:t xml:space="preserve">SaaS subscription for state and district disaster-management authorities (tiered by number of monitored regions); potential licensing to insurance companies and agricultural bodies for risk assessment; grant/government-funding partnerships for public-sector deployment.</w:t>
            </w:r>
          </w:p>
        </w:tc>
      </w:tr>
      <w:tr>
        <w:tc>
          <w:tcPr>
            <w:tcW w:type="dxa" w:w="900"/>
            <w:tcBorders>
              <w:top w:val="single" w:color="000000" w:sz="4"/>
              <w:left w:val="single" w:color="000000" w:sz="4"/>
              <w:bottom w:val="single" w:color="000000" w:sz="4"/>
              <w:right w:val="single" w:color="000000" w:sz="4"/>
            </w:tcBorders>
            <w:vAlign w:val="center"/>
          </w:tcPr>
          <w:p>
            <w:r>
              <w:rPr>
                <w:b w:val="false"/>
                <w:bCs w:val="false"/>
              </w:rPr>
              <w:t xml:space="preserve">6.</w:t>
            </w:r>
          </w:p>
        </w:tc>
        <w:tc>
          <w:tcPr>
            <w:tcW w:type="dxa" w:w="3200"/>
            <w:tcBorders>
              <w:top w:val="single" w:color="000000" w:sz="4"/>
              <w:left w:val="single" w:color="000000" w:sz="4"/>
              <w:bottom w:val="single" w:color="000000" w:sz="4"/>
              <w:right w:val="single" w:color="000000" w:sz="4"/>
            </w:tcBorders>
            <w:vAlign w:val="center"/>
          </w:tcPr>
          <w:p>
            <w:r>
              <w:rPr>
                <w:b/>
                <w:bCs/>
              </w:rPr>
              <w:t xml:space="preserve">Scalability of the Solution</w:t>
            </w:r>
          </w:p>
        </w:tc>
        <w:tc>
          <w:tcPr>
            <w:tcW w:type="dxa" w:w="6400"/>
            <w:tcBorders>
              <w:top w:val="single" w:color="000000" w:sz="4"/>
              <w:left w:val="single" w:color="000000" w:sz="4"/>
              <w:bottom w:val="single" w:color="000000" w:sz="4"/>
              <w:right w:val="single" w:color="000000" w:sz="4"/>
            </w:tcBorders>
            <w:vAlign w:val="center"/>
          </w:tcPr>
          <w:p>
            <w:r>
              <w:rPr>
                <w:b w:val="false"/>
                <w:bCs w:val="false"/>
              </w:rPr>
              <w:t xml:space="preserve">Built on Flask with a saved, swappable ML model, allowing new regions and data sources to be added without re-architecting the system. Deployable on IBM Cloud with containerised, auto-scaling instances, so the platform can expand from a single district to nationwide coverage as adoption grows.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2026-07-13T12:14:04.190Z</dcterms:created>
  <dcterms:modified xsi:type="dcterms:W3CDTF">2026-07-13T12:14:04.190Z</dcterms:modified>
</cp:coreProperties>
</file>

<file path=docProps/custom.xml><?xml version="1.0" encoding="utf-8"?>
<Properties xmlns="http://schemas.openxmlformats.org/officeDocument/2006/custom-properties" xmlns:vt="http://schemas.openxmlformats.org/officeDocument/2006/docPropsVTypes"/>
</file>