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Project Design Phase</w:t>
      </w:r>
    </w:p>
    <w:p>
      <w:pPr>
        <w:jc w:val="center"/>
      </w:pPr>
      <w:r>
        <w:rPr>
          <w:b/>
          <w:bCs/>
        </w:rPr>
        <w:t xml:space="preserve">Solution Architecture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860"/>
          </w:tcPr>
          <w:p>
            <w:r>
              <w:t xml:space="preserve">3 July 2026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860"/>
          </w:tcPr>
          <w:p>
            <w:r>
              <w:t xml:space="preserve"/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860"/>
          </w:tcPr>
          <w:p>
            <w:r>
              <w:t xml:space="preserve">Rising Waters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860"/>
          </w:tcPr>
          <w:p>
            <w:r>
              <w:t xml:space="preserve">4 Marks</w:t>
            </w:r>
          </w:p>
        </w:tc>
      </w:tr>
    </w:tbl>
    <w:p/>
    <w:p>
      <w:r>
        <w:rPr>
          <w:b/>
          <w:bCs/>
        </w:rPr>
        <w:t xml:space="preserve">Solution Architecture:</w:t>
      </w:r>
    </w:p>
    <w:p>
      <w:r>
        <w:t xml:space="preserve">Solution architecture is a complex process – with many sub-processes –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</w:pPr>
      <w: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</w:pPr>
      <w: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</w:pPr>
      <w: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</w:pPr>
      <w:r>
        <w:t xml:space="preserve">Provide specifications according to which the solution is defined, managed, and delivered.</w:t>
      </w:r>
    </w:p>
    <w:p/>
    <w:p>
      <w:r>
        <w:rPr>
          <w:b/>
          <w:bCs/>
        </w:rPr>
        <w:t xml:space="preserve">Solution Architecture Diagram – Rising Waters (Flood Prediction System):</w:t>
      </w:r>
    </w:p>
    <w:p/>
    <w:p>
      <w:pPr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iCs/>
        </w:rPr>
        <w:t xml:space="preserve">Figure 1: Architecture and data flow of the Rising Waters flood prediction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3e011b5f0c4ded68eb9b09f89fafe0ead0bec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2026-07-13T13:49:18.272Z</dcterms:created>
  <dcterms:modified xsi:type="dcterms:W3CDTF">2026-07-13T13:49:18.288Z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