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Requirements (Functional &amp; Non-functional)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Date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Team ID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Project Name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Rising Waters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Maximum Marks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Functional Requirements:</w:t>
      </w:r>
    </w:p>
    <w:p>
      <w:pPr>
        <w:spacing w:after="200"/>
      </w:pPr>
      <w:r>
        <w:t xml:space="preserve">Following are the functional requirements of the proposed solution.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0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FR-1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User &amp; Authority Registration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Registration through Form (name, role, region)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Registration through Gmail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Admin approval for disaster-authority accounts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FR-2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User Confirmation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Confirmation via Email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Confirmation via OTP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FR-3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Weather Data Input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Manual entry of rainfall, cloud visibility &amp; seasonal data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Bulk upload of regional weather data via CSV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FR-4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Flood Risk Prediction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Real-time prediction using the trained XGBoost model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Risk classification as High / Medium / Low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FR-5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Alerts &amp; Notifications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Automated email alert to disaster-management teams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SMS alert to field authorities via Twilio API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In-dashboard visual risk alert</w:t>
            </w:r>
          </w:p>
        </w:tc>
      </w:tr>
      <w:tr>
        <w:tc>
          <w:tcPr>
            <w:tcW w:type="dxa" w:w="1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FR-6</w:t>
            </w:r>
          </w:p>
        </w:tc>
        <w:tc>
          <w:tcPr>
            <w:tcW w:type="dxa" w:w="3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Multi-Region Monitoring Dashboard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View flood-risk status for multiple regions simultaneously</w:t>
            </w:r>
          </w:p>
        </w:tc>
      </w:tr>
      <w:tr>
        <w:tc>
          <w:tcPr>
            <w:tcW w:type="dxa" w:w="14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6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Compare current readings against historical flood trends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  <w:sz w:val="24"/>
          <w:szCs w:val="24"/>
        </w:rPr>
        <w:t xml:space="preserve">Non-functional Requirements:</w:t>
      </w:r>
    </w:p>
    <w:p>
      <w:pPr>
        <w:spacing w:after="200"/>
      </w:pPr>
      <w:r>
        <w:t xml:space="preserve">Following are the non-functional requirements of the proposed solution.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80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Usability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Simple, form-based interface so meteorologists and disaster-response staff can enter readings and read risk levels without technical training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Security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Encrypted data storage, role-based access control (Admin / Authority), HTTPS for all data transmission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Reliability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Consistently accurate flood-risk classification (96.55% test accuracy) with graceful error handling on missing or invalid readings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Performance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Flood-risk prediction returned within 1–2 seconds of data submission, even under concurrent regional requests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Availability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Target 99.5% uptime through IBM Cloud deployment with load balancing and redundant instances, critical during monsoon season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NFR-6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Scalability</w:t>
            </w:r>
          </w:p>
        </w:tc>
        <w:tc>
          <w:tcPr>
            <w:tcW w:type="dxa" w:w="5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r>
              <w:t xml:space="preserve">Supports monitoring of additional regions and growing historical data volume via horizontally scalable, containerised deployment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2026-07-02T18:27:19.302Z</dcterms:created>
  <dcterms:modified xsi:type="dcterms:W3CDTF">2026-07-02T18:27:19.302Z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