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spacing w:after="400"/>
        <w:jc w:val="center"/>
      </w:pPr>
      <w:r>
        <w:rPr>
          <w:rFonts w:ascii="宋体" w:hAnsi="宋体" w:eastAsia="宋体"/>
          <w:b/>
          <w:color w:val="000000"/>
          <w:sz w:val="64"/>
        </w:rPr>
        <w:t>{{cover:title}}</w:t>
      </w:r>
    </w:p>
    <w:p>
      <w:pPr>
        <w:spacing w:after="640"/>
        <w:jc w:val="center"/>
      </w:pPr>
      <w:r>
        <w:rPr>
          <w:rFonts w:ascii="宋体" w:hAnsi="宋体" w:eastAsia="宋体"/>
          <w:b w:val="0"/>
          <w:color w:val="000000"/>
          <w:sz w:val="32"/>
        </w:rPr>
        <w:t>——{{cover:organization}}</w:t>
      </w:r>
    </w:p>
    <w:tbl>
      <w:tblPr>
        <w:tblStyle w:val="TableGrid"/>
        <w:tblW w:type="dxa" w:w="6803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5102"/>
      </w:tblGrid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8"/>
              </w:rPr>
              <w:t>时　间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8"/>
              </w:rPr>
              <w:t>{{cover:reportPeriod}}</w:t>
            </w:r>
          </w:p>
        </w:tc>
      </w:tr>
    </w:tbl>
    <w:p/>
    <w:p/>
    <w:p/>
    <w:p/>
    <w:p/>
    <w:p/>
    <w:p/>
    <w:p/>
    <w:p/>
    <w:p/>
    <w:p/>
    <w:p/>
    <w:p/>
    <w:p>
      <w:pPr>
        <w:spacing w:after="160"/>
        <w:jc w:val="center"/>
      </w:pPr>
      <w:r>
        <w:rPr>
          <w:rFonts w:ascii="宋体" w:hAnsi="宋体" w:eastAsia="宋体"/>
          <w:sz w:val="26"/>
        </w:rPr>
        <w:t>{{cover:preparedBy}}</w:t>
      </w:r>
    </w:p>
    <w:p>
      <w:pPr>
        <w:jc w:val="center"/>
      </w:pPr>
      <w:r>
        <w:rPr>
          <w:rFonts w:ascii="宋体" w:hAnsi="宋体" w:eastAsia="宋体"/>
          <w:sz w:val="26"/>
        </w:rPr>
        <w:t>{{cover:preparedDate}}</w:t>
      </w:r>
      <w:r>
        <w:br w:type="page"/>
      </w:r>
    </w:p>
    <w:p>
      <w:pPr>
        <w:pStyle w:val="TOCHeading"/>
        <w:spacing w:after="360"/>
        <w:jc w:val="center"/>
      </w:pPr>
      <w:r>
        <w:rPr>
          <w:rFonts w:ascii="宋体" w:hAnsi="宋体" w:eastAsia="宋体"/>
          <w:b/>
          <w:color w:val="000000"/>
          <w:sz w:val="40"/>
        </w:rPr>
        <w:t>目　录</w:t>
      </w:r>
    </w:p>
    <w:p>
      <w:pPr>
        <w:jc w:val="left"/>
      </w:pPr>
      <w:r>
        <w:fldChar w:fldCharType="begin"/>
        <w:instrText xml:space="preserve"> TOC \o "1-4" \h \z \u </w:instrText>
        <w:fldChar w:fldCharType="separate"/>
        <w:t>目录将在打开 Word 后自动更新</w:t>
        <w:fldChar w:fldCharType="end"/>
      </w:r>
      <w:r>
        <w:br w:type="page"/>
      </w:r>
    </w:p>
    <w:p>
      <w:pPr>
        <w:spacing w:after="0"/>
      </w:pPr>
      <w:r>
        <w:rPr>
          <w:rFonts w:ascii="宋体" w:hAnsi="宋体" w:eastAsia="宋体"/>
          <w:sz w:val="21"/>
        </w:rPr>
        <w:t>{{sections}}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| {{cover:preparedDate}}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b w:val="0"/>
        <w:color w:val="595959"/>
        <w:sz w:val="18"/>
      </w:rPr>
      <w:t>研发效能报告 | {{cover:organization}}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264" w:lineRule="auto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F4E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0" w:line="264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360" w:line="264" w:lineRule="auto"/>
      <w:outlineLvl w:val="9"/>
    </w:pPr>
    <w:rPr>
      <w:rFonts w:ascii="宋体" w:hAnsi="宋体" w:eastAsia="宋体"/>
      <w:b/>
      <w:color w:val="000000"/>
      <w:sz w:val="4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研发效能报告模板</dc:title>
  <dc:subject>配置驱动研发效能报表</dc:subject>
  <dc:creator>效能小组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