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Para el estudio de Tolerancia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hd w:fill="ffffff" w:val="clear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En el segundo semestre de 2020, USAID/Colombia realizó la medición de la </w:t>
      </w:r>
      <w:r w:rsidDel="00000000" w:rsidR="00000000" w:rsidRPr="00000000">
        <w:rPr>
          <w:rFonts w:ascii="Arial" w:cs="Arial" w:eastAsia="Arial" w:hAnsi="Arial"/>
          <w:b w:val="1"/>
          <w:color w:val="4472c4"/>
          <w:sz w:val="24"/>
          <w:szCs w:val="24"/>
          <w:rtl w:val="0"/>
        </w:rPr>
        <w:t xml:space="preserve">Tolerancia Social e Institucional contra las MujeresTolerancia Social e Institucional contra las Mujeres</w:t>
      </w: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 en 59 municipios PDET y 2 ciudades capitales: Cali y Quibdó.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Metodología: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8692 encuestas a hombres y mujeres representativas a nivel región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131 encuestas a servidores y servidoras públicas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197 encuestas a mujeres víctimas de violencias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15 talleres interactivos con servidores y servidoras públicas públicos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30 comunidades de WhatsApp dirigidas a hombres y mujeres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Los instrumentos fueron aplicados a hombres y mujeres entre los 14 y 59 años y el análisis fue realizado a nivel regional y no municipal.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(Las 8692 encuestas tuvieron representación regional con una confiabilidad del 95% y un margen de error que tendió a no ser mayor al 5%, exceptuando las regiones de Pacífico y Frontera nariñense, Pacífico Medio y Macarena-Guaviare por temas de orden público).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Para el estudio de Retos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En el segundo semestre de 2020, USAID/Colombia realizó el estudio </w:t>
      </w:r>
      <w:r w:rsidDel="00000000" w:rsidR="00000000" w:rsidRPr="00000000">
        <w:rPr>
          <w:rFonts w:ascii="Arial" w:cs="Arial" w:eastAsia="Arial" w:hAnsi="Arial"/>
          <w:b w:val="1"/>
          <w:color w:val="4472c4"/>
          <w:sz w:val="24"/>
          <w:szCs w:val="24"/>
          <w:rtl w:val="0"/>
        </w:rPr>
        <w:t xml:space="preserve">Retos del Entorno Institucional para el Empoderamiento de Género en Colombia</w:t>
      </w: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 en 65 municipios PDET y tres ciudades capitales: Cali, Quibdó y Cartagena.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br w:type="textWrapping"/>
        <w:t xml:space="preserve">Metodología: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Metodología cualitativa a través de la descripción y análisis del contexto institucional y normativo.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A nivel nacional se revisaron y analizaron: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56 Sentencias de la Corte Constitucional en materia LGBTI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231 Normas expedidas para la implementación del acuerdo final entre septiembre de 2016 y septiembre de 2020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Informes de seguimiento a la implementación del Acuerdo Final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El Pacto de Equidad para las mujeres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Documentos de política pública para mujeres y para sectores LGBTI </w:t>
      </w:r>
    </w:p>
    <w:p w:rsidR="00000000" w:rsidDel="00000000" w:rsidP="00000000" w:rsidRDefault="00000000" w:rsidRPr="00000000" w14:paraId="00000018">
      <w:pPr>
        <w:shd w:fill="ffffff" w:val="clear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A nivel territorial se analizaron: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68 Planes Municipales de Desarrollo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41 entrevistas a personas de instituciones y organizaciones de sociedad civil 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5 estudios de caso 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gmaildefault" w:customStyle="1">
    <w:name w:val="gmail_default"/>
    <w:basedOn w:val="Fuentedeprrafopredeter"/>
    <w:rsid w:val="00A2531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kFkZ7eJ8BdConmL667fK5iJgQw==">AMUW2mVrdBV0lxpFeTBZvBwMs2z18xjhfoxzMUsDdmDkoxG3gi3OmlloPP0f32Q0dSVnldWqb3nyzDrIed0qjicq/6ZIfFib+t1bf/gdp6rh/5TIIXy/c9r9PoUPt+euqgc7A+eGvIdc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2021-05-10T20:42:00Z</dcterms:created>
  <dc:creator>EL BEBE</dc:creator>
</cp:coreProperties>
</file>