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6" w:name="Xfcaf1e9f6e1be1b9828df3205f6b1a7a07eac94"/>
    <w:p>
      <w:pPr>
        <w:pStyle w:val="Heading1"/>
        <w:bidi/>
        <w:jc w:val="right"/>
      </w:pPr>
      <w:r>
        <w:rPr>
          <w:rtl w:val="1"/>
        </w:rPr>
        <w:t xml:space="preserve">دليل الطالب — مدرسة التعليم الفني والتكوين المهني في مجال المعادن والنفط والغاز (MPG)</w:t>
      </w:r>
    </w:p>
    <w:p>
      <w:pPr>
        <w:pStyle w:val="FirstParagraph"/>
        <w:bidi/>
        <w:jc w:val="right"/>
      </w:pPr>
      <w:r>
        <w:rPr>
          <w:bCs/>
          <w:b/>
          <w:rtl w:val="1"/>
        </w:rPr>
        <w:t xml:space="preserve">نواكشوط — الجمهورية الإسلامية الموريتانية</w:t>
      </w:r>
      <w:r>
        <w:rPr>
          <w:rtl w:val="1"/>
        </w:rPr>
        <w:t xml:space="preserve"> </w:t>
      </w:r>
      <w:r>
        <w:rPr>
          <w:bCs/>
          <w:b/>
          <w:rtl w:val="1"/>
        </w:rPr>
        <w:t xml:space="preserve">نسخة 1.0 — سبتمبر 2026</w:t>
      </w:r>
    </w:p>
    <w:p>
      <w:pPr>
        <w:bidi/>
        <w:jc w:val="right"/>
      </w:pPr>
      <w:r>
        <w:rPr>
          <w:rtl w:val="1"/>
        </w:rPr>
        <w:pict>
          <v:rect style="width:0;height:1.5pt" o:hralign="center" o:hrstd="t" o:hr="t"/>
        </w:pict>
      </w:r>
    </w:p>
    <w:bookmarkStart w:id="20" w:name="كيف-تستعمل-هذه-الوثيقة"/>
    <w:p>
      <w:pPr>
        <w:pStyle w:val="Heading2"/>
        <w:bidi/>
        <w:jc w:val="right"/>
      </w:pPr>
      <w:r>
        <w:rPr>
          <w:rtl w:val="1"/>
        </w:rPr>
        <w:t xml:space="preserve">0. كيف تُستعمل هذه الوثيقة</w:t>
      </w:r>
    </w:p>
    <w:p>
      <w:pPr>
        <w:pStyle w:val="FirstParagraph"/>
        <w:bidi/>
        <w:jc w:val="right"/>
      </w:pPr>
      <w:r>
        <w:rPr>
          <w:rtl w:val="1"/>
        </w:rPr>
        <w:t xml:space="preserve">هذا الدليل موجّه إلى:</w:t>
      </w:r>
    </w:p>
    <w:p>
      <w:pPr>
        <w:numPr>
          <w:ilvl w:val="0"/>
          <w:numId w:val="1001"/>
        </w:numPr>
        <w:pStyle w:val="Compact"/>
        <w:bidi/>
        <w:jc w:val="right"/>
      </w:pPr>
      <w:r>
        <w:rPr>
          <w:bCs/>
          <w:b/>
          <w:rtl w:val="1"/>
        </w:rPr>
        <w:t xml:space="preserve">الطالب والطالبة</w:t>
      </w:r>
      <w:r>
        <w:rPr>
          <w:rtl w:val="1"/>
        </w:rPr>
        <w:t xml:space="preserve"> </w:t>
      </w:r>
      <w:r>
        <w:rPr>
          <w:rtl w:val="1"/>
        </w:rPr>
        <w:t xml:space="preserve">في المدرسة أو المترشح للالتحاق بها؛</w:t>
      </w:r>
    </w:p>
    <w:p>
      <w:pPr>
        <w:numPr>
          <w:ilvl w:val="0"/>
          <w:numId w:val="1001"/>
        </w:numPr>
        <w:pStyle w:val="Compact"/>
        <w:bidi/>
        <w:jc w:val="right"/>
      </w:pPr>
      <w:r>
        <w:rPr>
          <w:bCs/>
          <w:b/>
          <w:rtl w:val="1"/>
        </w:rPr>
        <w:t xml:space="preserve">الروبوت (البوت) الخاص بالمدرسة</w:t>
      </w:r>
      <w:r>
        <w:rPr>
          <w:rtl w:val="1"/>
        </w:rPr>
        <w:t xml:space="preserve">، الذي يعتمد على هذه الوثيقة كقاعدة معرفة للإجابة على أسئلة الطلاب.</w:t>
      </w:r>
    </w:p>
    <w:p>
      <w:pPr>
        <w:pStyle w:val="FirstParagraph"/>
        <w:bidi/>
        <w:jc w:val="right"/>
      </w:pPr>
      <w:r>
        <w:rPr>
          <w:bCs/>
          <w:b/>
          <w:rtl w:val="1"/>
        </w:rPr>
        <w:t xml:space="preserve">قاعدة أساسية في هذه الوثيقة:</w:t>
      </w:r>
      <w:r>
        <w:rPr>
          <w:rtl w:val="1"/>
        </w:rPr>
        <w:t xml:space="preserve"> </w:t>
      </w:r>
      <w:r>
        <w:rPr>
          <w:rtl w:val="1"/>
        </w:rPr>
        <w:t xml:space="preserve">كل معلومة مكتوبة هنا مأخوذة من وثيقة رسمية للمدرسة أو من مرجع تكوين معتمد. وكل معلومة</w:t>
      </w:r>
      <w:r>
        <w:rPr>
          <w:rtl w:val="1"/>
        </w:rPr>
        <w:t xml:space="preserve"> </w:t>
      </w:r>
      <w:r>
        <w:rPr>
          <w:bCs/>
          <w:b/>
          <w:rtl w:val="1"/>
        </w:rPr>
        <w:t xml:space="preserve">غير متوفرة</w:t>
      </w:r>
      <w:r>
        <w:rPr>
          <w:rtl w:val="1"/>
        </w:rPr>
        <w:t xml:space="preserve"> </w:t>
      </w:r>
      <w:r>
        <w:rPr>
          <w:rtl w:val="1"/>
        </w:rPr>
        <w:t xml:space="preserve">في وثائق المدرسة تُركت ظاهرة بهذا الشكل:</w:t>
      </w:r>
    </w:p>
    <w:p>
      <w:pPr>
        <w:pStyle w:val="BlockText"/>
        <w:bidi/>
        <w:jc w:val="right"/>
      </w:pPr>
      <w:r>
        <w:rPr>
          <w:bCs/>
          <w:b/>
          <w:rtl w:val="1"/>
        </w:rPr>
        <w:t xml:space="preserve">[معلومة ناقصة — à compléter]</w:t>
      </w:r>
    </w:p>
    <w:p>
      <w:pPr>
        <w:pStyle w:val="FirstParagraph"/>
        <w:bidi/>
        <w:jc w:val="right"/>
      </w:pPr>
      <w:r>
        <w:rPr>
          <w:rtl w:val="1"/>
        </w:rPr>
        <w:t xml:space="preserve">لم يتم اختراع أي رقم أو تاريخ أو إجراء. ما هو غير مؤكد موسوم صراحة بـ</w:t>
      </w:r>
      <w:r>
        <w:rPr>
          <w:rtl w:val="1"/>
        </w:rPr>
        <w:t xml:space="preserve"> </w:t>
      </w:r>
      <w:r>
        <w:rPr>
          <w:bCs/>
          <w:b/>
          <w:rtl w:val="1"/>
        </w:rPr>
        <w:t xml:space="preserve">(مقترح — في انتظار المصادقة)</w:t>
      </w:r>
      <w:r>
        <w:rPr>
          <w:rtl w:val="1"/>
        </w:rPr>
        <w:t xml:space="preserve"> </w:t>
      </w:r>
      <w:r>
        <w:rPr>
          <w:rtl w:val="1"/>
        </w:rPr>
        <w:t xml:space="preserve">أو</w:t>
      </w:r>
      <w:r>
        <w:rPr>
          <w:rtl w:val="1"/>
        </w:rPr>
        <w:t xml:space="preserve"> </w:t>
      </w:r>
      <w:r>
        <w:rPr>
          <w:bCs/>
          <w:b/>
          <w:rtl w:val="1"/>
        </w:rPr>
        <w:t xml:space="preserve">(يحتاج تأكيد)</w:t>
      </w:r>
      <w:r>
        <w:rPr>
          <w:rtl w:val="1"/>
        </w:rPr>
        <w:t xml:space="preserve">.</w:t>
      </w:r>
    </w:p>
    <w:p>
      <w:pPr>
        <w:pStyle w:val="BodyText"/>
        <w:bidi/>
        <w:jc w:val="right"/>
      </w:pPr>
      <w:r>
        <w:rPr>
          <w:bCs/>
          <w:b/>
          <w:rtl w:val="1"/>
        </w:rPr>
        <w:t xml:space="preserve">توجيه للبوت:</w:t>
      </w:r>
      <w:r>
        <w:rPr>
          <w:rtl w:val="1"/>
        </w:rPr>
        <w:t xml:space="preserve"> </w:t>
      </w:r>
      <w:r>
        <w:rPr>
          <w:rtl w:val="1"/>
        </w:rPr>
        <w:t xml:space="preserve">عندما يكون الجواب موسوما بـ «معلومة ناقصة»، لا تخترع جوابا؛ قل للطالب إن المعلومة غير متوفرة حاليا في وثائق المدرسة، ووجّهه إلى الإدارة.</w:t>
      </w:r>
    </w:p>
    <w:p>
      <w:pPr>
        <w:pStyle w:val="BodyText"/>
        <w:bidi/>
        <w:jc w:val="right"/>
      </w:pPr>
      <w:r>
        <w:rPr>
          <w:bCs/>
          <w:b/>
          <w:rtl w:val="1"/>
        </w:rPr>
        <w:t xml:space="preserve">الملحق 1</w:t>
      </w:r>
      <w:r>
        <w:rPr>
          <w:rtl w:val="1"/>
        </w:rPr>
        <w:t xml:space="preserve"> </w:t>
      </w:r>
      <w:r>
        <w:rPr>
          <w:rtl w:val="1"/>
        </w:rPr>
        <w:t xml:space="preserve">في آخر الوثيقة يجمع كل المعلومات الناقصة في قائمة واحدة، حتى تملأها الإدارة مرة واحدة.</w:t>
      </w:r>
    </w:p>
    <w:p>
      <w:pPr>
        <w:bidi/>
        <w:jc w:val="right"/>
      </w:pPr>
      <w:r>
        <w:rPr>
          <w:rtl w:val="1"/>
        </w:rPr>
        <w:pict>
          <v:rect style="width:0;height:1.5pt" o:hralign="center" o:hrstd="t" o:hr="t"/>
        </w:pict>
      </w:r>
    </w:p>
    <w:bookmarkEnd w:id="20"/>
    <w:bookmarkStart w:id="23" w:name="التعريف-بالمدرسة"/>
    <w:p>
      <w:pPr>
        <w:pStyle w:val="Heading2"/>
        <w:bidi/>
        <w:jc w:val="right"/>
      </w:pPr>
      <w:r>
        <w:rPr>
          <w:rtl w:val="1"/>
        </w:rPr>
        <w:t xml:space="preserve">1. التعريف بالمدرسة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bidiVisual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البند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المعطى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الاسم الكامل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مدرسة التعليم الفني والتكوين المهني في مجال المعادن والنفط والغاز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التسمية بالفرنسية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École d’Enseignement Technique et de Formation Professionnelle — Mines, Pétrole et Gaz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الاختصار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EETFP-MPG (ويرد أيضا في بعض الوثائق: EEFTP-MPG)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المقر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نواكشوط، الجمهورية الإسلامية الموريتانية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الوزارة الوصية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الوزارة المكلفة بالتكوين المهني</w:t>
            </w:r>
            <w:r>
              <w:rPr>
                <w:rtl w:val="1"/>
              </w:rPr>
              <w:t xml:space="preserve"> </w:t>
            </w:r>
            <w:r>
              <w:rPr>
                <w:iCs/>
                <w:i/>
                <w:rtl w:val="1"/>
              </w:rPr>
              <w:t xml:space="preserve">(الاسم الرسمي الدقيق: يحتاج تأكيد — مراجع التكوين لسنة 2021 تذكر «وزارة التعليم الثانوي والتكوين التقني والمهني»، بينما تعتمد المدرسة اليوم «وزارة التكوين المهني والصناعة التقليدية والمهن»)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الشهادة الممنوحة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شهادة التقني السامي (BTS — Brevet de Technicien Supérieur)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مدة التكوين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سنتان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عدد الشعب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10 شعب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العنوان البريدي / الموقع الجغرافي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[معلومة ناقصة — à compléter]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الهاتف / البريد الإلكتروني / الموقع الإلكتروني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[معلومة ناقصة — à compléter]</w:t>
            </w:r>
          </w:p>
        </w:tc>
      </w:tr>
    </w:tbl>
    <w:bookmarkStart w:id="21" w:name="رسالة-المدرسة"/>
    <w:p>
      <w:pPr>
        <w:pStyle w:val="Heading3"/>
        <w:bidi/>
        <w:jc w:val="right"/>
      </w:pPr>
      <w:r>
        <w:rPr>
          <w:rtl w:val="1"/>
        </w:rPr>
        <w:t xml:space="preserve">1.1 رسالة المدرسة</w:t>
      </w:r>
    </w:p>
    <w:p>
      <w:pPr>
        <w:pStyle w:val="FirstParagraph"/>
        <w:bidi/>
        <w:jc w:val="right"/>
      </w:pPr>
      <w:r>
        <w:rPr>
          <w:rtl w:val="1"/>
        </w:rPr>
        <w:t xml:space="preserve">تهدف المدرسة إلى</w:t>
      </w:r>
      <w:r>
        <w:rPr>
          <w:rtl w:val="1"/>
        </w:rPr>
        <w:t xml:space="preserve"> </w:t>
      </w:r>
      <w:r>
        <w:rPr>
          <w:bCs/>
          <w:b/>
          <w:rtl w:val="1"/>
        </w:rPr>
        <w:t xml:space="preserve">تخريج فنيين ومهنيين أكفاء، مسؤولين، وذوي أمانة، يساهمون في تنمية قطاع الطاقة على المستوى الوطني والإقليمي بطريقة مستدامة</w:t>
      </w:r>
      <w:r>
        <w:rPr>
          <w:rtl w:val="1"/>
        </w:rPr>
        <w:t xml:space="preserve">.</w:t>
      </w:r>
      <w:r>
        <w:rPr>
          <w:rtl w:val="1"/>
        </w:rPr>
        <w:t xml:space="preserve"> </w:t>
      </w:r>
      <w:r>
        <w:rPr>
          <w:iCs/>
          <w:i/>
          <w:rtl w:val="1"/>
        </w:rPr>
        <w:t xml:space="preserve">(المصدر: ديباجة ميثاق الأخلاق والسلوك المهني MPG)</w:t>
      </w:r>
    </w:p>
    <w:bookmarkEnd w:id="21"/>
    <w:bookmarkStart w:id="22" w:name="قيم-المدرسة-الست"/>
    <w:p>
      <w:pPr>
        <w:pStyle w:val="Heading3"/>
        <w:bidi/>
        <w:jc w:val="right"/>
      </w:pPr>
      <w:r>
        <w:rPr>
          <w:rtl w:val="1"/>
        </w:rPr>
        <w:t xml:space="preserve">1.2 قيم المدرسة الست</w:t>
      </w:r>
    </w:p>
    <w:p>
      <w:pPr>
        <w:pStyle w:val="FirstParagraph"/>
        <w:bidi/>
        <w:jc w:val="right"/>
      </w:pPr>
      <w:r>
        <w:rPr>
          <w:rtl w:val="1"/>
        </w:rPr>
        <w:t xml:space="preserve">المدرسة تبني عملها على ستة مبادئ أساسية، وهي ملزِمة للطاقم والمكوّنين والطلاب على حد سواء:</w:t>
      </w:r>
    </w:p>
    <w:p>
      <w:pPr>
        <w:numPr>
          <w:ilvl w:val="0"/>
          <w:numId w:val="1002"/>
        </w:numPr>
        <w:pStyle w:val="Compact"/>
        <w:bidi/>
        <w:jc w:val="right"/>
      </w:pPr>
      <w:r>
        <w:rPr>
          <w:bCs/>
          <w:b/>
          <w:rtl w:val="1"/>
        </w:rPr>
        <w:t xml:space="preserve">الأمانة</w:t>
      </w:r>
      <w:r>
        <w:rPr>
          <w:rtl w:val="1"/>
        </w:rPr>
        <w:t xml:space="preserve"> </w:t>
      </w:r>
      <w:r>
        <w:rPr>
          <w:rtl w:val="1"/>
        </w:rPr>
        <w:t xml:space="preserve">— الصدق والشفافية في كل الأنشطة.</w:t>
      </w:r>
    </w:p>
    <w:p>
      <w:pPr>
        <w:numPr>
          <w:ilvl w:val="0"/>
          <w:numId w:val="1002"/>
        </w:numPr>
        <w:pStyle w:val="Compact"/>
        <w:bidi/>
        <w:jc w:val="right"/>
      </w:pPr>
      <w:r>
        <w:rPr>
          <w:bCs/>
          <w:b/>
          <w:rtl w:val="1"/>
        </w:rPr>
        <w:t xml:space="preserve">العدل وعدم التمييز</w:t>
      </w:r>
      <w:r>
        <w:rPr>
          <w:rtl w:val="1"/>
        </w:rPr>
        <w:t xml:space="preserve"> </w:t>
      </w:r>
      <w:r>
        <w:rPr>
          <w:rtl w:val="1"/>
        </w:rPr>
        <w:t xml:space="preserve">— المساواة في المعاملة بلا تمييز بسبب الجنس أو الأصل أو الدين أو الرأي أو الوضع الاجتماعي.</w:t>
      </w:r>
    </w:p>
    <w:p>
      <w:pPr>
        <w:numPr>
          <w:ilvl w:val="0"/>
          <w:numId w:val="1002"/>
        </w:numPr>
        <w:pStyle w:val="Compact"/>
        <w:bidi/>
        <w:jc w:val="right"/>
      </w:pPr>
      <w:r>
        <w:rPr>
          <w:bCs/>
          <w:b/>
          <w:rtl w:val="1"/>
        </w:rPr>
        <w:t xml:space="preserve">الاحترام والكرامة</w:t>
      </w:r>
      <w:r>
        <w:rPr>
          <w:rtl w:val="1"/>
        </w:rPr>
        <w:t xml:space="preserve"> </w:t>
      </w:r>
      <w:r>
        <w:rPr>
          <w:rtl w:val="1"/>
        </w:rPr>
        <w:t xml:space="preserve">— احترام كرامة الإنسان والآراء والتنوع الثقافي.</w:t>
      </w:r>
    </w:p>
    <w:p>
      <w:pPr>
        <w:numPr>
          <w:ilvl w:val="0"/>
          <w:numId w:val="1002"/>
        </w:numPr>
        <w:pStyle w:val="Compact"/>
        <w:bidi/>
        <w:jc w:val="right"/>
      </w:pPr>
      <w:r>
        <w:rPr>
          <w:bCs/>
          <w:b/>
          <w:rtl w:val="1"/>
        </w:rPr>
        <w:t xml:space="preserve">المسؤولية المهنية</w:t>
      </w:r>
      <w:r>
        <w:rPr>
          <w:rtl w:val="1"/>
        </w:rPr>
        <w:t xml:space="preserve"> </w:t>
      </w:r>
      <w:r>
        <w:rPr>
          <w:rtl w:val="1"/>
        </w:rPr>
        <w:t xml:space="preserve">— تحمل مسؤولية الأفعال والقرارات.</w:t>
      </w:r>
    </w:p>
    <w:p>
      <w:pPr>
        <w:numPr>
          <w:ilvl w:val="0"/>
          <w:numId w:val="1002"/>
        </w:numPr>
        <w:pStyle w:val="Compact"/>
        <w:bidi/>
        <w:jc w:val="right"/>
      </w:pPr>
      <w:r>
        <w:rPr>
          <w:bCs/>
          <w:b/>
          <w:rtl w:val="1"/>
        </w:rPr>
        <w:t xml:space="preserve">الجودة والتميز</w:t>
      </w:r>
      <w:r>
        <w:rPr>
          <w:rtl w:val="1"/>
        </w:rPr>
        <w:t xml:space="preserve"> </w:t>
      </w:r>
      <w:r>
        <w:rPr>
          <w:rtl w:val="1"/>
        </w:rPr>
        <w:t xml:space="preserve">— السعي الدائم للجودة والتحسين المستمر.</w:t>
      </w:r>
    </w:p>
    <w:p>
      <w:pPr>
        <w:numPr>
          <w:ilvl w:val="0"/>
          <w:numId w:val="1002"/>
        </w:numPr>
        <w:pStyle w:val="Compact"/>
        <w:bidi/>
        <w:jc w:val="right"/>
      </w:pPr>
      <w:r>
        <w:rPr>
          <w:bCs/>
          <w:b/>
          <w:rtl w:val="1"/>
        </w:rPr>
        <w:t xml:space="preserve">السلامة والاستدامة</w:t>
      </w:r>
      <w:r>
        <w:rPr>
          <w:rtl w:val="1"/>
        </w:rPr>
        <w:t xml:space="preserve"> </w:t>
      </w:r>
      <w:r>
        <w:rPr>
          <w:rtl w:val="1"/>
        </w:rPr>
        <w:t xml:space="preserve">— تشجيع السلامة والصحة وحماية البيئة.</w:t>
      </w:r>
    </w:p>
    <w:p>
      <w:pPr>
        <w:pStyle w:val="FirstParagraph"/>
        <w:bidi/>
        <w:jc w:val="right"/>
      </w:pPr>
      <w:r>
        <w:rPr>
          <w:iCs/>
          <w:i/>
          <w:rtl w:val="1"/>
        </w:rPr>
        <w:t xml:space="preserve">(المصدر: المادة 2 من ميثاق الأخلاق والسلوك المهني MPG، المستلهَم من المعيار الوطني للجودة 2025 والمعيار الدولي ISO 21001:2018)</w:t>
      </w:r>
    </w:p>
    <w:p>
      <w:pPr>
        <w:bidi/>
        <w:jc w:val="right"/>
      </w:pPr>
      <w:r>
        <w:rPr>
          <w:rtl w:val="1"/>
        </w:rPr>
        <w:pict>
          <v:rect style="width:0;height:1.5pt" o:hralign="center" o:hrstd="t" o:hr="t"/>
        </w:pict>
      </w:r>
    </w:p>
    <w:bookmarkEnd w:id="22"/>
    <w:bookmarkEnd w:id="23"/>
    <w:bookmarkStart w:id="24" w:name="الشعب-العشر-المتاحة"/>
    <w:p>
      <w:pPr>
        <w:pStyle w:val="Heading2"/>
        <w:bidi/>
        <w:jc w:val="right"/>
      </w:pPr>
      <w:r>
        <w:rPr>
          <w:rtl w:val="1"/>
        </w:rPr>
        <w:t xml:space="preserve">2. الشعب العشر المتاحة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bidiVisual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الرمز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الشعبة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المهنة المستهدفة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عدد الوحدات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الحجم الساعي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PPG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الإنتاج النفطي والغازي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تقني سام في الإنتاج النفطي والغازي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30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2260 سا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RAFF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التكرير والبتروكيمياء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تقني سام في التكرير والبتروكيمياء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29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2280 سا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FORGE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الحفر (Forage)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تقني سام في الحفر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30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2370 سا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MRTG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صيانة شبكات النقل وتجهيزات معالجة الغاز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تقني في صيانة شبكات نقل الغاز وتجهيزات معالجته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27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1920 سا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TCM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أشغال المحاجر والمناجم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تقني سام في أشغال المحاجر والمناجم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26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2280 سا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MEC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صيانة معدات الأشغال (engins de chantier)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تقني سام في صيانة معدات الأشغال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28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2400 سا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EM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الكهروميكانيك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تقني سام في الكهروميكانيك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25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2165 سا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INSTR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الأجهزة والقياس (Instrumentation)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تقني سام في الأجهزة والقياس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24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2240 سا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SI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البنى المعدنية / الصناعة الحديدية واللحام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تقني سام في البنى المعدنية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31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2420 سا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QHSE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الجودة والصحة والسلامة والبيئة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تقني سام مشرف QHSE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26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2120 سا</w:t>
            </w:r>
          </w:p>
        </w:tc>
      </w:tr>
    </w:tbl>
    <w:p>
      <w:pPr>
        <w:pStyle w:val="BodyText"/>
        <w:bidi/>
        <w:jc w:val="right"/>
      </w:pPr>
      <w:r>
        <w:rPr>
          <w:bCs/>
          <w:b/>
          <w:rtl w:val="1"/>
        </w:rPr>
        <w:t xml:space="preserve">التفاصيل الكاملة لكل شعبة</w:t>
      </w:r>
      <w:r>
        <w:rPr>
          <w:rtl w:val="1"/>
        </w:rPr>
        <w:t xml:space="preserve"> </w:t>
      </w:r>
      <w:r>
        <w:rPr>
          <w:rtl w:val="1"/>
        </w:rPr>
        <w:t xml:space="preserve">(قائمة الوحدات وحجمها الساعي، توزيع السنة الأولى والثانية) في الوثيقة المرافقة:</w:t>
      </w:r>
      <w:r>
        <w:rPr>
          <w:rtl w:val="1"/>
        </w:rPr>
        <w:t xml:space="preserve"> </w:t>
      </w:r>
      <w:r>
        <w:rPr>
          <w:bCs/>
          <w:b/>
          <w:rtl w:val="1"/>
        </w:rPr>
        <w:t xml:space="preserve">«برامج التكوين والتخصصات»</w:t>
      </w:r>
      <w:r>
        <w:rPr>
          <w:rtl w:val="1"/>
        </w:rPr>
        <w:t xml:space="preserve">.</w:t>
      </w:r>
    </w:p>
    <w:p>
      <w:pPr>
        <w:pStyle w:val="BlockText"/>
        <w:bidi/>
        <w:jc w:val="right"/>
      </w:pPr>
      <w:r>
        <w:rPr>
          <w:bCs/>
          <w:b/>
          <w:rtl w:val="1"/>
        </w:rPr>
        <w:t xml:space="preserve">ملاحظة مهمة حول تسمية ملفين في المراجع الرسمية:</w:t>
      </w:r>
      <w:r>
        <w:rPr>
          <w:rtl w:val="1"/>
        </w:rPr>
        <w:t xml:space="preserve"> </w:t>
      </w:r>
      <w:r>
        <w:rPr>
          <w:rtl w:val="1"/>
        </w:rPr>
        <w:t xml:space="preserve">الملف المسمى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PF_BTS_Forgeage</w:t>
      </w:r>
      <w:r>
        <w:rPr>
          <w:rtl w:val="1"/>
        </w:rPr>
        <w:t xml:space="preserve"> </w:t>
      </w:r>
      <w:r>
        <w:rPr>
          <w:rtl w:val="1"/>
        </w:rPr>
        <w:t xml:space="preserve">يصف في الواقع مهنة</w:t>
      </w:r>
      <w:r>
        <w:rPr>
          <w:rtl w:val="1"/>
        </w:rPr>
        <w:t xml:space="preserve"> </w:t>
      </w:r>
      <w:r>
        <w:rPr>
          <w:bCs/>
          <w:b/>
          <w:rtl w:val="1"/>
        </w:rPr>
        <w:t xml:space="preserve">الحفر (Forage)</w:t>
      </w:r>
      <w:r>
        <w:rPr>
          <w:rtl w:val="1"/>
        </w:rPr>
        <w:t xml:space="preserve"> </w:t>
      </w:r>
      <w:r>
        <w:rPr>
          <w:rtl w:val="1"/>
        </w:rPr>
        <w:t xml:space="preserve">وليس الحدادة (Forgeage)؛ والملف المسمى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BTS SI- VERSION 2023</w:t>
      </w:r>
      <w:r>
        <w:rPr>
          <w:rtl w:val="1"/>
        </w:rPr>
        <w:t xml:space="preserve"> </w:t>
      </w:r>
      <w:r>
        <w:rPr>
          <w:rtl w:val="1"/>
        </w:rPr>
        <w:t xml:space="preserve">يصف مهنة</w:t>
      </w:r>
      <w:r>
        <w:rPr>
          <w:rtl w:val="1"/>
        </w:rPr>
        <w:t xml:space="preserve"> </w:t>
      </w:r>
      <w:r>
        <w:rPr>
          <w:bCs/>
          <w:b/>
          <w:rtl w:val="1"/>
        </w:rPr>
        <w:t xml:space="preserve">البنى المعدنية / اللحام</w:t>
      </w:r>
      <w:r>
        <w:rPr>
          <w:rtl w:val="1"/>
        </w:rPr>
        <w:t xml:space="preserve"> </w:t>
      </w:r>
      <w:r>
        <w:rPr>
          <w:rtl w:val="1"/>
        </w:rPr>
        <w:t xml:space="preserve">وليس «نظم المعلومات». هذا خلل في تسمية الملفات المصدرية، وقد تم تصحيحه في كل وثائق المدرسة الداخلية.</w:t>
      </w:r>
    </w:p>
    <w:p>
      <w:pPr>
        <w:bidi/>
        <w:jc w:val="right"/>
      </w:pPr>
      <w:r>
        <w:rPr>
          <w:rtl w:val="1"/>
        </w:rPr>
        <w:pict>
          <v:rect style="width:0;height:1.5pt" o:hralign="center" o:hrstd="t" o:hr="t"/>
        </w:pict>
      </w:r>
    </w:p>
    <w:bookmarkEnd w:id="24"/>
    <w:bookmarkStart w:id="25" w:name="التسجيل-والقبول"/>
    <w:p>
      <w:pPr>
        <w:pStyle w:val="Heading2"/>
        <w:bidi/>
        <w:jc w:val="right"/>
      </w:pPr>
      <w:r>
        <w:rPr>
          <w:rtl w:val="1"/>
        </w:rPr>
        <w:t xml:space="preserve">3. التسجيل والقبول</w:t>
      </w:r>
    </w:p>
    <w:p>
      <w:pPr>
        <w:pStyle w:val="FirstParagraph"/>
        <w:bidi/>
        <w:jc w:val="right"/>
      </w:pPr>
      <w:r>
        <w:rPr>
          <w:rtl w:val="1"/>
        </w:rPr>
        <w:t xml:space="preserve">هذا هو الجزء الأكثر طلبا من طرف المترشحين، وهو</w:t>
      </w:r>
      <w:r>
        <w:rPr>
          <w:rtl w:val="1"/>
        </w:rPr>
        <w:t xml:space="preserve"> </w:t>
      </w:r>
      <w:r>
        <w:rPr>
          <w:bCs/>
          <w:b/>
          <w:rtl w:val="1"/>
        </w:rPr>
        <w:t xml:space="preserve">الجزء الذي لا تتضمن وثائق المشروع الحالية أي معطى عنه</w:t>
      </w:r>
      <w:r>
        <w:rPr>
          <w:rtl w:val="1"/>
        </w:rPr>
        <w:t xml:space="preserve">. كل البنود التالية يجب أن تملأها الإدارة: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bidiVisual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السؤال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الجواب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شروط القبول (الشهادة المطلوبة، الشُّعب المقبولة، السن)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[معلومة ناقصة — à compléter]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هل هناك مسابقة أو اختبار انتقاء؟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[معلومة ناقصة — à compléter]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ملف الترشح (الوثائق المطلوبة)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[معلومة ناقصة — à compléter]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تواريخ فتح وغلق التسجيل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[معلومة ناقصة — à compléter]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مكان الإيداع / التسجيل الإلكتروني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[معلومة ناقصة — à compléter]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رسوم التسجيل والدراسة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[معلومة ناقصة — à compléter]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عدد المقاعد المتاحة لكل شعبة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[معلومة ناقصة — à compléter]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المنح الدراسية وشروطها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[معلومة ناقصة — à compléter]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إعادة التوجيه أو تغيير الشعبة بعد التسجيل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[معلومة ناقصة — à compléter]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التسجيل للطلاب الأجانب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[معلومة ناقصة — à compléter]</w:t>
            </w:r>
          </w:p>
        </w:tc>
      </w:tr>
    </w:tbl>
    <w:p>
      <w:pPr>
        <w:pStyle w:val="BodyText"/>
        <w:bidi/>
        <w:jc w:val="right"/>
      </w:pPr>
      <w:r>
        <w:rPr>
          <w:bCs/>
          <w:b/>
          <w:rtl w:val="1"/>
        </w:rPr>
        <w:t xml:space="preserve">ما هو مؤكد عند التسجيل:</w:t>
      </w:r>
      <w:r>
        <w:rPr>
          <w:rtl w:val="1"/>
        </w:rPr>
        <w:t xml:space="preserve"> </w:t>
      </w:r>
      <w:r>
        <w:rPr>
          <w:rtl w:val="1"/>
        </w:rPr>
        <w:t xml:space="preserve">يلتزم الطالب</w:t>
      </w:r>
      <w:r>
        <w:rPr>
          <w:rtl w:val="1"/>
        </w:rPr>
        <w:t xml:space="preserve"> </w:t>
      </w:r>
      <w:r>
        <w:rPr>
          <w:bCs/>
          <w:b/>
          <w:rtl w:val="1"/>
        </w:rPr>
        <w:t xml:space="preserve">كتابةً</w:t>
      </w:r>
      <w:r>
        <w:rPr>
          <w:rtl w:val="1"/>
        </w:rPr>
        <w:t xml:space="preserve"> </w:t>
      </w:r>
      <w:r>
        <w:rPr>
          <w:rtl w:val="1"/>
        </w:rPr>
        <w:t xml:space="preserve">بميثاق الأخلاق والسلوك المهني عند التسجيل.</w:t>
      </w:r>
      <w:r>
        <w:rPr>
          <w:rtl w:val="1"/>
        </w:rPr>
        <w:t xml:space="preserve"> </w:t>
      </w:r>
      <w:r>
        <w:rPr>
          <w:iCs/>
          <w:i/>
          <w:rtl w:val="1"/>
        </w:rPr>
        <w:t xml:space="preserve">(المصدر: المادة 11 من الميثاق)</w:t>
      </w:r>
    </w:p>
    <w:p>
      <w:pPr>
        <w:bidi/>
        <w:jc w:val="right"/>
      </w:pPr>
      <w:r>
        <w:rPr>
          <w:rtl w:val="1"/>
        </w:rPr>
        <w:pict>
          <v:rect style="width:0;height:1.5pt" o:hralign="center" o:hrstd="t" o:hr="t"/>
        </w:pict>
      </w:r>
    </w:p>
    <w:bookmarkEnd w:id="25"/>
    <w:bookmarkStart w:id="29" w:name="تنظيم-الدراسة"/>
    <w:p>
      <w:pPr>
        <w:pStyle w:val="Heading2"/>
        <w:bidi/>
        <w:jc w:val="right"/>
      </w:pPr>
      <w:r>
        <w:rPr>
          <w:rtl w:val="1"/>
        </w:rPr>
        <w:t xml:space="preserve">4. تنظيم الدراسة</w:t>
      </w:r>
    </w:p>
    <w:bookmarkStart w:id="26" w:name="X8d4bb33776c77554c8ab3a11334b77975935c6a"/>
    <w:p>
      <w:pPr>
        <w:pStyle w:val="Heading3"/>
        <w:bidi/>
        <w:jc w:val="right"/>
      </w:pPr>
      <w:r>
        <w:rPr>
          <w:rtl w:val="1"/>
        </w:rPr>
        <w:t xml:space="preserve">4.1 المقاربة البيداغوجية: التكوين بالكفاءات (APC)</w:t>
      </w:r>
    </w:p>
    <w:p>
      <w:pPr>
        <w:pStyle w:val="FirstParagraph"/>
        <w:bidi/>
        <w:jc w:val="right"/>
      </w:pPr>
      <w:r>
        <w:rPr>
          <w:rtl w:val="1"/>
        </w:rPr>
        <w:t xml:space="preserve">كل شعبة تُدرَّس وفق</w:t>
      </w:r>
      <w:r>
        <w:rPr>
          <w:rtl w:val="1"/>
        </w:rPr>
        <w:t xml:space="preserve"> </w:t>
      </w:r>
      <w:r>
        <w:rPr>
          <w:bCs/>
          <w:b/>
          <w:rtl w:val="1"/>
        </w:rPr>
        <w:t xml:space="preserve">مرجع تكوين رسمي (référentiel de formation)</w:t>
      </w:r>
      <w:r>
        <w:rPr>
          <w:rtl w:val="1"/>
        </w:rPr>
        <w:t xml:space="preserve"> </w:t>
      </w:r>
      <w:r>
        <w:rPr>
          <w:rtl w:val="1"/>
        </w:rPr>
        <w:t xml:space="preserve">مبني على</w:t>
      </w:r>
      <w:r>
        <w:rPr>
          <w:rtl w:val="1"/>
        </w:rPr>
        <w:t xml:space="preserve"> </w:t>
      </w:r>
      <w:r>
        <w:rPr>
          <w:bCs/>
          <w:b/>
          <w:rtl w:val="1"/>
        </w:rPr>
        <w:t xml:space="preserve">المقاربة بالكفاءات</w:t>
      </w:r>
      <w:r>
        <w:rPr>
          <w:rtl w:val="1"/>
        </w:rPr>
        <w:t xml:space="preserve">. معنى ذلك عمليا للطالب:</w:t>
      </w:r>
    </w:p>
    <w:p>
      <w:pPr>
        <w:numPr>
          <w:ilvl w:val="0"/>
          <w:numId w:val="1003"/>
        </w:numPr>
        <w:pStyle w:val="Compact"/>
        <w:bidi/>
        <w:jc w:val="right"/>
      </w:pPr>
      <w:r>
        <w:rPr>
          <w:rtl w:val="1"/>
        </w:rPr>
        <w:t xml:space="preserve">التكوين مقسّم إلى</w:t>
      </w:r>
      <w:r>
        <w:rPr>
          <w:rtl w:val="1"/>
        </w:rPr>
        <w:t xml:space="preserve"> </w:t>
      </w:r>
      <w:r>
        <w:rPr>
          <w:bCs/>
          <w:b/>
          <w:rtl w:val="1"/>
        </w:rPr>
        <w:t xml:space="preserve">وحدات (modules)</w:t>
      </w:r>
      <w:r>
        <w:rPr>
          <w:rtl w:val="1"/>
        </w:rPr>
        <w:t xml:space="preserve">، وكل وحدة تستهدف</w:t>
      </w:r>
      <w:r>
        <w:rPr>
          <w:rtl w:val="1"/>
        </w:rPr>
        <w:t xml:space="preserve"> </w:t>
      </w:r>
      <w:r>
        <w:rPr>
          <w:bCs/>
          <w:b/>
          <w:rtl w:val="1"/>
        </w:rPr>
        <w:t xml:space="preserve">كفاءة</w:t>
      </w:r>
      <w:r>
        <w:rPr>
          <w:rtl w:val="1"/>
        </w:rPr>
        <w:t xml:space="preserve"> </w:t>
      </w:r>
      <w:r>
        <w:rPr>
          <w:rtl w:val="1"/>
        </w:rPr>
        <w:t xml:space="preserve">محددة؛</w:t>
      </w:r>
    </w:p>
    <w:p>
      <w:pPr>
        <w:numPr>
          <w:ilvl w:val="0"/>
          <w:numId w:val="1003"/>
        </w:numPr>
        <w:pStyle w:val="Compact"/>
        <w:bidi/>
        <w:jc w:val="right"/>
      </w:pPr>
      <w:r>
        <w:rPr>
          <w:rtl w:val="1"/>
        </w:rPr>
        <w:t xml:space="preserve">الكفاءة ليست «معرفة» فقط، بل</w:t>
      </w:r>
      <w:r>
        <w:rPr>
          <w:rtl w:val="1"/>
        </w:rPr>
        <w:t xml:space="preserve"> </w:t>
      </w:r>
      <w:r>
        <w:rPr>
          <w:bCs/>
          <w:b/>
          <w:rtl w:val="1"/>
        </w:rPr>
        <w:t xml:space="preserve">قدرة على الإنجاز</w:t>
      </w:r>
      <w:r>
        <w:rPr>
          <w:rtl w:val="1"/>
        </w:rPr>
        <w:t xml:space="preserve">: معارف + مهارات + سلوك مهني؛</w:t>
      </w:r>
    </w:p>
    <w:p>
      <w:pPr>
        <w:numPr>
          <w:ilvl w:val="0"/>
          <w:numId w:val="1003"/>
        </w:numPr>
        <w:pStyle w:val="Compact"/>
        <w:bidi/>
        <w:jc w:val="right"/>
      </w:pPr>
      <w:r>
        <w:rPr>
          <w:rtl w:val="1"/>
        </w:rPr>
        <w:t xml:space="preserve">لكل وحدة</w:t>
      </w:r>
      <w:r>
        <w:rPr>
          <w:rtl w:val="1"/>
        </w:rPr>
        <w:t xml:space="preserve"> </w:t>
      </w:r>
      <w:r>
        <w:rPr>
          <w:bCs/>
          <w:b/>
          <w:rtl w:val="1"/>
        </w:rPr>
        <w:t xml:space="preserve">«معايير أداء» (critères de performance)</w:t>
      </w:r>
      <w:r>
        <w:rPr>
          <w:rtl w:val="1"/>
        </w:rPr>
        <w:t xml:space="preserve"> </w:t>
      </w:r>
      <w:r>
        <w:rPr>
          <w:rtl w:val="1"/>
        </w:rPr>
        <w:t xml:space="preserve">معلنة مسبقا، وهي التي يُقاس عليها نجاح الطالب؛</w:t>
      </w:r>
    </w:p>
    <w:p>
      <w:pPr>
        <w:numPr>
          <w:ilvl w:val="0"/>
          <w:numId w:val="1003"/>
        </w:numPr>
        <w:pStyle w:val="Compact"/>
        <w:bidi/>
        <w:jc w:val="right"/>
      </w:pPr>
      <w:r>
        <w:rPr>
          <w:rtl w:val="1"/>
        </w:rPr>
        <w:t xml:space="preserve">كل وحدة تُنجَز في</w:t>
      </w:r>
      <w:r>
        <w:rPr>
          <w:rtl w:val="1"/>
        </w:rPr>
        <w:t xml:space="preserve"> </w:t>
      </w:r>
      <w:r>
        <w:rPr>
          <w:bCs/>
          <w:b/>
          <w:rtl w:val="1"/>
        </w:rPr>
        <w:t xml:space="preserve">سياق إنجاز محدد</w:t>
      </w:r>
      <w:r>
        <w:rPr>
          <w:rtl w:val="1"/>
        </w:rPr>
        <w:t xml:space="preserve"> </w:t>
      </w:r>
      <w:r>
        <w:rPr>
          <w:rtl w:val="1"/>
        </w:rPr>
        <w:t xml:space="preserve">(فرديا أو ضمن مجموعة، بوثائق ومعدات محددة).</w:t>
      </w:r>
    </w:p>
    <w:p>
      <w:pPr>
        <w:pStyle w:val="FirstParagraph"/>
        <w:bidi/>
        <w:jc w:val="right"/>
      </w:pPr>
      <w:r>
        <w:rPr>
          <w:bCs/>
          <w:b/>
          <w:rtl w:val="1"/>
        </w:rPr>
        <w:t xml:space="preserve">الفائدة العملية:</w:t>
      </w:r>
      <w:r>
        <w:rPr>
          <w:rtl w:val="1"/>
        </w:rPr>
        <w:t xml:space="preserve"> </w:t>
      </w:r>
      <w:r>
        <w:rPr>
          <w:rtl w:val="1"/>
        </w:rPr>
        <w:t xml:space="preserve">الطالب يعرف منذ بداية كل وحدة ما هو المطلوب منه بالضبط لاجتيازها.</w:t>
      </w:r>
    </w:p>
    <w:bookmarkEnd w:id="26"/>
    <w:bookmarkStart w:id="27" w:name="بنية-السنة-الدراسية"/>
    <w:p>
      <w:pPr>
        <w:pStyle w:val="Heading3"/>
        <w:bidi/>
        <w:jc w:val="right"/>
      </w:pPr>
      <w:r>
        <w:rPr>
          <w:rtl w:val="1"/>
        </w:rPr>
        <w:t xml:space="preserve">4.2 بنية السنة الدراسية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bidiVisual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العنصر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المعطى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مدة التكوين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سنتان (السنة الأولى + السنة الثانية)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أسابيع الدراسة في السنة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32 أسبوعا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أسابيع التربص في السنة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4 أسابيع (الأسابيع 33 إلى 36)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مجموع أسابيع السنة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36 أسبوعا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الحجم الساعي الأسبوعي للدراسة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36 ساعة كحد أقصى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أيام الدراسة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6 أيام: من الاثنين إلى السبت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التوقيت اليومي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6 ساعات: من 8:00 إلى 14:00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نظام التربص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40 ساعة في الأسبوع (دوام كامل في المؤسسة المستقبِلة)</w:t>
            </w:r>
          </w:p>
        </w:tc>
      </w:tr>
    </w:tbl>
    <w:p>
      <w:pPr>
        <w:pStyle w:val="BodyText"/>
        <w:bidi/>
        <w:jc w:val="right"/>
      </w:pPr>
      <w:r>
        <w:rPr>
          <w:iCs/>
          <w:i/>
          <w:rtl w:val="1"/>
        </w:rPr>
        <w:t xml:space="preserve">(المصدر: منهجية جداول الحصص ومنهجية الرزنامة البيداغوجية 2026-2027)</w:t>
      </w:r>
    </w:p>
    <w:p>
      <w:pPr>
        <w:pStyle w:val="BlockText"/>
        <w:bidi/>
        <w:jc w:val="right"/>
      </w:pPr>
      <w:r>
        <w:rPr>
          <w:bCs/>
          <w:b/>
          <w:rtl w:val="1"/>
        </w:rPr>
        <w:t xml:space="preserve">تنبيه:</w:t>
      </w:r>
      <w:r>
        <w:rPr>
          <w:rtl w:val="1"/>
        </w:rPr>
        <w:t xml:space="preserve"> </w:t>
      </w:r>
      <w:r>
        <w:rPr>
          <w:rtl w:val="1"/>
        </w:rPr>
        <w:t xml:space="preserve">توزيع المواد على أيام الأسبوع في جداول الحصص الحالية هو</w:t>
      </w:r>
      <w:r>
        <w:rPr>
          <w:rtl w:val="1"/>
        </w:rPr>
        <w:t xml:space="preserve"> </w:t>
      </w:r>
      <w:r>
        <w:rPr>
          <w:bCs/>
          <w:b/>
          <w:rtl w:val="1"/>
        </w:rPr>
        <w:t xml:space="preserve">بناء آلي قابل للتعديل</w:t>
      </w:r>
      <w:r>
        <w:rPr>
          <w:rtl w:val="1"/>
        </w:rPr>
        <w:t xml:space="preserve">، وليس جدولا نهائيا مصادقا عليه من الفريق البيداغوجي. الجدول النهائي المعلَّق في المدرسة هو المرجع.</w:t>
      </w:r>
    </w:p>
    <w:bookmarkEnd w:id="27"/>
    <w:bookmarkStart w:id="28" w:name="من-يدرس-ماذا"/>
    <w:p>
      <w:pPr>
        <w:pStyle w:val="Heading3"/>
        <w:bidi/>
        <w:jc w:val="right"/>
      </w:pPr>
      <w:r>
        <w:rPr>
          <w:rtl w:val="1"/>
        </w:rPr>
        <w:t xml:space="preserve">4.3 من يدرّس ماذا</w:t>
      </w:r>
    </w:p>
    <w:p>
      <w:pPr>
        <w:pStyle w:val="FirstParagraph"/>
        <w:bidi/>
        <w:jc w:val="right"/>
      </w:pPr>
      <w:r>
        <w:rPr>
          <w:rtl w:val="1"/>
        </w:rPr>
        <w:t xml:space="preserve">أسماء المكوّنين وتوزيعهم على الوحدات، وكذلك أسماء الورشات والقاعات،</w:t>
      </w:r>
      <w:r>
        <w:rPr>
          <w:rtl w:val="1"/>
        </w:rPr>
        <w:t xml:space="preserve"> </w:t>
      </w:r>
      <w:r>
        <w:rPr>
          <w:bCs/>
          <w:b/>
          <w:rtl w:val="1"/>
        </w:rPr>
        <w:t xml:space="preserve">[معلومة ناقصة — à compléter]</w:t>
      </w:r>
      <w:r>
        <w:rPr>
          <w:rtl w:val="1"/>
        </w:rPr>
        <w:t xml:space="preserve">: الوثائق الحالية تستعمل تسميات عامة («مكوّن 1»، «At-EM»…) في انتظار التوزيع الحقيقي.</w:t>
      </w:r>
    </w:p>
    <w:p>
      <w:pPr>
        <w:bidi/>
        <w:jc w:val="right"/>
      </w:pPr>
      <w:r>
        <w:rPr>
          <w:rtl w:val="1"/>
        </w:rPr>
        <w:pict>
          <v:rect style="width:0;height:1.5pt" o:hralign="center" o:hrstd="t" o:hr="t"/>
        </w:pict>
      </w:r>
    </w:p>
    <w:bookmarkEnd w:id="28"/>
    <w:bookmarkEnd w:id="29"/>
    <w:bookmarkStart w:id="31" w:name="الرزنامة-الدراسية-2026-2027"/>
    <w:p>
      <w:pPr>
        <w:pStyle w:val="Heading2"/>
        <w:bidi/>
        <w:jc w:val="right"/>
      </w:pPr>
      <w:r>
        <w:rPr>
          <w:rtl w:val="1"/>
        </w:rPr>
        <w:t xml:space="preserve">5. الرزنامة الدراسية 2026-2027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الحدث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التاريخ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درجة التأكد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الدخول المدرسي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الثلاثاء 6 أكتوبر 2026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مؤكد</w:t>
            </w:r>
            <w:r>
              <w:rPr>
                <w:rtl w:val="1"/>
              </w:rPr>
              <w:t xml:space="preserve"> </w:t>
            </w:r>
            <w:r>
              <w:rPr>
                <w:rtl w:val="1"/>
              </w:rPr>
              <w:t xml:space="preserve">(مؤكد من الإدارة)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عطلة ديسمبر (10 أيام)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24 ديسمبر 2026 → 2 يناير 2027، والعودة الاثنين 4 يناير 2027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مقترح — في انتظار المصادقة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عطلة مارس (10 أيام)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6 → 15 مارس 2027، والعودة الثلاثاء 16 مارس 2027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مقترح — في انتظار المصادقة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نهاية الدروس (الأسبوع 32)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السبت 29 مايو 2027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محسوب من تاريخ الدخول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نهاية التربصات (الأسبوع 36)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السبت 26 يونيو 2027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محسوب</w:t>
            </w:r>
          </w:p>
        </w:tc>
      </w:tr>
    </w:tbl>
    <w:bookmarkStart w:id="30" w:name="الأيام-المعطلة-خلال-السنة"/>
    <w:p>
      <w:pPr>
        <w:pStyle w:val="Heading3"/>
        <w:bidi/>
        <w:jc w:val="right"/>
      </w:pPr>
      <w:r>
        <w:rPr>
          <w:rtl w:val="1"/>
        </w:rPr>
        <w:t xml:space="preserve">5.1 الأيام المعطَّلة خلال السنة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التاريخ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المناسبة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درجة التأكد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السبت 28 نوفمبر 2026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عيد الاستقلال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مؤكد</w:t>
            </w:r>
            <w:r>
              <w:rPr>
                <w:rtl w:val="1"/>
              </w:rPr>
              <w:t xml:space="preserve"> </w:t>
            </w:r>
            <w:r>
              <w:rPr>
                <w:rtl w:val="1"/>
              </w:rPr>
              <w:t xml:space="preserve">(تاريخ مدني ثابت)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الجمعة 1 يناير 2027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رأس السنة الميلادية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مؤكد (يقع داخل عطلة ديسمبر)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10-11 مارس 2027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عيد الفطر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تقديري (±1-2 يوم)</w:t>
            </w:r>
            <w:r>
              <w:rPr>
                <w:rtl w:val="1"/>
              </w:rPr>
              <w:t xml:space="preserve"> </w:t>
            </w:r>
            <w:r>
              <w:rPr>
                <w:rtl w:val="1"/>
              </w:rPr>
              <w:t xml:space="preserve">— يتوقف على رؤية الهلال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السبت 1 مايو 2027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عيد العمال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مؤكد</w:t>
            </w:r>
            <w:r>
              <w:rPr>
                <w:rtl w:val="1"/>
              </w:rPr>
              <w:t xml:space="preserve"> </w:t>
            </w:r>
            <w:r>
              <w:rPr>
                <w:rtl w:val="1"/>
              </w:rPr>
              <w:t xml:space="preserve">(تاريخ مدني ثابت)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17-18 مايو 2027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عيد الأضحى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تقديري (±1-2 يوم)</w:t>
            </w:r>
            <w:r>
              <w:rPr>
                <w:rtl w:val="1"/>
              </w:rPr>
              <w:t xml:space="preserve"> </w:t>
            </w:r>
            <w:r>
              <w:rPr>
                <w:rtl w:val="1"/>
              </w:rPr>
              <w:t xml:space="preserve">— يتوقف على رؤية الهلال</w:t>
            </w:r>
          </w:p>
        </w:tc>
      </w:tr>
    </w:tbl>
    <w:p>
      <w:pPr>
        <w:pStyle w:val="BlockText"/>
        <w:bidi/>
        <w:jc w:val="right"/>
      </w:pPr>
      <w:r>
        <w:rPr>
          <w:bCs/>
          <w:b/>
          <w:rtl w:val="1"/>
        </w:rPr>
        <w:t xml:space="preserve">ملاحظة للطالب:</w:t>
      </w:r>
      <w:r>
        <w:rPr>
          <w:rtl w:val="1"/>
        </w:rPr>
        <w:t xml:space="preserve"> </w:t>
      </w:r>
      <w:r>
        <w:rPr>
          <w:rtl w:val="1"/>
        </w:rPr>
        <w:t xml:space="preserve">التواريخ القمرية (عيد الفطر وعيد الأضحى) لا تُؤكَّد رسميا إلا قبل أيام قليلة من وقوعها. اعتمد دائما الإعلان الرسمي للمدرسة.</w:t>
      </w:r>
    </w:p>
    <w:p>
      <w:pPr>
        <w:pStyle w:val="BlockText"/>
        <w:bidi/>
        <w:jc w:val="right"/>
      </w:pPr>
      <w:r>
        <w:rPr>
          <w:bCs/>
          <w:b/>
          <w:rtl w:val="1"/>
        </w:rPr>
        <w:t xml:space="preserve">ملاحظة صادقة:</w:t>
      </w:r>
      <w:r>
        <w:rPr>
          <w:rtl w:val="1"/>
        </w:rPr>
        <w:t xml:space="preserve"> </w:t>
      </w:r>
      <w:r>
        <w:rPr>
          <w:rtl w:val="1"/>
        </w:rPr>
        <w:t xml:space="preserve">الأسبوع الأول من السنة يبدأ يوم ثلاثاء، أي 5 أيام فقط (30 ساعة بدل 36).</w:t>
      </w:r>
    </w:p>
    <w:p>
      <w:pPr>
        <w:bidi/>
        <w:jc w:val="right"/>
      </w:pPr>
      <w:r>
        <w:rPr>
          <w:rtl w:val="1"/>
        </w:rPr>
        <w:pict>
          <v:rect style="width:0;height:1.5pt" o:hralign="center" o:hrstd="t" o:hr="t"/>
        </w:pict>
      </w:r>
    </w:p>
    <w:bookmarkEnd w:id="30"/>
    <w:bookmarkEnd w:id="31"/>
    <w:bookmarkStart w:id="36" w:name="التقييم-والانتقال-والشهادة"/>
    <w:p>
      <w:pPr>
        <w:pStyle w:val="Heading2"/>
        <w:bidi/>
        <w:jc w:val="right"/>
      </w:pPr>
      <w:r>
        <w:rPr>
          <w:rtl w:val="1"/>
        </w:rPr>
        <w:t xml:space="preserve">6. التقييم والانتقال والشهادة</w:t>
      </w:r>
    </w:p>
    <w:bookmarkStart w:id="32" w:name="كيف-يقيم-الطالب"/>
    <w:p>
      <w:pPr>
        <w:pStyle w:val="Heading3"/>
        <w:bidi/>
        <w:jc w:val="right"/>
      </w:pPr>
      <w:r>
        <w:rPr>
          <w:rtl w:val="1"/>
        </w:rPr>
        <w:t xml:space="preserve">6.1 كيف يُقيَّم الطالب</w:t>
      </w:r>
    </w:p>
    <w:p>
      <w:pPr>
        <w:pStyle w:val="FirstParagraph"/>
        <w:bidi/>
        <w:jc w:val="right"/>
      </w:pPr>
      <w:r>
        <w:rPr>
          <w:rtl w:val="1"/>
        </w:rPr>
        <w:t xml:space="preserve">التقييم في نظام المقاربة بالكفاءات يقوم على</w:t>
      </w:r>
      <w:r>
        <w:rPr>
          <w:rtl w:val="1"/>
        </w:rPr>
        <w:t xml:space="preserve"> </w:t>
      </w:r>
      <w:r>
        <w:rPr>
          <w:bCs/>
          <w:b/>
          <w:rtl w:val="1"/>
        </w:rPr>
        <w:t xml:space="preserve">معايير الأداء المعلنة في كل وحدة</w:t>
      </w:r>
      <w:r>
        <w:rPr>
          <w:rtl w:val="1"/>
        </w:rPr>
        <w:t xml:space="preserve">، وليس على الحفظ فقط. يشمل ذلك:</w:t>
      </w:r>
    </w:p>
    <w:p>
      <w:pPr>
        <w:numPr>
          <w:ilvl w:val="0"/>
          <w:numId w:val="1004"/>
        </w:numPr>
        <w:pStyle w:val="Compact"/>
        <w:bidi/>
        <w:jc w:val="right"/>
      </w:pPr>
      <w:r>
        <w:rPr>
          <w:rtl w:val="1"/>
        </w:rPr>
        <w:t xml:space="preserve">التقييم النظري (معارف)؛</w:t>
      </w:r>
    </w:p>
    <w:p>
      <w:pPr>
        <w:numPr>
          <w:ilvl w:val="0"/>
          <w:numId w:val="1004"/>
        </w:numPr>
        <w:pStyle w:val="Compact"/>
        <w:bidi/>
        <w:jc w:val="right"/>
      </w:pPr>
      <w:r>
        <w:rPr>
          <w:rtl w:val="1"/>
        </w:rPr>
        <w:t xml:space="preserve">التقييم العملي في الورشة/المختبر (وضعيات مهنية)؛</w:t>
      </w:r>
    </w:p>
    <w:p>
      <w:pPr>
        <w:numPr>
          <w:ilvl w:val="0"/>
          <w:numId w:val="1004"/>
        </w:numPr>
        <w:pStyle w:val="Compact"/>
        <w:bidi/>
        <w:jc w:val="right"/>
      </w:pPr>
      <w:r>
        <w:rPr>
          <w:rtl w:val="1"/>
        </w:rPr>
        <w:t xml:space="preserve">تقييم السلوك المهني (احترام السلامة، المواظبة، العمل ضمن فريق).</w:t>
      </w:r>
    </w:p>
    <w:bookmarkEnd w:id="32"/>
    <w:bookmarkStart w:id="33" w:name="مواعيد-التقييم"/>
    <w:p>
      <w:pPr>
        <w:pStyle w:val="Heading3"/>
        <w:bidi/>
        <w:jc w:val="right"/>
      </w:pPr>
      <w:r>
        <w:rPr>
          <w:rtl w:val="1"/>
        </w:rPr>
        <w:t xml:space="preserve">6.2 مواعيد التقييم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النوع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التوقيت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الحالة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تقييم نهاية كل وحدة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عند انتهاء الوحدة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مقترح عام — في انتظار مصادقة الفريق البيداغوجي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حصيلة منتصف السنة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الأسبوع 16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مقترح عام — في انتظار المصادقة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حصيلة نهاية السنة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الأسبوع 32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مقترح عام — في انتظار المصادقة</w:t>
            </w:r>
          </w:p>
        </w:tc>
      </w:tr>
    </w:tbl>
    <w:p>
      <w:pPr>
        <w:pStyle w:val="BlockText"/>
        <w:bidi/>
        <w:jc w:val="right"/>
      </w:pPr>
      <w:r>
        <w:rPr>
          <w:rtl w:val="1"/>
        </w:rPr>
        <w:t xml:space="preserve">بصراحة: رزنامة التقييم الموجودة حاليا في ملفات المدرسة هي</w:t>
      </w:r>
      <w:r>
        <w:rPr>
          <w:rtl w:val="1"/>
        </w:rPr>
        <w:t xml:space="preserve"> </w:t>
      </w:r>
      <w:r>
        <w:rPr>
          <w:bCs/>
          <w:b/>
          <w:rtl w:val="1"/>
        </w:rPr>
        <w:t xml:space="preserve">اقتراح آلي عام</w:t>
      </w:r>
      <w:r>
        <w:rPr>
          <w:rtl w:val="1"/>
        </w:rPr>
        <w:t xml:space="preserve">، ولا تستند إلى رزنامة امتحانات مصادق عليها. الرزنامة الرسمية تصدر عن الإدارة.</w:t>
      </w:r>
    </w:p>
    <w:bookmarkEnd w:id="33"/>
    <w:bookmarkStart w:id="34" w:name="ما-هو-غير-محدد-بعد"/>
    <w:p>
      <w:pPr>
        <w:pStyle w:val="Heading3"/>
        <w:bidi/>
        <w:jc w:val="right"/>
      </w:pPr>
      <w:r>
        <w:rPr>
          <w:rtl w:val="1"/>
        </w:rPr>
        <w:t xml:space="preserve">6.3 ما هو غير محدد بعد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bidiVisual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السؤال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الجواب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معدل النجاح ومعايير اجتياز الوحدة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[معلومة ناقصة — à compléter]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شروط الانتقال من السنة الأولى إلى الثانية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[معلومة ناقصة — à compléter]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نظام الاستدراك (rattrapage)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[معلومة ناقصة — à compléter]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شروط وإجراءات الإعادة (redoublement)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[معلومة ناقصة — à compléter]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تركيبة لجنة المداولات والامتحان النهائي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[معلومة ناقصة — à compléter]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كيفية وآجال الحصول على الشهادة وكشوف النقاط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[معلومة ناقصة — à compléter]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إجراءات الطعن في نتيجة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[معلومة ناقصة — à compléter]</w:t>
            </w:r>
          </w:p>
        </w:tc>
      </w:tr>
    </w:tbl>
    <w:bookmarkEnd w:id="34"/>
    <w:bookmarkStart w:id="35" w:name="النزاهة-الأكاديمية-عدم-التساهل-مطلقا"/>
    <w:p>
      <w:pPr>
        <w:pStyle w:val="Heading3"/>
        <w:bidi/>
        <w:jc w:val="right"/>
      </w:pPr>
      <w:r>
        <w:rPr>
          <w:rtl w:val="1"/>
        </w:rPr>
        <w:t xml:space="preserve">6.4 النزاهة الأكاديمية — عدم التساهل مطلقا</w:t>
      </w:r>
    </w:p>
    <w:p>
      <w:pPr>
        <w:pStyle w:val="FirstParagraph"/>
        <w:bidi/>
        <w:jc w:val="right"/>
      </w:pPr>
      <w:r>
        <w:rPr>
          <w:rtl w:val="1"/>
        </w:rPr>
        <w:t xml:space="preserve">المدرسة تطبق سياسة</w:t>
      </w:r>
      <w:r>
        <w:rPr>
          <w:rtl w:val="1"/>
        </w:rPr>
        <w:t xml:space="preserve"> </w:t>
      </w:r>
      <w:r>
        <w:rPr>
          <w:bCs/>
          <w:b/>
          <w:rtl w:val="1"/>
        </w:rPr>
        <w:t xml:space="preserve">«عدم التساهل» (tolérance zéro)</w:t>
      </w:r>
      <w:r>
        <w:rPr>
          <w:rtl w:val="1"/>
        </w:rPr>
        <w:t xml:space="preserve"> </w:t>
      </w:r>
      <w:r>
        <w:rPr>
          <w:rtl w:val="1"/>
        </w:rPr>
        <w:t xml:space="preserve">مع:</w:t>
      </w:r>
    </w:p>
    <w:p>
      <w:pPr>
        <w:numPr>
          <w:ilvl w:val="0"/>
          <w:numId w:val="1005"/>
        </w:numPr>
        <w:pStyle w:val="Compact"/>
        <w:bidi/>
        <w:jc w:val="right"/>
      </w:pPr>
      <w:r>
        <w:rPr>
          <w:rtl w:val="1"/>
        </w:rPr>
        <w:t xml:space="preserve">الغش في الامتحانات؛</w:t>
      </w:r>
    </w:p>
    <w:p>
      <w:pPr>
        <w:numPr>
          <w:ilvl w:val="0"/>
          <w:numId w:val="1005"/>
        </w:numPr>
        <w:pStyle w:val="Compact"/>
        <w:bidi/>
        <w:jc w:val="right"/>
      </w:pPr>
      <w:r>
        <w:rPr>
          <w:rtl w:val="1"/>
        </w:rPr>
        <w:t xml:space="preserve">السرقة العلمية (plagiat)؛</w:t>
      </w:r>
    </w:p>
    <w:p>
      <w:pPr>
        <w:numPr>
          <w:ilvl w:val="0"/>
          <w:numId w:val="1005"/>
        </w:numPr>
        <w:pStyle w:val="Compact"/>
        <w:bidi/>
        <w:jc w:val="right"/>
      </w:pPr>
      <w:r>
        <w:rPr>
          <w:rtl w:val="1"/>
        </w:rPr>
        <w:t xml:space="preserve">تزوير الوثائق؛</w:t>
      </w:r>
    </w:p>
    <w:p>
      <w:pPr>
        <w:numPr>
          <w:ilvl w:val="0"/>
          <w:numId w:val="1005"/>
        </w:numPr>
        <w:pStyle w:val="Compact"/>
        <w:bidi/>
        <w:jc w:val="right"/>
      </w:pPr>
      <w:r>
        <w:rPr>
          <w:rtl w:val="1"/>
        </w:rPr>
        <w:t xml:space="preserve">أي محاولة تأثير غير مشروع (بما فيها الهدايا أو الخدمات التي تؤثر على قرار).</w:t>
      </w:r>
    </w:p>
    <w:p>
      <w:pPr>
        <w:pStyle w:val="FirstParagraph"/>
        <w:bidi/>
        <w:jc w:val="right"/>
      </w:pPr>
      <w:r>
        <w:rPr>
          <w:rtl w:val="1"/>
        </w:rPr>
        <w:t xml:space="preserve">وتُتَّخذ العقوبات حسب الإجراءات المعمول بها.</w:t>
      </w:r>
      <w:r>
        <w:rPr>
          <w:rtl w:val="1"/>
        </w:rPr>
        <w:t xml:space="preserve"> </w:t>
      </w:r>
      <w:r>
        <w:rPr>
          <w:iCs/>
          <w:i/>
          <w:rtl w:val="1"/>
        </w:rPr>
        <w:t xml:space="preserve">(المصدر: المادتان 6 و7 من الميثاق)</w:t>
      </w:r>
    </w:p>
    <w:p>
      <w:pPr>
        <w:bidi/>
        <w:jc w:val="right"/>
      </w:pPr>
      <w:r>
        <w:rPr>
          <w:rtl w:val="1"/>
        </w:rPr>
        <w:pict>
          <v:rect style="width:0;height:1.5pt" o:hralign="center" o:hrstd="t" o:hr="t"/>
        </w:pict>
      </w:r>
    </w:p>
    <w:bookmarkEnd w:id="35"/>
    <w:bookmarkEnd w:id="36"/>
    <w:bookmarkStart w:id="40" w:name="التربصات-الفترتان-التطبيقيتان-في-المؤسسة"/>
    <w:p>
      <w:pPr>
        <w:pStyle w:val="Heading2"/>
        <w:bidi/>
        <w:jc w:val="right"/>
      </w:pPr>
      <w:r>
        <w:rPr>
          <w:rtl w:val="1"/>
        </w:rPr>
        <w:t xml:space="preserve">7. التربصات (الفترتان التطبيقيتان في المؤسسة)</w:t>
      </w:r>
    </w:p>
    <w:p>
      <w:pPr>
        <w:pStyle w:val="FirstParagraph"/>
        <w:bidi/>
        <w:jc w:val="right"/>
      </w:pPr>
      <w:r>
        <w:rPr>
          <w:rtl w:val="1"/>
        </w:rPr>
        <w:t xml:space="preserve">كل شعبة تتضمن</w:t>
      </w:r>
      <w:r>
        <w:rPr>
          <w:rtl w:val="1"/>
        </w:rPr>
        <w:t xml:space="preserve"> </w:t>
      </w:r>
      <w:r>
        <w:rPr>
          <w:bCs/>
          <w:b/>
          <w:rtl w:val="1"/>
        </w:rPr>
        <w:t xml:space="preserve">تربصين إجباريين</w:t>
      </w:r>
      <w:r>
        <w:rPr>
          <w:rtl w:val="1"/>
        </w:rPr>
        <w:t xml:space="preserve">، كل واحد منهما</w:t>
      </w:r>
      <w:r>
        <w:rPr>
          <w:rtl w:val="1"/>
        </w:rPr>
        <w:t xml:space="preserve"> </w:t>
      </w:r>
      <w:r>
        <w:rPr>
          <w:bCs/>
          <w:b/>
          <w:rtl w:val="1"/>
        </w:rPr>
        <w:t xml:space="preserve">160 ساعة</w:t>
      </w:r>
      <w:r>
        <w:rPr>
          <w:rtl w:val="1"/>
        </w:rPr>
        <w:t xml:space="preserve">، أي 4 أسابيع بمعدل 40 ساعة أسبوعيا: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bidiVisual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التربص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التسمية في المرجع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التوقيت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الهدف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التربص 1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«الاندماج الأولي في وسط العمل» (Initiation au milieu de travail)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الأسابيع 33-36 من السنة الأولى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اكتشاف المهنة وملاحظة الممارسات وتجريب مهام بسيطة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التربص 2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«الاندماج في وسط العمل» (Intégration au milieu de travail)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الأسابيع 33-36 من السنة الثانية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إنجاز مهام مهنية حقيقية والاستعداد للتوظيف</w:t>
            </w:r>
          </w:p>
        </w:tc>
      </w:tr>
    </w:tbl>
    <w:bookmarkStart w:id="37" w:name="ما-يطلب-من-الطالب-في-التربص"/>
    <w:p>
      <w:pPr>
        <w:pStyle w:val="Heading3"/>
        <w:bidi/>
        <w:jc w:val="right"/>
      </w:pPr>
      <w:r>
        <w:rPr>
          <w:rtl w:val="1"/>
        </w:rPr>
        <w:t xml:space="preserve">7.1 ما يُطلب من الطالب في التربص</w:t>
      </w:r>
    </w:p>
    <w:p>
      <w:pPr>
        <w:pStyle w:val="FirstParagraph"/>
        <w:bidi/>
        <w:jc w:val="right"/>
      </w:pPr>
      <w:r>
        <w:rPr>
          <w:rtl w:val="1"/>
        </w:rPr>
        <w:t xml:space="preserve">انطلاقا من مرجع الكفاءات نفسه، يُطلب من الطالب:</w:t>
      </w:r>
    </w:p>
    <w:p>
      <w:pPr>
        <w:numPr>
          <w:ilvl w:val="0"/>
          <w:numId w:val="1006"/>
        </w:numPr>
        <w:pStyle w:val="Compact"/>
        <w:bidi/>
        <w:jc w:val="right"/>
      </w:pPr>
      <w:r>
        <w:rPr>
          <w:bCs/>
          <w:b/>
          <w:rtl w:val="1"/>
        </w:rPr>
        <w:t xml:space="preserve">التحضير</w:t>
      </w:r>
      <w:r>
        <w:rPr>
          <w:rtl w:val="1"/>
        </w:rPr>
        <w:t xml:space="preserve">: تحديد أهداف التربص، البحث عن مؤسسة مستقبِلة، تحضير قائمة بمعارفه ومهاراته.</w:t>
      </w:r>
    </w:p>
    <w:p>
      <w:pPr>
        <w:numPr>
          <w:ilvl w:val="0"/>
          <w:numId w:val="1006"/>
        </w:numPr>
        <w:pStyle w:val="Compact"/>
        <w:bidi/>
        <w:jc w:val="right"/>
      </w:pPr>
      <w:r>
        <w:rPr>
          <w:bCs/>
          <w:b/>
          <w:rtl w:val="1"/>
        </w:rPr>
        <w:t xml:space="preserve">الملاحظة</w:t>
      </w:r>
      <w:r>
        <w:rPr>
          <w:rtl w:val="1"/>
        </w:rPr>
        <w:t xml:space="preserve">: ملاحظة سياق العمل وطريقة إنجاز المهام، والتواصل الإيجابي مع العاملين.</w:t>
      </w:r>
    </w:p>
    <w:p>
      <w:pPr>
        <w:numPr>
          <w:ilvl w:val="0"/>
          <w:numId w:val="1006"/>
        </w:numPr>
        <w:pStyle w:val="Compact"/>
        <w:bidi/>
        <w:jc w:val="right"/>
      </w:pPr>
      <w:r>
        <w:rPr>
          <w:bCs/>
          <w:b/>
          <w:rtl w:val="1"/>
        </w:rPr>
        <w:t xml:space="preserve">الممارسة</w:t>
      </w:r>
      <w:r>
        <w:rPr>
          <w:rtl w:val="1"/>
        </w:rPr>
        <w:t xml:space="preserve">: تنفيذ مهام مرتبطة بالتكوين، مع الاحترام الصارم للنظام الداخلي للمؤسسة ولقواعد الصحة والسلامة وأخلاقيات المهنة.</w:t>
      </w:r>
    </w:p>
    <w:p>
      <w:pPr>
        <w:numPr>
          <w:ilvl w:val="0"/>
          <w:numId w:val="1006"/>
        </w:numPr>
        <w:pStyle w:val="Compact"/>
        <w:bidi/>
        <w:jc w:val="right"/>
      </w:pPr>
      <w:r>
        <w:rPr>
          <w:bCs/>
          <w:b/>
          <w:rtl w:val="1"/>
        </w:rPr>
        <w:t xml:space="preserve">دفتر اليوميات (journal de bord)</w:t>
      </w:r>
      <w:r>
        <w:rPr>
          <w:rtl w:val="1"/>
        </w:rPr>
        <w:t xml:space="preserve">: تدوين دقيق لكل الأعمال المنجزة يوميا.</w:t>
      </w:r>
    </w:p>
    <w:p>
      <w:pPr>
        <w:numPr>
          <w:ilvl w:val="0"/>
          <w:numId w:val="1006"/>
        </w:numPr>
        <w:pStyle w:val="Compact"/>
        <w:bidi/>
        <w:jc w:val="right"/>
      </w:pPr>
      <w:r>
        <w:rPr>
          <w:bCs/>
          <w:b/>
          <w:rtl w:val="1"/>
        </w:rPr>
        <w:t xml:space="preserve">تقرير التربص</w:t>
      </w:r>
      <w:r>
        <w:rPr>
          <w:rtl w:val="1"/>
        </w:rPr>
        <w:t xml:space="preserve">: تحريره وفق النموذج المعتمد، بوضوح وانطلاقا من دفتر اليوميات.</w:t>
      </w:r>
    </w:p>
    <w:p>
      <w:pPr>
        <w:numPr>
          <w:ilvl w:val="0"/>
          <w:numId w:val="1006"/>
        </w:numPr>
        <w:pStyle w:val="Compact"/>
        <w:bidi/>
        <w:jc w:val="right"/>
      </w:pPr>
      <w:r>
        <w:rPr>
          <w:bCs/>
          <w:b/>
          <w:rtl w:val="1"/>
        </w:rPr>
        <w:t xml:space="preserve">العرض والمشاركة</w:t>
      </w:r>
      <w:r>
        <w:rPr>
          <w:rtl w:val="1"/>
        </w:rPr>
        <w:t xml:space="preserve">: تقديم حصيلة التجربة أمام المجموعة ومقارنة ما دُرس بما شوهد في الميدان.</w:t>
      </w:r>
    </w:p>
    <w:bookmarkEnd w:id="37"/>
    <w:bookmarkStart w:id="38" w:name="معايير-تقييم-التربص-من-المرجع"/>
    <w:p>
      <w:pPr>
        <w:pStyle w:val="Heading3"/>
        <w:bidi/>
        <w:jc w:val="right"/>
      </w:pPr>
      <w:r>
        <w:rPr>
          <w:rtl w:val="1"/>
        </w:rPr>
        <w:t xml:space="preserve">7.2 معايير تقييم التربص (من المرجع)</w:t>
      </w:r>
    </w:p>
    <w:p>
      <w:pPr>
        <w:numPr>
          <w:ilvl w:val="0"/>
          <w:numId w:val="1007"/>
        </w:numPr>
        <w:pStyle w:val="Compact"/>
        <w:bidi/>
        <w:jc w:val="right"/>
      </w:pPr>
      <w:r>
        <w:rPr>
          <w:rtl w:val="1"/>
        </w:rPr>
        <w:t xml:space="preserve">التحضير الجيد للتربص؛</w:t>
      </w:r>
    </w:p>
    <w:p>
      <w:pPr>
        <w:numPr>
          <w:ilvl w:val="0"/>
          <w:numId w:val="1007"/>
        </w:numPr>
        <w:pStyle w:val="Compact"/>
        <w:bidi/>
        <w:jc w:val="right"/>
      </w:pPr>
      <w:r>
        <w:rPr>
          <w:rtl w:val="1"/>
        </w:rPr>
        <w:t xml:space="preserve">احترام النظام الداخلي للمؤسسة المستقبِلة؛</w:t>
      </w:r>
    </w:p>
    <w:p>
      <w:pPr>
        <w:numPr>
          <w:ilvl w:val="0"/>
          <w:numId w:val="1007"/>
        </w:numPr>
        <w:pStyle w:val="Compact"/>
        <w:bidi/>
        <w:jc w:val="right"/>
      </w:pPr>
      <w:r>
        <w:rPr>
          <w:rtl w:val="1"/>
        </w:rPr>
        <w:t xml:space="preserve">احترام قواعد الصحة والسلامة في العمل؛</w:t>
      </w:r>
    </w:p>
    <w:p>
      <w:pPr>
        <w:numPr>
          <w:ilvl w:val="0"/>
          <w:numId w:val="1007"/>
        </w:numPr>
        <w:pStyle w:val="Compact"/>
        <w:bidi/>
        <w:jc w:val="right"/>
      </w:pPr>
      <w:r>
        <w:rPr>
          <w:rtl w:val="1"/>
        </w:rPr>
        <w:t xml:space="preserve">احترام ممتلكات المؤسسة؛</w:t>
      </w:r>
    </w:p>
    <w:p>
      <w:pPr>
        <w:numPr>
          <w:ilvl w:val="0"/>
          <w:numId w:val="1007"/>
        </w:numPr>
        <w:pStyle w:val="Compact"/>
        <w:bidi/>
        <w:jc w:val="right"/>
      </w:pPr>
      <w:r>
        <w:rPr>
          <w:rtl w:val="1"/>
        </w:rPr>
        <w:t xml:space="preserve">المواقف والسلوكات التي تساعد على نجاح التربص؛</w:t>
      </w:r>
    </w:p>
    <w:p>
      <w:pPr>
        <w:numPr>
          <w:ilvl w:val="0"/>
          <w:numId w:val="1007"/>
        </w:numPr>
        <w:pStyle w:val="Compact"/>
        <w:bidi/>
        <w:jc w:val="right"/>
      </w:pPr>
      <w:r>
        <w:rPr>
          <w:rtl w:val="1"/>
        </w:rPr>
        <w:t xml:space="preserve">وضوح التقرير وجودة تبادل الخبرة مع المجموعة.</w:t>
      </w:r>
    </w:p>
    <w:bookmarkEnd w:id="38"/>
    <w:bookmarkStart w:id="39" w:name="ما-هو-غير-محدد-بعد-1"/>
    <w:p>
      <w:pPr>
        <w:pStyle w:val="Heading3"/>
        <w:bidi/>
        <w:jc w:val="right"/>
      </w:pPr>
      <w:r>
        <w:rPr>
          <w:rtl w:val="1"/>
        </w:rPr>
        <w:t xml:space="preserve">7.3 ما هو غير محدد بعد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bidiVisual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السؤال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الجواب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هل المدرسة توفر مكان التربص أم يبحث عنه الطالب؟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[معلومة ناقصة — à compléter]</w:t>
            </w:r>
            <w:r>
              <w:rPr>
                <w:rtl w:val="1"/>
              </w:rPr>
              <w:t xml:space="preserve"> </w:t>
            </w:r>
            <w:r>
              <w:rPr>
                <w:rtl w:val="1"/>
              </w:rPr>
              <w:t xml:space="preserve">(المرجع يذكر أن الطالب يطبّق «خطوات البحث عن مكان تربص»، لكن سياسة المدرسة غير موثقة)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اتفاقية التربص: من يوقعها وكيف تُسحب؟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[معلومة ناقصة — à compléter]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التأمين وتغطية حوادث العمل أثناء التربص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[معلومة ناقصة — à compléter]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التنقل والإقامة عند التربص خارج نواكشوط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[معلومة ناقصة — à compléter]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نموذج تقرير التربص وآجال تسليمه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[معلومة ناقصة — à compléter]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ماذا لو لم يجد الطالب مؤسسة مستقبِلة؟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[معلومة ناقصة — à compléter]</w:t>
            </w:r>
          </w:p>
        </w:tc>
      </w:tr>
    </w:tbl>
    <w:p>
      <w:pPr>
        <w:bidi/>
        <w:jc w:val="right"/>
      </w:pPr>
      <w:r>
        <w:rPr>
          <w:rtl w:val="1"/>
        </w:rPr>
        <w:pict>
          <v:rect style="width:0;height:1.5pt" o:hralign="center" o:hrstd="t" o:hr="t"/>
        </w:pict>
      </w:r>
    </w:p>
    <w:bookmarkEnd w:id="39"/>
    <w:bookmarkEnd w:id="40"/>
    <w:bookmarkStart w:id="45" w:name="الحياة-المدرسية-والانضباط"/>
    <w:p>
      <w:pPr>
        <w:pStyle w:val="Heading2"/>
        <w:bidi/>
        <w:jc w:val="right"/>
      </w:pPr>
      <w:r>
        <w:rPr>
          <w:rtl w:val="1"/>
        </w:rPr>
        <w:t xml:space="preserve">8. الحياة المدرسية والانضباط</w:t>
      </w:r>
    </w:p>
    <w:bookmarkStart w:id="41" w:name="التزامات-الطالب-النص-الملزم"/>
    <w:p>
      <w:pPr>
        <w:pStyle w:val="Heading3"/>
        <w:bidi/>
        <w:jc w:val="right"/>
      </w:pPr>
      <w:r>
        <w:rPr>
          <w:rtl w:val="1"/>
        </w:rPr>
        <w:t xml:space="preserve">8.1 التزامات الطالب — النص الملزِم</w:t>
      </w:r>
    </w:p>
    <w:p>
      <w:pPr>
        <w:pStyle w:val="FirstParagraph"/>
        <w:bidi/>
        <w:jc w:val="right"/>
      </w:pPr>
      <w:r>
        <w:rPr>
          <w:rtl w:val="1"/>
        </w:rPr>
        <w:t xml:space="preserve">يلتزم الطالب، بموجب المادة 5 من ميثاق الأخلاق والسلوك المهني، بـ:</w:t>
      </w:r>
    </w:p>
    <w:p>
      <w:pPr>
        <w:numPr>
          <w:ilvl w:val="0"/>
          <w:numId w:val="1008"/>
        </w:numPr>
        <w:pStyle w:val="Compact"/>
        <w:bidi/>
        <w:jc w:val="right"/>
      </w:pPr>
      <w:r>
        <w:rPr>
          <w:rtl w:val="1"/>
        </w:rPr>
        <w:t xml:space="preserve">احترام النظام الداخلي والميثاق وقيم المدرسة؛</w:t>
      </w:r>
    </w:p>
    <w:p>
      <w:pPr>
        <w:numPr>
          <w:ilvl w:val="0"/>
          <w:numId w:val="1008"/>
        </w:numPr>
        <w:pStyle w:val="Compact"/>
        <w:bidi/>
        <w:jc w:val="right"/>
      </w:pPr>
      <w:r>
        <w:rPr>
          <w:rtl w:val="1"/>
        </w:rPr>
        <w:t xml:space="preserve">السلوك المحترم مع الطاقم ومع الزملاء؛</w:t>
      </w:r>
    </w:p>
    <w:p>
      <w:pPr>
        <w:numPr>
          <w:ilvl w:val="0"/>
          <w:numId w:val="1008"/>
        </w:numPr>
        <w:pStyle w:val="Compact"/>
        <w:bidi/>
        <w:jc w:val="right"/>
      </w:pPr>
      <w:r>
        <w:rPr>
          <w:rtl w:val="1"/>
        </w:rPr>
        <w:t xml:space="preserve">المواظبة والانضباط والجدية في التكوين؛</w:t>
      </w:r>
    </w:p>
    <w:p>
      <w:pPr>
        <w:numPr>
          <w:ilvl w:val="0"/>
          <w:numId w:val="1008"/>
        </w:numPr>
        <w:pStyle w:val="Compact"/>
        <w:bidi/>
        <w:jc w:val="right"/>
      </w:pPr>
      <w:r>
        <w:rPr>
          <w:rtl w:val="1"/>
        </w:rPr>
        <w:t xml:space="preserve">رفض الغش والتحايل والسرقة العلمية؛</w:t>
      </w:r>
    </w:p>
    <w:p>
      <w:pPr>
        <w:numPr>
          <w:ilvl w:val="0"/>
          <w:numId w:val="1008"/>
        </w:numPr>
        <w:pStyle w:val="Compact"/>
        <w:bidi/>
        <w:jc w:val="right"/>
      </w:pPr>
      <w:r>
        <w:rPr>
          <w:rtl w:val="1"/>
        </w:rPr>
        <w:t xml:space="preserve">احترام قواعد السلامة والنظافة وحماية البيئة؛</w:t>
      </w:r>
    </w:p>
    <w:p>
      <w:pPr>
        <w:numPr>
          <w:ilvl w:val="0"/>
          <w:numId w:val="1008"/>
        </w:numPr>
        <w:pStyle w:val="Compact"/>
        <w:bidi/>
        <w:jc w:val="right"/>
      </w:pPr>
      <w:r>
        <w:rPr>
          <w:rtl w:val="1"/>
        </w:rPr>
        <w:t xml:space="preserve">استعمال التجهيزات والبنية التحتية بشكل مسؤول.</w:t>
      </w:r>
    </w:p>
    <w:bookmarkEnd w:id="41"/>
    <w:bookmarkStart w:id="42" w:name="السلامة-في-الورشات-والمختبرات-نقطة-حرجة"/>
    <w:p>
      <w:pPr>
        <w:pStyle w:val="Heading3"/>
        <w:bidi/>
        <w:jc w:val="right"/>
      </w:pPr>
      <w:r>
        <w:rPr>
          <w:rtl w:val="1"/>
        </w:rPr>
        <w:t xml:space="preserve">8.2 السلامة في الورشات والمختبرات — نقطة حرجة</w:t>
      </w:r>
    </w:p>
    <w:p>
      <w:pPr>
        <w:pStyle w:val="FirstParagraph"/>
        <w:bidi/>
        <w:jc w:val="right"/>
      </w:pPr>
      <w:r>
        <w:rPr>
          <w:rtl w:val="1"/>
        </w:rPr>
        <w:t xml:space="preserve">هذه مدرسة معادن ونفط وغاز: التكوين يجري على معدات ثقيلة ومنتجات كيميائية وتجهيزات ضغط. قواعد السلامة هنا ليست شكلية.</w:t>
      </w:r>
    </w:p>
    <w:p>
      <w:pPr>
        <w:pStyle w:val="BodyText"/>
        <w:bidi/>
        <w:jc w:val="right"/>
      </w:pPr>
      <w:r>
        <w:rPr>
          <w:rtl w:val="1"/>
        </w:rPr>
        <w:t xml:space="preserve">المبادئ الملزِمة، كما ترد في المرجعيات وفي الميثاق:</w:t>
      </w:r>
    </w:p>
    <w:p>
      <w:pPr>
        <w:numPr>
          <w:ilvl w:val="0"/>
          <w:numId w:val="1009"/>
        </w:numPr>
        <w:pStyle w:val="Compact"/>
        <w:bidi/>
        <w:jc w:val="right"/>
      </w:pPr>
      <w:r>
        <w:rPr>
          <w:rtl w:val="1"/>
        </w:rPr>
        <w:t xml:space="preserve">ارتداء</w:t>
      </w:r>
      <w:r>
        <w:rPr>
          <w:rtl w:val="1"/>
        </w:rPr>
        <w:t xml:space="preserve"> </w:t>
      </w:r>
      <w:r>
        <w:rPr>
          <w:bCs/>
          <w:b/>
          <w:rtl w:val="1"/>
        </w:rPr>
        <w:t xml:space="preserve">معدات الحماية الفردية (EPI)</w:t>
      </w:r>
      <w:r>
        <w:rPr>
          <w:rtl w:val="1"/>
        </w:rPr>
        <w:t xml:space="preserve"> </w:t>
      </w:r>
      <w:r>
        <w:rPr>
          <w:rtl w:val="1"/>
        </w:rPr>
        <w:t xml:space="preserve">المطلوبة في كل نشاط تطبيقي؛</w:t>
      </w:r>
    </w:p>
    <w:p>
      <w:pPr>
        <w:numPr>
          <w:ilvl w:val="0"/>
          <w:numId w:val="1009"/>
        </w:numPr>
        <w:pStyle w:val="Compact"/>
        <w:bidi/>
        <w:jc w:val="right"/>
      </w:pPr>
      <w:r>
        <w:rPr>
          <w:rtl w:val="1"/>
        </w:rPr>
        <w:t xml:space="preserve">احترام لافتات وإشارات السلامة وتحديد مناطق الخطر؛</w:t>
      </w:r>
    </w:p>
    <w:p>
      <w:pPr>
        <w:numPr>
          <w:ilvl w:val="0"/>
          <w:numId w:val="1009"/>
        </w:numPr>
        <w:pStyle w:val="Compact"/>
        <w:bidi/>
        <w:jc w:val="right"/>
      </w:pPr>
      <w:r>
        <w:rPr>
          <w:rtl w:val="1"/>
        </w:rPr>
        <w:t xml:space="preserve">عدم تشغيل أي آلة أو معدّة دون إذن المكوّن وبدون تكوين مسبق عليها؛</w:t>
      </w:r>
    </w:p>
    <w:p>
      <w:pPr>
        <w:numPr>
          <w:ilvl w:val="0"/>
          <w:numId w:val="1009"/>
        </w:numPr>
        <w:pStyle w:val="Compact"/>
        <w:bidi/>
        <w:jc w:val="right"/>
      </w:pPr>
      <w:r>
        <w:rPr>
          <w:rtl w:val="1"/>
        </w:rPr>
        <w:t xml:space="preserve">احترام إجراءات العزل والتأمين (consignation/déconsignation) قبل أي تدخل؛</w:t>
      </w:r>
    </w:p>
    <w:p>
      <w:pPr>
        <w:numPr>
          <w:ilvl w:val="0"/>
          <w:numId w:val="1009"/>
        </w:numPr>
        <w:pStyle w:val="Compact"/>
        <w:bidi/>
        <w:jc w:val="right"/>
      </w:pPr>
      <w:r>
        <w:rPr>
          <w:rtl w:val="1"/>
        </w:rPr>
        <w:t xml:space="preserve">معرفة إجراءات الطوارئ ومكان وسائل الإطفاء وصندوق الإسعافات؛</w:t>
      </w:r>
    </w:p>
    <w:p>
      <w:pPr>
        <w:numPr>
          <w:ilvl w:val="0"/>
          <w:numId w:val="1009"/>
        </w:numPr>
        <w:pStyle w:val="Compact"/>
        <w:bidi/>
        <w:jc w:val="right"/>
      </w:pPr>
      <w:r>
        <w:rPr>
          <w:rtl w:val="1"/>
        </w:rPr>
        <w:t xml:space="preserve">التبليغ الفوري عن أي حادث أو حادث وشيك أو تسرّب.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bidiVisual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السؤال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الجواب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من يوفّر معدات الحماية الفردية (المدرسة أم الطالب)؟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[معلومة ناقصة — à compléter]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اللباس/الزي الإلزامي في الورشة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[معلومة ناقصة — à compléter]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إجراء التبليغ عن حادث داخل المدرسة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[معلومة ناقصة — à compléter]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الخدمة الصحية / الإسعافات الأولية داخل المدرسة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[معلومة ناقصة — à compléter]</w:t>
            </w:r>
          </w:p>
        </w:tc>
      </w:tr>
    </w:tbl>
    <w:bookmarkEnd w:id="42"/>
    <w:bookmarkStart w:id="43" w:name="الغياب-والتأخر"/>
    <w:p>
      <w:pPr>
        <w:pStyle w:val="Heading3"/>
        <w:bidi/>
        <w:jc w:val="right"/>
      </w:pPr>
      <w:r>
        <w:rPr>
          <w:rtl w:val="1"/>
        </w:rPr>
        <w:t xml:space="preserve">8.3 الغياب والتأخر</w:t>
      </w:r>
    </w:p>
    <w:p>
      <w:pPr>
        <w:pStyle w:val="FirstParagraph"/>
        <w:bidi/>
        <w:jc w:val="right"/>
      </w:pPr>
      <w:r>
        <w:rPr>
          <w:rtl w:val="1"/>
        </w:rPr>
        <w:t xml:space="preserve">المواظبة التزام صريح في الميثاق. أما التفاصيل الإجرائية فغير موثقة: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bidiVisual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السؤال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الجواب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كيف يُبرَّر الغياب ولدى من؟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[معلومة ناقصة — à compléter]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سقف الغيابات المسموح به قبل العقوبة أو الإقصاء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[معلومة ناقصة — à compléter]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كيف تُعالَج التأخرات؟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[معلومة ناقصة — à compléter]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الغياب عن امتحان: ما الإجراء؟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[معلومة ناقصة — à compléter]</w:t>
            </w:r>
          </w:p>
        </w:tc>
      </w:tr>
    </w:tbl>
    <w:bookmarkEnd w:id="43"/>
    <w:bookmarkStart w:id="44" w:name="العقوبات"/>
    <w:p>
      <w:pPr>
        <w:pStyle w:val="Heading3"/>
        <w:bidi/>
        <w:jc w:val="right"/>
      </w:pPr>
      <w:r>
        <w:rPr>
          <w:rtl w:val="1"/>
        </w:rPr>
        <w:t xml:space="preserve">8.4 العقوبات</w:t>
      </w:r>
    </w:p>
    <w:p>
      <w:pPr>
        <w:pStyle w:val="FirstParagraph"/>
        <w:bidi/>
        <w:jc w:val="right"/>
      </w:pPr>
      <w:r>
        <w:rPr>
          <w:rtl w:val="1"/>
        </w:rPr>
        <w:t xml:space="preserve">كل مخالفة للميثاق تعرّض صاحبها إلى:</w:t>
      </w:r>
    </w:p>
    <w:p>
      <w:pPr>
        <w:numPr>
          <w:ilvl w:val="0"/>
          <w:numId w:val="1010"/>
        </w:numPr>
        <w:pStyle w:val="Compact"/>
        <w:bidi/>
        <w:jc w:val="right"/>
      </w:pPr>
      <w:r>
        <w:rPr>
          <w:bCs/>
          <w:b/>
          <w:rtl w:val="1"/>
        </w:rPr>
        <w:t xml:space="preserve">إجراءات تأديبية</w:t>
      </w:r>
      <w:r>
        <w:rPr>
          <w:rtl w:val="1"/>
        </w:rPr>
        <w:t xml:space="preserve">؛</w:t>
      </w:r>
    </w:p>
    <w:p>
      <w:pPr>
        <w:numPr>
          <w:ilvl w:val="0"/>
          <w:numId w:val="1010"/>
        </w:numPr>
        <w:pStyle w:val="Compact"/>
        <w:bidi/>
        <w:jc w:val="right"/>
      </w:pPr>
      <w:r>
        <w:rPr>
          <w:bCs/>
          <w:b/>
          <w:rtl w:val="1"/>
        </w:rPr>
        <w:t xml:space="preserve">عقوبات تعليمية (أكاديمية)</w:t>
      </w:r>
      <w:r>
        <w:rPr>
          <w:rtl w:val="1"/>
        </w:rPr>
        <w:t xml:space="preserve">؛</w:t>
      </w:r>
    </w:p>
    <w:p>
      <w:pPr>
        <w:numPr>
          <w:ilvl w:val="0"/>
          <w:numId w:val="1010"/>
        </w:numPr>
        <w:pStyle w:val="Compact"/>
        <w:bidi/>
        <w:jc w:val="right"/>
      </w:pPr>
      <w:r>
        <w:rPr>
          <w:rtl w:val="1"/>
        </w:rPr>
        <w:t xml:space="preserve">أو</w:t>
      </w:r>
      <w:r>
        <w:rPr>
          <w:rtl w:val="1"/>
        </w:rPr>
        <w:t xml:space="preserve"> </w:t>
      </w:r>
      <w:r>
        <w:rPr>
          <w:bCs/>
          <w:b/>
          <w:rtl w:val="1"/>
        </w:rPr>
        <w:t xml:space="preserve">متابعات قانونية</w:t>
      </w:r>
      <w:r>
        <w:rPr>
          <w:rtl w:val="1"/>
        </w:rPr>
        <w:t xml:space="preserve">، حسب خطورة الفعل.</w:t>
      </w:r>
    </w:p>
    <w:p>
      <w:pPr>
        <w:pStyle w:val="FirstParagraph"/>
        <w:bidi/>
        <w:jc w:val="right"/>
      </w:pPr>
      <w:r>
        <w:rPr>
          <w:iCs/>
          <w:i/>
          <w:rtl w:val="1"/>
        </w:rPr>
        <w:t xml:space="preserve">(المصدر: المادة 10 من الميثاق)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bidiVisual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السؤال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الجواب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سلّم العقوبات التفصيلي (إنذار، توبيخ، إقصاء مؤقت…)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[معلومة ناقصة — à compléter]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تركيبة مجلس التأديب وإجراءاته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[معلومة ناقصة — à compléter]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حق الطالب في الدفاع عن نفسه والطعن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[معلومة ناقصة — à compléter]</w:t>
            </w:r>
          </w:p>
        </w:tc>
      </w:tr>
    </w:tbl>
    <w:p>
      <w:pPr>
        <w:bidi/>
        <w:jc w:val="right"/>
      </w:pPr>
      <w:r>
        <w:rPr>
          <w:rtl w:val="1"/>
        </w:rPr>
        <w:pict>
          <v:rect style="width:0;height:1.5pt" o:hralign="center" o:hrstd="t" o:hr="t"/>
        </w:pict>
      </w:r>
    </w:p>
    <w:bookmarkEnd w:id="44"/>
    <w:bookmarkEnd w:id="45"/>
    <w:bookmarkStart w:id="46" w:name="حقوق-الطالب"/>
    <w:p>
      <w:pPr>
        <w:pStyle w:val="Heading2"/>
        <w:bidi/>
        <w:jc w:val="right"/>
      </w:pPr>
      <w:r>
        <w:rPr>
          <w:rtl w:val="1"/>
        </w:rPr>
        <w:t xml:space="preserve">9. حقوق الطالب</w:t>
      </w:r>
    </w:p>
    <w:p>
      <w:pPr>
        <w:pStyle w:val="FirstParagraph"/>
        <w:bidi/>
        <w:jc w:val="right"/>
      </w:pPr>
      <w:r>
        <w:rPr>
          <w:rtl w:val="1"/>
        </w:rPr>
        <w:t xml:space="preserve">في مقابل الالتزامات، يضمن الميثاق للطالب: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bidiVisual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الحق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الأساس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المساواة وعدم التمييز</w:t>
            </w:r>
            <w:r>
              <w:rPr>
                <w:rtl w:val="1"/>
              </w:rPr>
              <w:t xml:space="preserve"> </w:t>
            </w:r>
            <w:r>
              <w:rPr>
                <w:rtl w:val="1"/>
              </w:rPr>
              <w:t xml:space="preserve">بلا فرق بسبب الجنس أو الأصل أو الدين أو الرأي أو الوضع الاجتماعي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المادة 2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تقييم عادل وموضوعي وشفاف</w:t>
            </w:r>
            <w:r>
              <w:rPr>
                <w:rtl w:val="1"/>
              </w:rPr>
              <w:t xml:space="preserve"> </w:t>
            </w:r>
            <w:r>
              <w:rPr>
                <w:rtl w:val="1"/>
              </w:rPr>
              <w:t xml:space="preserve">من طرف المكوّنين والطاقم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المادتان 3 و4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تكوين مطابق للبرامج والمراجع المصادق عليها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المادة 4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جو تعليمي محترم وشامل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المادة 4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حماية معطياته الشخصية والتعليمية</w:t>
            </w:r>
            <w:r>
              <w:rPr>
                <w:rtl w:val="1"/>
              </w:rPr>
              <w:t xml:space="preserve">؛ أي استعمال خاطئ أو إفشاء غير مرخص = خطأ جسيم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المادة 8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التبليغ السري</w:t>
            </w:r>
            <w:r>
              <w:rPr>
                <w:rtl w:val="1"/>
              </w:rPr>
              <w:t xml:space="preserve"> </w:t>
            </w:r>
            <w:r>
              <w:rPr>
                <w:rtl w:val="1"/>
              </w:rPr>
              <w:t xml:space="preserve">عن أي خرق للميثاق، مع</w:t>
            </w:r>
            <w:r>
              <w:rPr>
                <w:rtl w:val="1"/>
              </w:rPr>
              <w:t xml:space="preserve"> </w:t>
            </w:r>
            <w:r>
              <w:rPr>
                <w:bCs/>
                <w:b/>
                <w:rtl w:val="1"/>
              </w:rPr>
              <w:t xml:space="preserve">حماية المبلِّغ من أي انتقام</w:t>
            </w:r>
            <w:r>
              <w:rPr>
                <w:rtl w:val="1"/>
              </w:rPr>
              <w:t xml:space="preserve">، ومعالجة البلاغ بحياد وسرية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المادة 9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الحصول على نسخة من الميثاق</w:t>
            </w:r>
            <w:r>
              <w:rPr>
                <w:rtl w:val="1"/>
              </w:rPr>
              <w:t xml:space="preserve">، الذي يُسلَّم لكل طالب ويُعلَّق في مرافق المؤسسة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المادة 11</w:t>
            </w:r>
          </w:p>
        </w:tc>
      </w:tr>
    </w:tbl>
    <w:p>
      <w:pPr>
        <w:bidi/>
        <w:jc w:val="right"/>
      </w:pP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bidiVisual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السؤال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الجواب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القناة العملية للتبليغ السري (بريد، صندوق، مسؤول محدد)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[معلومة ناقصة — à compléter]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هل توجد هيئة تمثيلية للطلاب (مندوبو الأقسام)؟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[معلومة ناقصة — à compléter]</w:t>
            </w:r>
          </w:p>
        </w:tc>
      </w:tr>
    </w:tbl>
    <w:p>
      <w:pPr>
        <w:bidi/>
        <w:jc w:val="right"/>
      </w:pPr>
      <w:r>
        <w:rPr>
          <w:rtl w:val="1"/>
        </w:rPr>
        <w:pict>
          <v:rect style="width:0;height:1.5pt" o:hralign="center" o:hrstd="t" o:hr="t"/>
        </w:pict>
      </w:r>
    </w:p>
    <w:bookmarkEnd w:id="46"/>
    <w:bookmarkStart w:id="47" w:name="الخدمات-المقدمة-للطلاب"/>
    <w:p>
      <w:pPr>
        <w:pStyle w:val="Heading2"/>
        <w:bidi/>
        <w:jc w:val="right"/>
      </w:pPr>
      <w:r>
        <w:rPr>
          <w:rtl w:val="1"/>
        </w:rPr>
        <w:t xml:space="preserve">10. الخدمات المقدَّمة للطلاب</w:t>
      </w:r>
    </w:p>
    <w:p>
      <w:pPr>
        <w:pStyle w:val="FirstParagraph"/>
        <w:bidi/>
        <w:jc w:val="right"/>
      </w:pPr>
      <w:r>
        <w:rPr>
          <w:rtl w:val="1"/>
        </w:rPr>
        <w:t xml:space="preserve">لا تتضمن وثائق المشروع الحالية أي معلومة موثقة عن الخدمات. كل هذا القسم يحتاج ملأً من الإدارة: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bidiVisual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الخدمة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الحالة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النقل المدرسي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[معلومة ناقصة — à compléter]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المطعم / وجبات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[معلومة ناقصة — à compléter]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الإقامة الداخلية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[معلومة ناقصة — à compléter]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المكتبة والموارد البيداغوجية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[معلومة ناقصة — à compléter]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قاعة الإعلام الآلي والإنترنت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[معلومة ناقصة — à compléter]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الأنشطة الرياضية والثقافية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[معلومة ناقصة — à compléter]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المنح والمساعدات الاجتماعية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[معلومة ناقصة — à compléter]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المرافقة البيداغوجية للطلاب المتعثرين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[معلومة ناقصة — à compléter]</w:t>
            </w:r>
          </w:p>
        </w:tc>
      </w:tr>
    </w:tbl>
    <w:p>
      <w:pPr>
        <w:bidi/>
        <w:jc w:val="right"/>
      </w:pPr>
      <w:r>
        <w:rPr>
          <w:rtl w:val="1"/>
        </w:rPr>
        <w:pict>
          <v:rect style="width:0;height:1.5pt" o:hralign="center" o:hrstd="t" o:hr="t"/>
        </w:pict>
      </w:r>
    </w:p>
    <w:bookmarkEnd w:id="47"/>
    <w:bookmarkStart w:id="51" w:name="الاندماج-المهني-والتشغيل"/>
    <w:p>
      <w:pPr>
        <w:pStyle w:val="Heading2"/>
        <w:bidi/>
        <w:jc w:val="right"/>
      </w:pPr>
      <w:r>
        <w:rPr>
          <w:rtl w:val="1"/>
        </w:rPr>
        <w:t xml:space="preserve">11. الاندماج المهني والتشغيل</w:t>
      </w:r>
    </w:p>
    <w:bookmarkStart w:id="48" w:name="داخل-البرنامج"/>
    <w:p>
      <w:pPr>
        <w:pStyle w:val="Heading3"/>
        <w:bidi/>
        <w:jc w:val="right"/>
      </w:pPr>
      <w:r>
        <w:rPr>
          <w:rtl w:val="1"/>
        </w:rPr>
        <w:t xml:space="preserve">11.1 داخل البرنامج</w:t>
      </w:r>
    </w:p>
    <w:p>
      <w:pPr>
        <w:pStyle w:val="FirstParagraph"/>
        <w:bidi/>
        <w:jc w:val="right"/>
      </w:pPr>
      <w:r>
        <w:rPr>
          <w:rtl w:val="1"/>
        </w:rPr>
        <w:t xml:space="preserve">كل مراجع الشعب العشر تتضمن وحدات موجّهة مباشرة إلى التشغيل:</w:t>
      </w:r>
    </w:p>
    <w:p>
      <w:pPr>
        <w:numPr>
          <w:ilvl w:val="0"/>
          <w:numId w:val="1011"/>
        </w:numPr>
        <w:pStyle w:val="Compact"/>
        <w:bidi/>
        <w:jc w:val="right"/>
      </w:pPr>
      <w:r>
        <w:rPr>
          <w:bCs/>
          <w:b/>
          <w:rtl w:val="1"/>
        </w:rPr>
        <w:t xml:space="preserve">«المهنة والتكوين»</w:t>
      </w:r>
      <w:r>
        <w:rPr>
          <w:rtl w:val="1"/>
        </w:rPr>
        <w:t xml:space="preserve"> </w:t>
      </w:r>
      <w:r>
        <w:rPr>
          <w:rtl w:val="1"/>
        </w:rPr>
        <w:t xml:space="preserve">(30 سا) في بداية التكوين: التعرف على واقع المهنة وتأكيد التوجه المهني؛</w:t>
      </w:r>
    </w:p>
    <w:p>
      <w:pPr>
        <w:numPr>
          <w:ilvl w:val="0"/>
          <w:numId w:val="1011"/>
        </w:numPr>
        <w:pStyle w:val="Compact"/>
        <w:bidi/>
        <w:jc w:val="right"/>
      </w:pPr>
      <w:r>
        <w:rPr>
          <w:bCs/>
          <w:b/>
          <w:rtl w:val="1"/>
        </w:rPr>
        <w:t xml:space="preserve">«تقنيات البحث عن عمل»</w:t>
      </w:r>
      <w:r>
        <w:rPr>
          <w:rtl w:val="1"/>
        </w:rPr>
        <w:t xml:space="preserve"> </w:t>
      </w:r>
      <w:r>
        <w:rPr>
          <w:rtl w:val="1"/>
        </w:rPr>
        <w:t xml:space="preserve">(30 سا) في نهاية التكوين: تحرير السيرة الذاتية ورسالة الترشح، تحليل عروض العمل، اجتياز مقابلة التوظيف؛</w:t>
      </w:r>
    </w:p>
    <w:p>
      <w:pPr>
        <w:numPr>
          <w:ilvl w:val="0"/>
          <w:numId w:val="1011"/>
        </w:numPr>
        <w:pStyle w:val="Compact"/>
        <w:bidi/>
        <w:jc w:val="right"/>
      </w:pPr>
      <w:r>
        <w:rPr>
          <w:bCs/>
          <w:b/>
          <w:rtl w:val="1"/>
        </w:rPr>
        <w:t xml:space="preserve">التربصان</w:t>
      </w:r>
      <w:r>
        <w:rPr>
          <w:rtl w:val="1"/>
        </w:rPr>
        <w:t xml:space="preserve"> </w:t>
      </w:r>
      <w:r>
        <w:rPr>
          <w:rtl w:val="1"/>
        </w:rPr>
        <w:t xml:space="preserve">(320 سا في المجموع) كجسر مباشر نحو المؤسسات؛</w:t>
      </w:r>
    </w:p>
    <w:p>
      <w:pPr>
        <w:numPr>
          <w:ilvl w:val="0"/>
          <w:numId w:val="1011"/>
        </w:numPr>
        <w:pStyle w:val="Compact"/>
        <w:bidi/>
        <w:jc w:val="right"/>
      </w:pPr>
      <w:r>
        <w:rPr>
          <w:bCs/>
          <w:b/>
          <w:rtl w:val="1"/>
        </w:rPr>
        <w:t xml:space="preserve">الإنجليزية التقنية</w:t>
      </w:r>
      <w:r>
        <w:rPr>
          <w:rtl w:val="1"/>
        </w:rPr>
        <w:t xml:space="preserve"> </w:t>
      </w:r>
      <w:r>
        <w:rPr>
          <w:rtl w:val="1"/>
        </w:rPr>
        <w:t xml:space="preserve">والتواصل المهني في كل الشعب تقريبا.</w:t>
      </w:r>
    </w:p>
    <w:bookmarkEnd w:id="48"/>
    <w:bookmarkStart w:id="49" w:name="منتدى-مهارات-الطاقة-energy-skills-forum"/>
    <w:p>
      <w:pPr>
        <w:pStyle w:val="Heading3"/>
        <w:bidi/>
        <w:jc w:val="right"/>
      </w:pPr>
      <w:r>
        <w:rPr>
          <w:rtl w:val="1"/>
        </w:rPr>
        <w:t xml:space="preserve">11.2 «منتدى مهارات الطاقة» (Energy Skills Forum)</w:t>
      </w:r>
    </w:p>
    <w:p>
      <w:pPr>
        <w:pStyle w:val="FirstParagraph"/>
        <w:bidi/>
        <w:jc w:val="right"/>
      </w:pPr>
      <w:r>
        <w:rPr>
          <w:rtl w:val="1"/>
        </w:rPr>
        <w:t xml:space="preserve">المدرسة بصدد تنظيم منتدى سنوي على يومين يجمع الطلاب والمكوّنين والمؤسسات والمؤسسات العمومية، ويتضمن:</w:t>
      </w:r>
    </w:p>
    <w:p>
      <w:pPr>
        <w:numPr>
          <w:ilvl w:val="0"/>
          <w:numId w:val="1012"/>
        </w:numPr>
        <w:pStyle w:val="Compact"/>
        <w:bidi/>
        <w:jc w:val="right"/>
      </w:pPr>
      <w:r>
        <w:rPr>
          <w:rtl w:val="1"/>
        </w:rPr>
        <w:t xml:space="preserve">مؤتمرات وموائد مستديرة حول قطاع الطاقة والانتقال الطاقوي واحتياجات أرباب العمل؛</w:t>
      </w:r>
    </w:p>
    <w:p>
      <w:pPr>
        <w:numPr>
          <w:ilvl w:val="0"/>
          <w:numId w:val="1012"/>
        </w:numPr>
        <w:pStyle w:val="Compact"/>
        <w:bidi/>
        <w:jc w:val="right"/>
      </w:pPr>
      <w:r>
        <w:rPr>
          <w:rtl w:val="1"/>
        </w:rPr>
        <w:t xml:space="preserve">ورشات عملية وعروض تقنية وماستر كلاس؛</w:t>
      </w:r>
    </w:p>
    <w:p>
      <w:pPr>
        <w:numPr>
          <w:ilvl w:val="0"/>
          <w:numId w:val="1012"/>
        </w:numPr>
        <w:pStyle w:val="Compact"/>
        <w:bidi/>
        <w:jc w:val="right"/>
      </w:pPr>
      <w:r>
        <w:rPr>
          <w:bCs/>
          <w:b/>
          <w:rtl w:val="1"/>
        </w:rPr>
        <w:t xml:space="preserve">«job dating»</w:t>
      </w:r>
      <w:r>
        <w:rPr>
          <w:rtl w:val="1"/>
        </w:rPr>
        <w:t xml:space="preserve"> </w:t>
      </w:r>
      <w:r>
        <w:rPr>
          <w:rtl w:val="1"/>
        </w:rPr>
        <w:t xml:space="preserve">(مقابلات توظيف مباشرة) وبنك للسير الذاتية؛</w:t>
      </w:r>
    </w:p>
    <w:p>
      <w:pPr>
        <w:numPr>
          <w:ilvl w:val="0"/>
          <w:numId w:val="1012"/>
        </w:numPr>
        <w:pStyle w:val="Compact"/>
        <w:bidi/>
        <w:jc w:val="right"/>
      </w:pPr>
      <w:r>
        <w:rPr>
          <w:rtl w:val="1"/>
        </w:rPr>
        <w:t xml:space="preserve">معرض ومساحة للتشبيك وتوقيع اتفاقيات شراكة.</w:t>
      </w:r>
    </w:p>
    <w:p>
      <w:pPr>
        <w:pStyle w:val="FirstParagraph"/>
        <w:bidi/>
        <w:jc w:val="right"/>
      </w:pPr>
      <w:r>
        <w:rPr>
          <w:rtl w:val="1"/>
        </w:rPr>
        <w:t xml:space="preserve">الأهداف المعلنة تشمل:</w:t>
      </w:r>
      <w:r>
        <w:rPr>
          <w:rtl w:val="1"/>
        </w:rPr>
        <w:t xml:space="preserve"> </w:t>
      </w:r>
      <w:r>
        <w:rPr>
          <w:bCs/>
          <w:b/>
          <w:rtl w:val="1"/>
        </w:rPr>
        <w:t xml:space="preserve">توفير فرص تربص وتوظيف حقيقية للطلاب والخريجين</w:t>
      </w:r>
      <w:r>
        <w:rPr>
          <w:rtl w:val="1"/>
        </w:rPr>
        <w:t xml:space="preserve">.</w:t>
      </w:r>
    </w:p>
    <w:p>
      <w:pPr>
        <w:pStyle w:val="BlockText"/>
        <w:bidi/>
        <w:jc w:val="right"/>
      </w:pPr>
      <w:r>
        <w:rPr>
          <w:rtl w:val="1"/>
        </w:rPr>
        <w:t xml:space="preserve">الحالة: مشروع في طور الإعداد — التواريخ والمكان والشركاء</w:t>
      </w:r>
      <w:r>
        <w:rPr>
          <w:rtl w:val="1"/>
        </w:rPr>
        <w:t xml:space="preserve"> </w:t>
      </w:r>
      <w:r>
        <w:rPr>
          <w:bCs/>
          <w:b/>
          <w:rtl w:val="1"/>
        </w:rPr>
        <w:t xml:space="preserve">[معلومة ناقصة — à compléter]</w:t>
      </w:r>
      <w:r>
        <w:rPr>
          <w:rtl w:val="1"/>
        </w:rPr>
        <w:t xml:space="preserve">.</w:t>
      </w:r>
    </w:p>
    <w:bookmarkEnd w:id="49"/>
    <w:bookmarkStart w:id="50" w:name="معطيات-غير-متوفرة"/>
    <w:p>
      <w:pPr>
        <w:pStyle w:val="Heading3"/>
        <w:bidi/>
        <w:jc w:val="right"/>
      </w:pPr>
      <w:r>
        <w:rPr>
          <w:rtl w:val="1"/>
        </w:rPr>
        <w:t xml:space="preserve">11.3 معطيات غير متوفرة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bidiVisual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السؤال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الجواب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نسبة إدماج الخريجين في سوق العمل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[معلومة ناقصة — à compléter]</w:t>
            </w:r>
            <w:r>
              <w:rPr>
                <w:rtl w:val="1"/>
              </w:rPr>
              <w:t xml:space="preserve"> </w:t>
            </w:r>
            <w:r>
              <w:rPr>
                <w:rtl w:val="1"/>
              </w:rPr>
              <w:t xml:space="preserve">(منصوص عليه صراحة في وثائق المدرسة أنه يجب توثيقه من مصادر رسمية)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قائمة الشركات الشريكة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[معلومة ناقصة — à compléter]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إمكانية مواصلة الدراسة بعد BTS (الهندسة، الليسانس المهنية…)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[معلومة ناقصة — à compléter]</w:t>
            </w:r>
          </w:p>
        </w:tc>
      </w:tr>
    </w:tbl>
    <w:p>
      <w:pPr>
        <w:bidi/>
        <w:jc w:val="right"/>
      </w:pPr>
      <w:r>
        <w:rPr>
          <w:rtl w:val="1"/>
        </w:rPr>
        <w:pict>
          <v:rect style="width:0;height:1.5pt" o:hralign="center" o:hrstd="t" o:hr="t"/>
        </w:pict>
      </w:r>
    </w:p>
    <w:bookmarkEnd w:id="50"/>
    <w:bookmarkEnd w:id="51"/>
    <w:bookmarkStart w:id="52" w:name="المعجم-مصطلحات-ستصادفها-كثيرا"/>
    <w:p>
      <w:pPr>
        <w:pStyle w:val="Heading2"/>
        <w:bidi/>
        <w:jc w:val="right"/>
      </w:pPr>
      <w:r>
        <w:rPr>
          <w:rtl w:val="1"/>
        </w:rPr>
        <w:t xml:space="preserve">12. المعجم — مصطلحات ستصادفها كثيرا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bidiVisual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المصطلح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المعنى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BTS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شهادة التقني السامي، الشهادة التي تمنحها المدرسة بعد سنتين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APC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المقاربة بالكفاءات: منهج يبني التكوين على كفاءات قابلة للقياس بدل المواد النظرية فقط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Référentiel de formation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مرجع التكوين: الوثيقة الرسمية التي تحدد وحدات الشعبة وكفاءاتها وحجمها الساعي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Module / وحدة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مكوّن من مكونات البرنامج، يستهدف كفاءة محددة (من 30 إلى 160 ساعة)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Compétence / كفاءة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القدرة على إنجاز مهمة مهنية بنجاح (معارف + مهارات + سلوك)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Critères de performance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معايير الأداء: المعايير المعلنة التي يُحكم بها على اكتساب الكفاءة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Chronogramme / Logigramme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مخطط توزيع الوحدات على أسابيع السنة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Stage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التربص في المؤسسة (160 ساعة لكل تربص)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EPI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معدات الحماية الفردية (خوذة، نظارات، قفازات، أحذية أمان…)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HSE / QHSE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الصحة والسلامة والبيئة / الجودة والصحة والسلامة والبيئة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Consignation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إجراء عزل وتأمين تجهيزة قبل التدخل عليها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GMAO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نظام معلوماتي لتسيير الصيانة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ATEX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التنظيم الخاص بالأجواء القابلة للانفجار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INAP-FTP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المعهد الوطني لترقية التكوين التقني والمهني، المكلف بإعداد مراجع التكوين</w:t>
            </w:r>
          </w:p>
        </w:tc>
      </w:tr>
    </w:tbl>
    <w:p>
      <w:pPr>
        <w:bidi/>
        <w:jc w:val="right"/>
      </w:pPr>
      <w:r>
        <w:rPr>
          <w:rtl w:val="1"/>
        </w:rPr>
        <w:pict>
          <v:rect style="width:0;height:1.5pt" o:hralign="center" o:hrstd="t" o:hr="t"/>
        </w:pict>
      </w:r>
    </w:p>
    <w:bookmarkEnd w:id="52"/>
    <w:bookmarkStart w:id="53" w:name="جهات-الاتصال-داخل-المدرسة"/>
    <w:p>
      <w:pPr>
        <w:pStyle w:val="Heading2"/>
        <w:bidi/>
        <w:jc w:val="right"/>
      </w:pPr>
      <w:r>
        <w:rPr>
          <w:rtl w:val="1"/>
        </w:rPr>
        <w:t xml:space="preserve">13. جهات الاتصال داخل المدرسة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الموضوع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الجهة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الاتصال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التسجيل والملفات الإدارية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[à compléter]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[à compléter]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الشؤون البيداغوجية والجداول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[à compléter]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[à compléter]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التربصات والعلاقات مع المؤسسات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[à compléter]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[à compléter]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الامتحانات والشهادات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[à compléter]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[à compléter]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الشؤون الاجتماعية والمنح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[à compléter]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[à compléter]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السلامة والصحة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[à compléter]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[à compléter]</w:t>
            </w:r>
          </w:p>
        </w:tc>
      </w:tr>
      <w:tr>
        <w:tc>
          <w:tcPr/>
          <w:p>
            <w:pPr>
              <w:pStyle w:val="Compact"/>
              <w:jc w:val="right"/>
              <w:bidi/>
            </w:pPr>
            <w:r>
              <w:rPr>
                <w:rtl w:val="1"/>
              </w:rPr>
              <w:t xml:space="preserve">التبليغ الأخلاقي (سري)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[à compléter]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rPr>
                <w:bCs/>
                <w:b/>
                <w:rtl w:val="1"/>
              </w:rPr>
              <w:t xml:space="preserve">[à compléter]</w:t>
            </w:r>
          </w:p>
        </w:tc>
      </w:tr>
    </w:tbl>
    <w:p>
      <w:pPr>
        <w:bidi/>
        <w:jc w:val="right"/>
      </w:pPr>
      <w:r>
        <w:rPr>
          <w:rtl w:val="1"/>
        </w:rPr>
        <w:pict>
          <v:rect style="width:0;height:1.5pt" o:hralign="center" o:hrstd="t" o:hr="t"/>
        </w:pict>
      </w:r>
    </w:p>
    <w:bookmarkEnd w:id="53"/>
    <w:bookmarkStart w:id="54" w:name="Xc8350cfd4a2362df97e48f25aefe0f25824004d"/>
    <w:p>
      <w:pPr>
        <w:pStyle w:val="Heading2"/>
        <w:bidi/>
        <w:jc w:val="right"/>
      </w:pPr>
      <w:r>
        <w:rPr>
          <w:rtl w:val="1"/>
        </w:rPr>
        <w:t xml:space="preserve">الملحق 1 — قائمة المعلومات الواجب استكمالها</w:t>
      </w:r>
    </w:p>
    <w:p>
      <w:pPr>
        <w:pStyle w:val="FirstParagraph"/>
        <w:bidi/>
        <w:jc w:val="right"/>
      </w:pPr>
      <w:r>
        <w:rPr>
          <w:rtl w:val="1"/>
        </w:rPr>
        <w:t xml:space="preserve">قائمة مجمّعة لكل ما هو موسوم بـ</w:t>
      </w:r>
      <w:r>
        <w:rPr>
          <w:rtl w:val="1"/>
        </w:rPr>
        <w:t xml:space="preserve"> </w:t>
      </w:r>
      <w:r>
        <w:rPr>
          <w:bCs/>
          <w:b/>
          <w:rtl w:val="1"/>
        </w:rPr>
        <w:t xml:space="preserve">[معلومة ناقصة]</w:t>
      </w:r>
      <w:r>
        <w:rPr>
          <w:rtl w:val="1"/>
        </w:rPr>
        <w:t xml:space="preserve"> </w:t>
      </w:r>
      <w:r>
        <w:rPr>
          <w:rtl w:val="1"/>
        </w:rPr>
        <w:t xml:space="preserve">في هذا الدليل، لتملأها الإدارة دفعة واحدة:</w:t>
      </w:r>
    </w:p>
    <w:p>
      <w:pPr>
        <w:pStyle w:val="BodyText"/>
        <w:bidi/>
        <w:jc w:val="right"/>
      </w:pPr>
      <w:r>
        <w:rPr>
          <w:bCs/>
          <w:b/>
          <w:rtl w:val="1"/>
        </w:rPr>
        <w:t xml:space="preserve">أ. هوية المدرسة</w:t>
      </w:r>
      <w:r>
        <w:rPr>
          <w:rtl w:val="1"/>
        </w:rPr>
        <w:t xml:space="preserve"> </w:t>
      </w:r>
      <w:r>
        <w:rPr>
          <w:rtl w:val="1"/>
        </w:rPr>
        <w:t xml:space="preserve">1. العنوان الدقيق والموقع الجغرافي</w:t>
      </w:r>
      <w:r>
        <w:rPr>
          <w:rtl w:val="1"/>
        </w:rPr>
        <w:t xml:space="preserve"> </w:t>
      </w:r>
      <w:r>
        <w:rPr>
          <w:rtl w:val="1"/>
        </w:rPr>
        <w:t xml:space="preserve">2. الهاتف، البريد الإلكتروني، الموقع والصفحات الرسمية</w:t>
      </w:r>
      <w:r>
        <w:rPr>
          <w:rtl w:val="1"/>
        </w:rPr>
        <w:t xml:space="preserve"> </w:t>
      </w:r>
      <w:r>
        <w:rPr>
          <w:rtl w:val="1"/>
        </w:rPr>
        <w:t xml:space="preserve">3. الاسم الرسمي الدقيق للوزارة الوصية</w:t>
      </w:r>
      <w:r>
        <w:rPr>
          <w:rtl w:val="1"/>
        </w:rPr>
        <w:t xml:space="preserve"> </w:t>
      </w:r>
      <w:r>
        <w:rPr>
          <w:rtl w:val="1"/>
        </w:rPr>
        <w:t xml:space="preserve">4. توحيد الاختصار: EETFP-MPG أم EEFTP-MPG</w:t>
      </w:r>
    </w:p>
    <w:p>
      <w:pPr>
        <w:pStyle w:val="BodyText"/>
        <w:bidi/>
        <w:jc w:val="right"/>
      </w:pPr>
      <w:r>
        <w:rPr>
          <w:bCs/>
          <w:b/>
          <w:rtl w:val="1"/>
        </w:rPr>
        <w:t xml:space="preserve">ب. التسجيل</w:t>
      </w:r>
      <w:r>
        <w:rPr>
          <w:rtl w:val="1"/>
        </w:rPr>
        <w:t xml:space="preserve"> </w:t>
      </w:r>
      <w:r>
        <w:rPr>
          <w:rtl w:val="1"/>
        </w:rPr>
        <w:t xml:space="preserve">5. شروط القبول والشهادة المطلوبة</w:t>
      </w:r>
      <w:r>
        <w:rPr>
          <w:rtl w:val="1"/>
        </w:rPr>
        <w:t xml:space="preserve"> </w:t>
      </w:r>
      <w:r>
        <w:rPr>
          <w:rtl w:val="1"/>
        </w:rPr>
        <w:t xml:space="preserve">6. وجود مسابقة/اختبار وطبيعته</w:t>
      </w:r>
      <w:r>
        <w:rPr>
          <w:rtl w:val="1"/>
        </w:rPr>
        <w:t xml:space="preserve"> </w:t>
      </w:r>
      <w:r>
        <w:rPr>
          <w:rtl w:val="1"/>
        </w:rPr>
        <w:t xml:space="preserve">7. قائمة وثائق ملف الترشح</w:t>
      </w:r>
      <w:r>
        <w:rPr>
          <w:rtl w:val="1"/>
        </w:rPr>
        <w:t xml:space="preserve"> </w:t>
      </w:r>
      <w:r>
        <w:rPr>
          <w:rtl w:val="1"/>
        </w:rPr>
        <w:t xml:space="preserve">8. تواريخ التسجيل</w:t>
      </w:r>
      <w:r>
        <w:rPr>
          <w:rtl w:val="1"/>
        </w:rPr>
        <w:t xml:space="preserve"> </w:t>
      </w:r>
      <w:r>
        <w:rPr>
          <w:rtl w:val="1"/>
        </w:rPr>
        <w:t xml:space="preserve">9. الرسوم</w:t>
      </w:r>
      <w:r>
        <w:rPr>
          <w:rtl w:val="1"/>
        </w:rPr>
        <w:t xml:space="preserve"> </w:t>
      </w:r>
      <w:r>
        <w:rPr>
          <w:rtl w:val="1"/>
        </w:rPr>
        <w:t xml:space="preserve">10. عدد المقاعد لكل شعبة</w:t>
      </w:r>
      <w:r>
        <w:rPr>
          <w:rtl w:val="1"/>
        </w:rPr>
        <w:t xml:space="preserve"> </w:t>
      </w:r>
      <w:r>
        <w:rPr>
          <w:rtl w:val="1"/>
        </w:rPr>
        <w:t xml:space="preserve">11. المنح وشروطها</w:t>
      </w:r>
      <w:r>
        <w:rPr>
          <w:rtl w:val="1"/>
        </w:rPr>
        <w:t xml:space="preserve"> </w:t>
      </w:r>
      <w:r>
        <w:rPr>
          <w:rtl w:val="1"/>
        </w:rPr>
        <w:t xml:space="preserve">12. شروط تغيير الشعبة</w:t>
      </w:r>
      <w:r>
        <w:rPr>
          <w:rtl w:val="1"/>
        </w:rPr>
        <w:t xml:space="preserve"> </w:t>
      </w:r>
      <w:r>
        <w:rPr>
          <w:rtl w:val="1"/>
        </w:rPr>
        <w:t xml:space="preserve">13. شروط تسجيل الأجانب</w:t>
      </w:r>
    </w:p>
    <w:p>
      <w:pPr>
        <w:pStyle w:val="BodyText"/>
        <w:bidi/>
        <w:jc w:val="right"/>
      </w:pPr>
      <w:r>
        <w:rPr>
          <w:bCs/>
          <w:b/>
          <w:rtl w:val="1"/>
        </w:rPr>
        <w:t xml:space="preserve">ج. البيداغوجيا والتقييم</w:t>
      </w:r>
      <w:r>
        <w:rPr>
          <w:rtl w:val="1"/>
        </w:rPr>
        <w:t xml:space="preserve"> </w:t>
      </w:r>
      <w:r>
        <w:rPr>
          <w:rtl w:val="1"/>
        </w:rPr>
        <w:t xml:space="preserve">14. أسماء المكوّنين وتوزيعهم على الوحدات</w:t>
      </w:r>
      <w:r>
        <w:rPr>
          <w:rtl w:val="1"/>
        </w:rPr>
        <w:t xml:space="preserve"> </w:t>
      </w:r>
      <w:r>
        <w:rPr>
          <w:rtl w:val="1"/>
        </w:rPr>
        <w:t xml:space="preserve">15. أسماء الورشات والقاعات</w:t>
      </w:r>
      <w:r>
        <w:rPr>
          <w:rtl w:val="1"/>
        </w:rPr>
        <w:t xml:space="preserve"> </w:t>
      </w:r>
      <w:r>
        <w:rPr>
          <w:rtl w:val="1"/>
        </w:rPr>
        <w:t xml:space="preserve">16. الجدول النهائي المصادق عليه</w:t>
      </w:r>
      <w:r>
        <w:rPr>
          <w:rtl w:val="1"/>
        </w:rPr>
        <w:t xml:space="preserve"> </w:t>
      </w:r>
      <w:r>
        <w:rPr>
          <w:rtl w:val="1"/>
        </w:rPr>
        <w:t xml:space="preserve">17. المصادقة على تواريخ عطلتي ديسمبر ومارس</w:t>
      </w:r>
      <w:r>
        <w:rPr>
          <w:rtl w:val="1"/>
        </w:rPr>
        <w:t xml:space="preserve"> </w:t>
      </w:r>
      <w:r>
        <w:rPr>
          <w:rtl w:val="1"/>
        </w:rPr>
        <w:t xml:space="preserve">18. رزنامة الامتحانات الرسمية</w:t>
      </w:r>
      <w:r>
        <w:rPr>
          <w:rtl w:val="1"/>
        </w:rPr>
        <w:t xml:space="preserve"> </w:t>
      </w:r>
      <w:r>
        <w:rPr>
          <w:rtl w:val="1"/>
        </w:rPr>
        <w:t xml:space="preserve">19. معدل النجاح وشروط اجتياز الوحدة</w:t>
      </w:r>
      <w:r>
        <w:rPr>
          <w:rtl w:val="1"/>
        </w:rPr>
        <w:t xml:space="preserve"> </w:t>
      </w:r>
      <w:r>
        <w:rPr>
          <w:rtl w:val="1"/>
        </w:rPr>
        <w:t xml:space="preserve">20. شروط الانتقال إلى السنة الثانية</w:t>
      </w:r>
      <w:r>
        <w:rPr>
          <w:rtl w:val="1"/>
        </w:rPr>
        <w:t xml:space="preserve"> </w:t>
      </w:r>
      <w:r>
        <w:rPr>
          <w:rtl w:val="1"/>
        </w:rPr>
        <w:t xml:space="preserve">21. نظام الاستدراك والإعادة</w:t>
      </w:r>
      <w:r>
        <w:rPr>
          <w:rtl w:val="1"/>
        </w:rPr>
        <w:t xml:space="preserve"> </w:t>
      </w:r>
      <w:r>
        <w:rPr>
          <w:rtl w:val="1"/>
        </w:rPr>
        <w:t xml:space="preserve">22. تركيبة لجنة المداولات</w:t>
      </w:r>
      <w:r>
        <w:rPr>
          <w:rtl w:val="1"/>
        </w:rPr>
        <w:t xml:space="preserve"> </w:t>
      </w:r>
      <w:r>
        <w:rPr>
          <w:rtl w:val="1"/>
        </w:rPr>
        <w:t xml:space="preserve">23. إجراءات الطعن</w:t>
      </w:r>
      <w:r>
        <w:rPr>
          <w:rtl w:val="1"/>
        </w:rPr>
        <w:t xml:space="preserve"> </w:t>
      </w:r>
      <w:r>
        <w:rPr>
          <w:rtl w:val="1"/>
        </w:rPr>
        <w:t xml:space="preserve">24. آجال تسليم الشهادات وكشوف النقاط</w:t>
      </w:r>
    </w:p>
    <w:p>
      <w:pPr>
        <w:pStyle w:val="BodyText"/>
        <w:bidi/>
        <w:jc w:val="right"/>
      </w:pPr>
      <w:r>
        <w:rPr>
          <w:bCs/>
          <w:b/>
          <w:rtl w:val="1"/>
        </w:rPr>
        <w:t xml:space="preserve">د. التربصات</w:t>
      </w:r>
      <w:r>
        <w:rPr>
          <w:rtl w:val="1"/>
        </w:rPr>
        <w:t xml:space="preserve"> </w:t>
      </w:r>
      <w:r>
        <w:rPr>
          <w:rtl w:val="1"/>
        </w:rPr>
        <w:t xml:space="preserve">25. سياسة المدرسة في إيجاد أماكن التربص</w:t>
      </w:r>
      <w:r>
        <w:rPr>
          <w:rtl w:val="1"/>
        </w:rPr>
        <w:t xml:space="preserve"> </w:t>
      </w:r>
      <w:r>
        <w:rPr>
          <w:rtl w:val="1"/>
        </w:rPr>
        <w:t xml:space="preserve">26. اتفاقية التربص والتأمين</w:t>
      </w:r>
      <w:r>
        <w:rPr>
          <w:rtl w:val="1"/>
        </w:rPr>
        <w:t xml:space="preserve"> </w:t>
      </w:r>
      <w:r>
        <w:rPr>
          <w:rtl w:val="1"/>
        </w:rPr>
        <w:t xml:space="preserve">27. نموذج تقرير التربص وآجاله</w:t>
      </w:r>
      <w:r>
        <w:rPr>
          <w:rtl w:val="1"/>
        </w:rPr>
        <w:t xml:space="preserve"> </w:t>
      </w:r>
      <w:r>
        <w:rPr>
          <w:rtl w:val="1"/>
        </w:rPr>
        <w:t xml:space="preserve">28. حل حالة عدم إيجاد مؤسسة مستقبِلة</w:t>
      </w:r>
    </w:p>
    <w:p>
      <w:pPr>
        <w:pStyle w:val="BodyText"/>
        <w:bidi/>
        <w:jc w:val="right"/>
      </w:pPr>
      <w:r>
        <w:rPr>
          <w:bCs/>
          <w:b/>
          <w:rtl w:val="1"/>
        </w:rPr>
        <w:t xml:space="preserve">هـ. الحياة المدرسية</w:t>
      </w:r>
      <w:r>
        <w:rPr>
          <w:rtl w:val="1"/>
        </w:rPr>
        <w:t xml:space="preserve"> </w:t>
      </w:r>
      <w:r>
        <w:rPr>
          <w:rtl w:val="1"/>
        </w:rPr>
        <w:t xml:space="preserve">29. النظام الداخلي الكامل (نص رسمي)</w:t>
      </w:r>
      <w:r>
        <w:rPr>
          <w:rtl w:val="1"/>
        </w:rPr>
        <w:t xml:space="preserve"> </w:t>
      </w:r>
      <w:r>
        <w:rPr>
          <w:rtl w:val="1"/>
        </w:rPr>
        <w:t xml:space="preserve">30. تنظيم الغيابات والتأخرات وسقوفها</w:t>
      </w:r>
      <w:r>
        <w:rPr>
          <w:rtl w:val="1"/>
        </w:rPr>
        <w:t xml:space="preserve"> </w:t>
      </w:r>
      <w:r>
        <w:rPr>
          <w:rtl w:val="1"/>
        </w:rPr>
        <w:t xml:space="preserve">31. سلّم العقوبات ومجلس التأديب</w:t>
      </w:r>
      <w:r>
        <w:rPr>
          <w:rtl w:val="1"/>
        </w:rPr>
        <w:t xml:space="preserve"> </w:t>
      </w:r>
      <w:r>
        <w:rPr>
          <w:rtl w:val="1"/>
        </w:rPr>
        <w:t xml:space="preserve">32. من يوفّر معدات الحماية الفردية واللباس الإلزامي</w:t>
      </w:r>
      <w:r>
        <w:rPr>
          <w:rtl w:val="1"/>
        </w:rPr>
        <w:t xml:space="preserve"> </w:t>
      </w:r>
      <w:r>
        <w:rPr>
          <w:rtl w:val="1"/>
        </w:rPr>
        <w:t xml:space="preserve">33. إجراء التبليغ عن الحوادث والخدمة الصحية</w:t>
      </w:r>
      <w:r>
        <w:rPr>
          <w:rtl w:val="1"/>
        </w:rPr>
        <w:t xml:space="preserve"> </w:t>
      </w:r>
      <w:r>
        <w:rPr>
          <w:rtl w:val="1"/>
        </w:rPr>
        <w:t xml:space="preserve">34. قناة التبليغ الأخلاقي السري</w:t>
      </w:r>
      <w:r>
        <w:rPr>
          <w:rtl w:val="1"/>
        </w:rPr>
        <w:t xml:space="preserve"> </w:t>
      </w:r>
      <w:r>
        <w:rPr>
          <w:rtl w:val="1"/>
        </w:rPr>
        <w:t xml:space="preserve">35. وجود مندوبي الأقسام/هيئة تمثيلية</w:t>
      </w:r>
    </w:p>
    <w:p>
      <w:pPr>
        <w:pStyle w:val="BodyText"/>
        <w:bidi/>
        <w:jc w:val="right"/>
      </w:pPr>
      <w:r>
        <w:rPr>
          <w:bCs/>
          <w:b/>
          <w:rtl w:val="1"/>
        </w:rPr>
        <w:t xml:space="preserve">و. الخدمات</w:t>
      </w:r>
      <w:r>
        <w:rPr>
          <w:rtl w:val="1"/>
        </w:rPr>
        <w:t xml:space="preserve"> </w:t>
      </w:r>
      <w:r>
        <w:rPr>
          <w:rtl w:val="1"/>
        </w:rPr>
        <w:t xml:space="preserve">36. النقل، المطعم، الداخلية، المكتبة، الإنترنت، الأنشطة، المرافقة البيداغوجية</w:t>
      </w:r>
    </w:p>
    <w:p>
      <w:pPr>
        <w:pStyle w:val="BodyText"/>
        <w:bidi/>
        <w:jc w:val="right"/>
      </w:pPr>
      <w:r>
        <w:rPr>
          <w:bCs/>
          <w:b/>
          <w:rtl w:val="1"/>
        </w:rPr>
        <w:t xml:space="preserve">ز. التشغيل</w:t>
      </w:r>
      <w:r>
        <w:rPr>
          <w:rtl w:val="1"/>
        </w:rPr>
        <w:t xml:space="preserve"> </w:t>
      </w:r>
      <w:r>
        <w:rPr>
          <w:rtl w:val="1"/>
        </w:rPr>
        <w:t xml:space="preserve">37. نسبة الإدماج وقائمة الشركاء</w:t>
      </w:r>
      <w:r>
        <w:rPr>
          <w:rtl w:val="1"/>
        </w:rPr>
        <w:t xml:space="preserve"> </w:t>
      </w:r>
      <w:r>
        <w:rPr>
          <w:rtl w:val="1"/>
        </w:rPr>
        <w:t xml:space="preserve">38. مسارات مواصلة الدراسة بعد BTS</w:t>
      </w:r>
      <w:r>
        <w:rPr>
          <w:rtl w:val="1"/>
        </w:rPr>
        <w:t xml:space="preserve"> </w:t>
      </w:r>
      <w:r>
        <w:rPr>
          <w:rtl w:val="1"/>
        </w:rPr>
        <w:t xml:space="preserve">39. تواريخ ومكان منتدى مهارات الطاقة</w:t>
      </w:r>
    </w:p>
    <w:p>
      <w:pPr>
        <w:bidi/>
        <w:jc w:val="right"/>
      </w:pPr>
      <w:r>
        <w:rPr>
          <w:rtl w:val="1"/>
        </w:rPr>
        <w:pict>
          <v:rect style="width:0;height:1.5pt" o:hralign="center" o:hrstd="t" o:hr="t"/>
        </w:pict>
      </w:r>
    </w:p>
    <w:bookmarkEnd w:id="54"/>
    <w:bookmarkStart w:id="55" w:name="المصادر"/>
    <w:p>
      <w:pPr>
        <w:pStyle w:val="Heading2"/>
        <w:bidi/>
        <w:jc w:val="right"/>
      </w:pPr>
      <w:r>
        <w:rPr>
          <w:rtl w:val="1"/>
        </w:rPr>
        <w:t xml:space="preserve">المصادر</w:t>
      </w:r>
    </w:p>
    <w:p>
      <w:pPr>
        <w:pStyle w:val="FirstParagraph"/>
        <w:bidi/>
        <w:jc w:val="right"/>
      </w:pPr>
      <w:r>
        <w:rPr>
          <w:rtl w:val="1"/>
        </w:rPr>
        <w:t xml:space="preserve">هذه الوثيقة محرَّرة حصريا انطلاقا من:</w:t>
      </w:r>
    </w:p>
    <w:p>
      <w:pPr>
        <w:numPr>
          <w:ilvl w:val="0"/>
          <w:numId w:val="1013"/>
        </w:numPr>
        <w:pStyle w:val="Compact"/>
        <w:bidi/>
        <w:jc w:val="right"/>
      </w:pPr>
      <w:r>
        <w:rPr>
          <w:bCs/>
          <w:b/>
          <w:rtl w:val="1"/>
        </w:rPr>
        <w:t xml:space="preserve">ميثاق الأخلاق والسلوك المهني MPG</w:t>
      </w:r>
      <w:r>
        <w:rPr>
          <w:rtl w:val="1"/>
        </w:rPr>
        <w:t xml:space="preserve"> </w:t>
      </w:r>
      <w:r>
        <w:rPr>
          <w:rtl w:val="1"/>
        </w:rPr>
        <w:t xml:space="preserve">(نسخة عربية/فرنسية) — القيم، التزامات الطالب، النزاهة الأكاديمية، العقوبات، الحقوق.</w:t>
      </w:r>
    </w:p>
    <w:p>
      <w:pPr>
        <w:numPr>
          <w:ilvl w:val="0"/>
          <w:numId w:val="1013"/>
        </w:numPr>
        <w:pStyle w:val="Compact"/>
        <w:bidi/>
        <w:jc w:val="right"/>
      </w:pPr>
      <w:r>
        <w:rPr>
          <w:bCs/>
          <w:b/>
          <w:rtl w:val="1"/>
        </w:rPr>
        <w:t xml:space="preserve">مراجع التكوين العشرة (PF/RF BTS)</w:t>
      </w:r>
      <w:r>
        <w:rPr>
          <w:rtl w:val="1"/>
        </w:rPr>
        <w:t xml:space="preserve"> </w:t>
      </w:r>
      <w:r>
        <w:rPr>
          <w:rtl w:val="1"/>
        </w:rPr>
        <w:t xml:space="preserve">— الشعب، الوحدات، الأحجام الساعية، التربصات، الكفاءات.</w:t>
      </w:r>
    </w:p>
    <w:p>
      <w:pPr>
        <w:numPr>
          <w:ilvl w:val="0"/>
          <w:numId w:val="1013"/>
        </w:numPr>
        <w:pStyle w:val="Compact"/>
        <w:bidi/>
        <w:jc w:val="right"/>
      </w:pPr>
      <w:r>
        <w:rPr>
          <w:bCs/>
          <w:b/>
          <w:rtl w:val="1"/>
        </w:rPr>
        <w:t xml:space="preserve">منهجية الرزنامة البيداغوجية 2026-2027</w:t>
      </w:r>
      <w:r>
        <w:rPr>
          <w:rtl w:val="1"/>
        </w:rPr>
        <w:t xml:space="preserve"> </w:t>
      </w:r>
      <w:r>
        <w:rPr>
          <w:rtl w:val="1"/>
        </w:rPr>
        <w:t xml:space="preserve">— التواريخ، العطل، الأيام المعطلة.</w:t>
      </w:r>
    </w:p>
    <w:p>
      <w:pPr>
        <w:numPr>
          <w:ilvl w:val="0"/>
          <w:numId w:val="1013"/>
        </w:numPr>
        <w:pStyle w:val="Compact"/>
        <w:bidi/>
        <w:jc w:val="right"/>
      </w:pPr>
      <w:r>
        <w:rPr>
          <w:bCs/>
          <w:b/>
          <w:rtl w:val="1"/>
        </w:rPr>
        <w:t xml:space="preserve">منهجية جداول الحصص</w:t>
      </w:r>
      <w:r>
        <w:rPr>
          <w:rtl w:val="1"/>
        </w:rPr>
        <w:t xml:space="preserve"> </w:t>
      </w:r>
      <w:r>
        <w:rPr>
          <w:rtl w:val="1"/>
        </w:rPr>
        <w:t xml:space="preserve">— 6 أيام × 6 ساعات = 36 سا/أسبوع.</w:t>
      </w:r>
    </w:p>
    <w:p>
      <w:pPr>
        <w:numPr>
          <w:ilvl w:val="0"/>
          <w:numId w:val="1013"/>
        </w:numPr>
        <w:pStyle w:val="Compact"/>
        <w:bidi/>
        <w:jc w:val="right"/>
      </w:pPr>
      <w:r>
        <w:rPr>
          <w:bCs/>
          <w:b/>
          <w:rtl w:val="1"/>
        </w:rPr>
        <w:t xml:space="preserve">منهجية اللوجيغرامات (10 شعب)</w:t>
      </w:r>
      <w:r>
        <w:rPr>
          <w:rtl w:val="1"/>
        </w:rPr>
        <w:t xml:space="preserve"> </w:t>
      </w:r>
      <w:r>
        <w:rPr>
          <w:rtl w:val="1"/>
        </w:rPr>
        <w:t xml:space="preserve">— بنية السنتين، توزيع الوحدات، التربصان.</w:t>
      </w:r>
    </w:p>
    <w:p>
      <w:pPr>
        <w:numPr>
          <w:ilvl w:val="0"/>
          <w:numId w:val="1013"/>
        </w:numPr>
        <w:pStyle w:val="Compact"/>
        <w:bidi/>
        <w:jc w:val="right"/>
      </w:pPr>
      <w:r>
        <w:rPr>
          <w:bCs/>
          <w:b/>
          <w:rtl w:val="1"/>
        </w:rPr>
        <w:t xml:space="preserve">المذكرة المفاهيمية لمنتدى مهارات الطاقة</w:t>
      </w:r>
      <w:r>
        <w:rPr>
          <w:rtl w:val="1"/>
        </w:rPr>
        <w:t xml:space="preserve"> </w:t>
      </w:r>
      <w:r>
        <w:rPr>
          <w:rtl w:val="1"/>
        </w:rPr>
        <w:t xml:space="preserve">— الاندماج المهني.</w:t>
      </w:r>
    </w:p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cs="Arial" w:eastAsia="Arial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cs="Arial" w:eastAsia="Arial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cs="Arial" w:eastAsia="Arial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cs="Arial" w:eastAsia="Arial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 w:cs="Arial" w:eastAsia="Arial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hAnsi="Arial" w:cs="Arial" w:eastAsia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hAnsi="Arial" w:cs="Arial" w:eastAsia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hAnsi="Arial" w:cs="Arial" w:eastAsia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hAnsi="Arial" w:cs="Arial" w:eastAsia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hAnsi="Arial" w:cs="Arial" w:eastAsia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hAnsi="Arial" w:cs="Arial" w:eastAsia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Arial" w:hAnsi="Arial" w:cs="Arial" w:eastAsia="Arial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Arial" w:hAnsi="Arial" w:cs="Arial" w:eastAsia="Arial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Arial" w:hAnsi="Arial" w:cs="Arial" w:eastAsia="Arial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Arial" w:hAnsi="Arial" w:cs="Arial" w:eastAsia="Arial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Arial" w:hAnsi="Arial" w:cs="Arial" w:eastAsia="Arial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Arial" w:hAnsi="Arial" w:cs="Arial" w:eastAsia="Arial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Arial" w:hAnsi="Arial" w:cs="Arial" w:eastAsia="Arial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Arial" w:hAnsi="Arial" w:cs="Arial" w:eastAsia="Arial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Arial" w:hAnsi="Arial" w:cs="Arial" w:eastAsia="Arial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hAnsi="Arial" w:cs="Arial" w:eastAsia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hAnsi="Arial" w:cs="Arial" w:eastAsia="Arial"/>
    </w:rPr>
  </w:style>
  <w:style w:default="1" w:styleId="DefaultParagraphFont" w:type="character">
    <w:name w:val="Default Paragraph Font"/>
    <w:semiHidden/>
    <w:unhideWhenUsed/>
    <w:rPr>
      <w:rFonts w:ascii="Arial" w:hAnsi="Arial" w:cs="Arial" w:eastAsia="Arial"/>
    </w:rPr>
  </w:style>
  <w:style w:default="1" w:styleId="Table" w:type="table">
    <w:name w:val="Table"/>
    <w:basedOn w:val="TableNormal"/>
    <w:semiHidden/>
    <w:unhideWhenUsed/>
    <w:qFormat/>
    <w:rPr>
      <w:rFonts w:ascii="Arial" w:hAnsi="Arial" w:cs="Arial" w:eastAsia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hAnsi="Arial" w:cs="Arial" w:eastAsia="Arial"/>
      <w:b/>
    </w:rPr>
  </w:style>
  <w:style w:customStyle="1" w:styleId="Definition" w:type="paragraph">
    <w:name w:val="Definition"/>
    <w:basedOn w:val="Normal"/>
    <w:rPr>
      <w:rFonts w:ascii="Arial" w:hAnsi="Arial" w:cs="Arial" w:eastAsia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hAnsi="Arial" w:cs="Arial" w:eastAsia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hAnsi="Arial" w:cs="Arial" w:eastAsia="Arial"/>
    </w:rPr>
  </w:style>
  <w:style w:customStyle="1" w:styleId="ImageCaption" w:type="paragraph">
    <w:name w:val="Image Caption"/>
    <w:basedOn w:val="Caption"/>
    <w:rPr>
      <w:rFonts w:ascii="Arial" w:hAnsi="Arial" w:cs="Arial" w:eastAsia="Arial"/>
    </w:rPr>
  </w:style>
  <w:style w:customStyle="1" w:styleId="Figure" w:type="paragraph">
    <w:name w:val="Figure"/>
    <w:basedOn w:val="Normal"/>
    <w:rPr>
      <w:rFonts w:ascii="Arial" w:hAnsi="Arial" w:cs="Arial" w:eastAsia="Arial"/>
    </w:rPr>
  </w:style>
  <w:style w:customStyle="1" w:styleId="CaptionedFigure" w:type="paragraph">
    <w:name w:val="Captioned Figure"/>
    <w:basedOn w:val="Figure"/>
    <w:pPr>
      <w:keepNext/>
    </w:pPr>
    <w:rPr>
      <w:rFonts w:ascii="Arial" w:hAnsi="Arial" w:cs="Arial" w:eastAsia="Arial"/>
    </w:rPr>
  </w:style>
  <w:style w:customStyle="1" w:styleId="BodyTextChar" w:type="character">
    <w:name w:val="Body Text Char"/>
    <w:basedOn w:val="DefaultParagraphFont"/>
    <w:link w:val="BodyText"/>
    <w:rPr>
      <w:rFonts w:ascii="Arial" w:hAnsi="Arial" w:cs="Arial" w:eastAsia="Arial"/>
    </w:rPr>
  </w:style>
  <w:style w:customStyle="1" w:styleId="VerbatimChar" w:type="character">
    <w:name w:val="Verbatim Char"/>
    <w:basedOn w:val="BodyTextChar"/>
    <w:rPr>
      <w:rFonts w:ascii="Arial" w:hAnsi="Arial" w:cs="Arial" w:eastAsia="Arial"/>
      <w:sz w:val="22"/>
    </w:rPr>
  </w:style>
  <w:style w:customStyle="1" w:styleId="SectionNumber" w:type="character">
    <w:name w:val="Section Number"/>
    <w:basedOn w:val="BodyTextChar"/>
    <w:rPr>
      <w:rFonts w:ascii="Arial" w:hAnsi="Arial" w:cs="Arial" w:eastAsia="Arial"/>
    </w:rPr>
  </w:style>
  <w:style w:styleId="FootnoteReference" w:type="character">
    <w:name w:val="Footnote Reference"/>
    <w:basedOn w:val="BodyTextChar"/>
    <w:rPr>
      <w:rFonts w:ascii="Arial" w:hAnsi="Arial" w:cs="Arial" w:eastAsia="Arial"/>
      <w:vertAlign w:val="superscript"/>
    </w:rPr>
  </w:style>
  <w:style w:styleId="Hyperlink" w:type="character">
    <w:name w:val="Hyperlink"/>
    <w:basedOn w:val="BodyTextChar"/>
    <w:rPr>
      <w:rFonts w:ascii="Arial" w:hAnsi="Arial" w:cs="Arial" w:eastAsia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Arial" w:hAnsi="Arial" w:cs="Arial" w:eastAsia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Arial" w:hAnsi="Arial" w:cs="Arial" w:eastAsia="Arial"/>
    </w:rPr>
  </w:style>
  <w:style w:type="character" w:customStyle="1" w:styleId="KeywordTok">
    <w:name w:val="KeywordTok"/>
    <w:basedOn w:val="VerbatimChar"/>
    <w:rPr>
      <w:color w:val="007020"/>
      <w:rFonts w:ascii="Arial" w:hAnsi="Arial" w:cs="Arial" w:eastAsia="Arial"/>
      <w:b/>
    </w:rPr>
  </w:style>
  <w:style w:type="character" w:customStyle="1" w:styleId="DataTypeTok">
    <w:name w:val="DataTypeTok"/>
    <w:basedOn w:val="VerbatimChar"/>
    <w:rPr>
      <w:rFonts w:ascii="Arial" w:hAnsi="Arial" w:cs="Arial" w:eastAsia="Arial"/>
      <w:color w:val="902000"/>
    </w:rPr>
  </w:style>
  <w:style w:type="character" w:customStyle="1" w:styleId="DecValTok">
    <w:name w:val="DecValTok"/>
    <w:basedOn w:val="VerbatimChar"/>
    <w:rPr>
      <w:rFonts w:ascii="Arial" w:hAnsi="Arial" w:cs="Arial" w:eastAsia="Arial"/>
      <w:color w:val="40a070"/>
    </w:rPr>
  </w:style>
  <w:style w:type="character" w:customStyle="1" w:styleId="BaseNTok">
    <w:name w:val="BaseNTok"/>
    <w:basedOn w:val="VerbatimChar"/>
    <w:rPr>
      <w:rFonts w:ascii="Arial" w:hAnsi="Arial" w:cs="Arial" w:eastAsia="Arial"/>
      <w:color w:val="40a070"/>
    </w:rPr>
  </w:style>
  <w:style w:type="character" w:customStyle="1" w:styleId="FloatTok">
    <w:name w:val="FloatTok"/>
    <w:basedOn w:val="VerbatimChar"/>
    <w:rPr>
      <w:rFonts w:ascii="Arial" w:hAnsi="Arial" w:cs="Arial" w:eastAsia="Arial"/>
      <w:color w:val="40a070"/>
    </w:rPr>
  </w:style>
  <w:style w:type="character" w:customStyle="1" w:styleId="ConstantTok">
    <w:name w:val="ConstantTok"/>
    <w:basedOn w:val="VerbatimChar"/>
    <w:rPr>
      <w:rFonts w:ascii="Arial" w:hAnsi="Arial" w:cs="Arial" w:eastAsia="Arial"/>
      <w:color w:val="880000"/>
    </w:rPr>
  </w:style>
  <w:style w:type="character" w:customStyle="1" w:styleId="CharTok">
    <w:name w:val="CharTok"/>
    <w:basedOn w:val="VerbatimChar"/>
    <w:rPr>
      <w:rFonts w:ascii="Arial" w:hAnsi="Arial" w:cs="Arial" w:eastAsia="Arial"/>
      <w:color w:val="4070a0"/>
    </w:rPr>
  </w:style>
  <w:style w:type="character" w:customStyle="1" w:styleId="SpecialCharTok">
    <w:name w:val="SpecialCharTok"/>
    <w:basedOn w:val="VerbatimChar"/>
    <w:rPr>
      <w:rFonts w:ascii="Arial" w:hAnsi="Arial" w:cs="Arial" w:eastAsia="Arial"/>
      <w:color w:val="4070a0"/>
    </w:rPr>
  </w:style>
  <w:style w:type="character" w:customStyle="1" w:styleId="StringTok">
    <w:name w:val="StringTok"/>
    <w:basedOn w:val="VerbatimChar"/>
    <w:rPr>
      <w:rFonts w:ascii="Arial" w:hAnsi="Arial" w:cs="Arial" w:eastAsia="Arial"/>
      <w:color w:val="4070a0"/>
    </w:rPr>
  </w:style>
  <w:style w:type="character" w:customStyle="1" w:styleId="VerbatimStringTok">
    <w:name w:val="VerbatimStringTok"/>
    <w:basedOn w:val="VerbatimChar"/>
    <w:rPr>
      <w:rFonts w:ascii="Arial" w:hAnsi="Arial" w:cs="Arial" w:eastAsia="Arial"/>
      <w:color w:val="4070a0"/>
    </w:rPr>
  </w:style>
  <w:style w:type="character" w:customStyle="1" w:styleId="SpecialStringTok">
    <w:name w:val="SpecialStringTok"/>
    <w:basedOn w:val="VerbatimChar"/>
    <w:rPr>
      <w:rFonts w:ascii="Arial" w:hAnsi="Arial" w:cs="Arial" w:eastAsia="Arial"/>
      <w:color w:val="bb6688"/>
    </w:rPr>
  </w:style>
  <w:style w:type="character" w:customStyle="1" w:styleId="ImportTok">
    <w:name w:val="ImportTok"/>
    <w:basedOn w:val="VerbatimChar"/>
    <w:rPr>
      <w:color w:val="008000"/>
      <w:rFonts w:ascii="Arial" w:hAnsi="Arial" w:cs="Arial" w:eastAsia="Arial"/>
      <w:b/>
    </w:rPr>
  </w:style>
  <w:style w:type="character" w:customStyle="1" w:styleId="CommentTok">
    <w:name w:val="CommentTok"/>
    <w:basedOn w:val="VerbatimChar"/>
    <w:rPr>
      <w:color w:val="60a0b0"/>
      <w:rFonts w:ascii="Arial" w:hAnsi="Arial" w:cs="Arial" w:eastAsia="Arial"/>
      <w:i/>
    </w:rPr>
  </w:style>
  <w:style w:type="character" w:customStyle="1" w:styleId="DocumentationTok">
    <w:name w:val="DocumentationTok"/>
    <w:basedOn w:val="VerbatimChar"/>
    <w:rPr>
      <w:color w:val="ba2121"/>
      <w:rFonts w:ascii="Arial" w:hAnsi="Arial" w:cs="Arial" w:eastAsia="Arial"/>
      <w:i/>
    </w:rPr>
  </w:style>
  <w:style w:type="character" w:customStyle="1" w:styleId="AnnotationTok">
    <w:name w:val="AnnotationTok"/>
    <w:basedOn w:val="VerbatimChar"/>
    <w:rPr>
      <w:color w:val="60a0b0"/>
      <w:rFonts w:ascii="Arial" w:hAnsi="Arial" w:cs="Arial" w:eastAsia="Arial"/>
      <w:b/>
      <w:i/>
    </w:rPr>
  </w:style>
  <w:style w:type="character" w:customStyle="1" w:styleId="CommentVarTok">
    <w:name w:val="CommentVarTok"/>
    <w:basedOn w:val="VerbatimChar"/>
    <w:rPr>
      <w:color w:val="60a0b0"/>
      <w:rFonts w:ascii="Arial" w:hAnsi="Arial" w:cs="Arial" w:eastAsia="Arial"/>
      <w:b/>
      <w:i/>
    </w:rPr>
  </w:style>
  <w:style w:type="character" w:customStyle="1" w:styleId="OtherTok">
    <w:name w:val="OtherTok"/>
    <w:basedOn w:val="VerbatimChar"/>
    <w:rPr>
      <w:rFonts w:ascii="Arial" w:hAnsi="Arial" w:cs="Arial" w:eastAsia="Arial"/>
      <w:color w:val="007020"/>
    </w:rPr>
  </w:style>
  <w:style w:type="character" w:customStyle="1" w:styleId="FunctionTok">
    <w:name w:val="FunctionTok"/>
    <w:basedOn w:val="VerbatimChar"/>
    <w:rPr>
      <w:rFonts w:ascii="Arial" w:hAnsi="Arial" w:cs="Arial" w:eastAsia="Arial"/>
      <w:color w:val="06287e"/>
    </w:rPr>
  </w:style>
  <w:style w:type="character" w:customStyle="1" w:styleId="VariableTok">
    <w:name w:val="VariableTok"/>
    <w:basedOn w:val="VerbatimChar"/>
    <w:rPr>
      <w:rFonts w:ascii="Arial" w:hAnsi="Arial" w:cs="Arial" w:eastAsia="Arial"/>
      <w:color w:val="19177c"/>
    </w:rPr>
  </w:style>
  <w:style w:type="character" w:customStyle="1" w:styleId="ControlFlowTok">
    <w:name w:val="ControlFlowTok"/>
    <w:basedOn w:val="VerbatimChar"/>
    <w:rPr>
      <w:color w:val="007020"/>
      <w:rFonts w:ascii="Arial" w:hAnsi="Arial" w:cs="Arial" w:eastAsia="Arial"/>
      <w:b/>
    </w:rPr>
  </w:style>
  <w:style w:type="character" w:customStyle="1" w:styleId="OperatorTok">
    <w:name w:val="OperatorTok"/>
    <w:basedOn w:val="VerbatimChar"/>
    <w:rPr>
      <w:rFonts w:ascii="Arial" w:hAnsi="Arial" w:cs="Arial" w:eastAsia="Arial"/>
      <w:color w:val="666666"/>
    </w:rPr>
  </w:style>
  <w:style w:type="character" w:customStyle="1" w:styleId="BuiltInTok">
    <w:name w:val="BuiltInTok"/>
    <w:basedOn w:val="VerbatimChar"/>
    <w:rPr>
      <w:rFonts w:ascii="Arial" w:hAnsi="Arial" w:cs="Arial" w:eastAsia="Arial"/>
      <w:color w:val="008000"/>
    </w:rPr>
  </w:style>
  <w:style w:type="character" w:customStyle="1" w:styleId="ExtensionTok">
    <w:name w:val="ExtensionTok"/>
    <w:basedOn w:val="VerbatimChar"/>
    <w:rPr>
      <w:rFonts w:ascii="Arial" w:hAnsi="Arial" w:cs="Arial" w:eastAsia="Arial"/>
    </w:rPr>
  </w:style>
  <w:style w:type="character" w:customStyle="1" w:styleId="PreprocessorTok">
    <w:name w:val="PreprocessorTok"/>
    <w:basedOn w:val="VerbatimChar"/>
    <w:rPr>
      <w:rFonts w:ascii="Arial" w:hAnsi="Arial" w:cs="Arial" w:eastAsia="Arial"/>
      <w:color w:val="bc7a00"/>
    </w:rPr>
  </w:style>
  <w:style w:type="character" w:customStyle="1" w:styleId="AttributeTok">
    <w:name w:val="AttributeTok"/>
    <w:basedOn w:val="VerbatimChar"/>
    <w:rPr>
      <w:rFonts w:ascii="Arial" w:hAnsi="Arial" w:cs="Arial" w:eastAsia="Arial"/>
      <w:color w:val="7d9029"/>
    </w:rPr>
  </w:style>
  <w:style w:type="character" w:customStyle="1" w:styleId="RegionMarkerTok">
    <w:name w:val="RegionMarkerTok"/>
    <w:basedOn w:val="VerbatimChar"/>
    <w:rPr>
      <w:rFonts w:ascii="Arial" w:hAnsi="Arial" w:cs="Arial" w:eastAsia="Arial"/>
    </w:rPr>
  </w:style>
  <w:style w:type="character" w:customStyle="1" w:styleId="InformationTok">
    <w:name w:val="InformationTok"/>
    <w:basedOn w:val="VerbatimChar"/>
    <w:rPr>
      <w:color w:val="60a0b0"/>
      <w:rFonts w:ascii="Arial" w:hAnsi="Arial" w:cs="Arial" w:eastAsia="Arial"/>
      <w:b/>
      <w:i/>
    </w:rPr>
  </w:style>
  <w:style w:type="character" w:customStyle="1" w:styleId="WarningTok">
    <w:name w:val="WarningTok"/>
    <w:basedOn w:val="VerbatimChar"/>
    <w:rPr>
      <w:color w:val="60a0b0"/>
      <w:rFonts w:ascii="Arial" w:hAnsi="Arial" w:cs="Arial" w:eastAsia="Arial"/>
      <w:b/>
      <w:i/>
    </w:rPr>
  </w:style>
  <w:style w:type="character" w:customStyle="1" w:styleId="AlertTok">
    <w:name w:val="AlertTok"/>
    <w:basedOn w:val="VerbatimChar"/>
    <w:rPr>
      <w:color w:val="ff0000"/>
      <w:rFonts w:ascii="Arial" w:hAnsi="Arial" w:cs="Arial" w:eastAsia="Arial"/>
      <w:b/>
    </w:rPr>
  </w:style>
  <w:style w:type="character" w:customStyle="1" w:styleId="ErrorTok">
    <w:name w:val="ErrorTok"/>
    <w:basedOn w:val="VerbatimChar"/>
    <w:rPr>
      <w:color w:val="ff0000"/>
      <w:rFonts w:ascii="Arial" w:hAnsi="Arial" w:cs="Arial" w:eastAsia="Arial"/>
      <w:b/>
    </w:rPr>
  </w:style>
  <w:style w:type="character" w:customStyle="1" w:styleId="NormalTok">
    <w:name w:val="NormalTok"/>
    <w:basedOn w:val="VerbatimChar"/>
    <w:rPr>
      <w:rFonts w:ascii="Arial" w:hAnsi="Arial" w:cs="Arial" w:eastAsia="Arial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2026-09-15T11:02:29Z</dcterms:created>
  <dcterms:modified xsi:type="dcterms:W3CDTF">2026-09-15T11:02:29Z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