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36b8c1c216b8b88046f947a91a664b3e2acb6f8"/>
    <w:p>
      <w:pPr>
        <w:pStyle w:val="Heading1"/>
      </w:pPr>
      <w:r>
        <w:t xml:space="preserve">Guide de l’étudiant — École d’Enseignement Technique et de Formation Professionnelle Mines, Pétrole et Gaz (MPG)</w:t>
      </w:r>
    </w:p>
    <w:p>
      <w:pPr>
        <w:pStyle w:val="FirstParagraph"/>
      </w:pPr>
      <w:r>
        <w:rPr>
          <w:bCs/>
          <w:b/>
        </w:rPr>
        <w:t xml:space="preserve">Nouakchott — République Islamique de Mauritanie</w:t>
      </w:r>
      <w:r>
        <w:t xml:space="preserve"> </w:t>
      </w:r>
      <w:r>
        <w:rPr>
          <w:bCs/>
          <w:b/>
        </w:rPr>
        <w:t xml:space="preserve">Version 1.0 — septembre 2026</w:t>
      </w:r>
    </w:p>
    <w:p>
      <w:r>
        <w:pict>
          <v:rect style="width:0;height:1.5pt" o:hralign="center" o:hrstd="t" o:hr="t"/>
        </w:pict>
      </w:r>
    </w:p>
    <w:bookmarkStart w:id="20" w:name="comment-utiliser-ce-document"/>
    <w:p>
      <w:pPr>
        <w:pStyle w:val="Heading2"/>
      </w:pPr>
      <w:r>
        <w:t xml:space="preserve">0. Comment utiliser ce document</w:t>
      </w:r>
    </w:p>
    <w:p>
      <w:pPr>
        <w:pStyle w:val="FirstParagraph"/>
      </w:pPr>
      <w:r>
        <w:t xml:space="preserve">Ce guide s’adresse à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l’étudiant(e)</w:t>
      </w:r>
      <w:r>
        <w:t xml:space="preserve"> </w:t>
      </w:r>
      <w:r>
        <w:t xml:space="preserve">inscrit(e) à l’école ou candidat(e) à l’admission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l’assistant conversationnel (bot) de l’école</w:t>
      </w:r>
      <w:r>
        <w:t xml:space="preserve">, qui utilise ce document comme base de connaissances pour répondre aux questions des étudiants.</w:t>
      </w:r>
    </w:p>
    <w:p>
      <w:pPr>
        <w:pStyle w:val="FirstParagraph"/>
      </w:pPr>
      <w:r>
        <w:rPr>
          <w:bCs/>
          <w:b/>
        </w:rPr>
        <w:t xml:space="preserve">Règle de base de ce document :</w:t>
      </w:r>
      <w:r>
        <w:t xml:space="preserve"> </w:t>
      </w:r>
      <w:r>
        <w:t xml:space="preserve">chaque information écrite ici provient d’un document officiel de l’école ou d’un référentiel de formation validé. Toute information</w:t>
      </w:r>
      <w:r>
        <w:t xml:space="preserve"> </w:t>
      </w:r>
      <w:r>
        <w:rPr>
          <w:bCs/>
          <w:b/>
        </w:rPr>
        <w:t xml:space="preserve">absente</w:t>
      </w:r>
      <w:r>
        <w:t xml:space="preserve"> </w:t>
      </w:r>
      <w:r>
        <w:t xml:space="preserve">des documents de l’école est laissée visible sous cette forme :</w:t>
      </w:r>
    </w:p>
    <w:p>
      <w:pPr>
        <w:pStyle w:val="BlockText"/>
      </w:pPr>
      <w:r>
        <w:rPr>
          <w:bCs/>
          <w:b/>
        </w:rPr>
        <w:t xml:space="preserve">[à compléter]</w:t>
      </w:r>
    </w:p>
    <w:p>
      <w:pPr>
        <w:pStyle w:val="FirstParagraph"/>
      </w:pPr>
      <w:r>
        <w:t xml:space="preserve">Aucun chiffre, aucune date, aucune procédure n’a été inventé. Ce qui est incertain est explicitement marqué</w:t>
      </w:r>
      <w:r>
        <w:t xml:space="preserve"> </w:t>
      </w:r>
      <w:r>
        <w:rPr>
          <w:bCs/>
          <w:b/>
        </w:rPr>
        <w:t xml:space="preserve">(proposition — à valider)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(à confirmer)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Consigne pour le bot :</w:t>
      </w:r>
      <w:r>
        <w:t xml:space="preserve"> </w:t>
      </w:r>
      <w:r>
        <w:t xml:space="preserve">lorsqu’une réponse est marquée « à compléter », ne pas inventer ; indiquer à l’étudiant que l’information n’est pas encore disponible dans les documents de l’école et l’orienter vers l’administration.</w:t>
      </w:r>
    </w:p>
    <w:p>
      <w:pPr>
        <w:pStyle w:val="BodyText"/>
      </w:pPr>
      <w:r>
        <w:rPr>
          <w:bCs/>
          <w:b/>
        </w:rPr>
        <w:t xml:space="preserve">L’annexe 1</w:t>
      </w:r>
      <w:r>
        <w:t xml:space="preserve">, en fin de document, rassemble toutes les informations manquantes en une seule liste, pour que l’administration les complète en une fois.</w:t>
      </w:r>
    </w:p>
    <w:p>
      <w:r>
        <w:pict>
          <v:rect style="width:0;height:1.5pt" o:hralign="center" o:hrstd="t" o:hr="t"/>
        </w:pict>
      </w:r>
    </w:p>
    <w:bookmarkEnd w:id="20"/>
    <w:bookmarkStart w:id="23" w:name="présentation-de-lécole"/>
    <w:p>
      <w:pPr>
        <w:pStyle w:val="Heading2"/>
      </w:pPr>
      <w:r>
        <w:t xml:space="preserve">1. Présentation de l’école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Intitulé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d’Enseignement Technique et de Formation Professionnelle — Mines, Pétrole et Gaz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EETFP-MPG (également écrit EEFTP-MPG dans certains documents)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Nouakchott, République Islamique de Mauritanie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 chargé de la formation professionnelle</w:t>
            </w:r>
            <w:r>
              <w:t xml:space="preserve"> </w:t>
            </w:r>
            <w:r>
              <w:rPr>
                <w:iCs/>
                <w:i/>
              </w:rPr>
              <w:t xml:space="preserve">(intitulé exact à confirmer : les référentiels de 2021 citent le « Ministère de l’Enseignement Secondaire et de la Formation Technique et Professionnelle », l’école se réfère aujourd’hui au « Ministère de la Formation Professionnelle, de l’Artisanat et des Métiers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Diplôme délivré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Brevet de Technicien Supérieur (BTS)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filières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 et localisation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Téléphone / e-mail / site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bookmarkStart w:id="21" w:name="mission"/>
    <w:p>
      <w:pPr>
        <w:pStyle w:val="Heading3"/>
      </w:pPr>
      <w:r>
        <w:t xml:space="preserve">1.1 Mission</w:t>
      </w:r>
    </w:p>
    <w:p>
      <w:pPr>
        <w:pStyle w:val="FirstParagraph"/>
      </w:pPr>
      <w:r>
        <w:t xml:space="preserve">L’école a pour mission de</w:t>
      </w:r>
      <w:r>
        <w:t xml:space="preserve"> </w:t>
      </w:r>
      <w:r>
        <w:rPr>
          <w:bCs/>
          <w:b/>
        </w:rPr>
        <w:t xml:space="preserve">former des professionnels compétents, responsables et intègres, capables de contribuer au développement durable du secteur énergétique national et régional</w:t>
      </w:r>
      <w:r>
        <w:t xml:space="preserve">.</w:t>
      </w:r>
      <w:r>
        <w:t xml:space="preserve"> </w:t>
      </w:r>
      <w:r>
        <w:rPr>
          <w:iCs/>
          <w:i/>
        </w:rPr>
        <w:t xml:space="preserve">(Source : préambule de la Charte éthique et de déontologie MPG)</w:t>
      </w:r>
    </w:p>
    <w:bookmarkEnd w:id="21"/>
    <w:bookmarkStart w:id="22" w:name="les-six-principes-fondamentaux"/>
    <w:p>
      <w:pPr>
        <w:pStyle w:val="Heading3"/>
      </w:pPr>
      <w:r>
        <w:t xml:space="preserve">1.2 Les six principes fondamentaux</w:t>
      </w:r>
    </w:p>
    <w:p>
      <w:pPr>
        <w:pStyle w:val="FirstParagraph"/>
      </w:pPr>
      <w:r>
        <w:t xml:space="preserve">L’école fonde son action sur six principes, qui engagent le personnel, les formateurs</w:t>
      </w:r>
      <w:r>
        <w:t xml:space="preserve"> </w:t>
      </w:r>
      <w:r>
        <w:rPr>
          <w:bCs/>
          <w:b/>
        </w:rPr>
        <w:t xml:space="preserve">et les apprenants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Intégrité</w:t>
      </w:r>
      <w:r>
        <w:t xml:space="preserve"> </w:t>
      </w:r>
      <w:r>
        <w:t xml:space="preserve">— honnêteté, loyauté et transparence dans toutes les activités.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Équité et non-discrimination</w:t>
      </w:r>
      <w:r>
        <w:t xml:space="preserve"> </w:t>
      </w:r>
      <w:r>
        <w:t xml:space="preserve">— égalité de traitement sans distinction de sexe, d’origine, de religion, d’opinion ou de statut social.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Respect et dignité</w:t>
      </w:r>
      <w:r>
        <w:t xml:space="preserve"> </w:t>
      </w:r>
      <w:r>
        <w:t xml:space="preserve">— respect de la dignité humaine, des opinions et de la diversité culturelle.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Responsabilité professionnelle</w:t>
      </w:r>
      <w:r>
        <w:t xml:space="preserve"> </w:t>
      </w:r>
      <w:r>
        <w:t xml:space="preserve">— assumer ses actes et ses décisions.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Excellence et qualité</w:t>
      </w:r>
      <w:r>
        <w:t xml:space="preserve"> </w:t>
      </w:r>
      <w:r>
        <w:t xml:space="preserve">— recherche permanente de la qualité et de l’amélioration continue.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Sécurité et durabilité</w:t>
      </w:r>
      <w:r>
        <w:t xml:space="preserve"> </w:t>
      </w:r>
      <w:r>
        <w:t xml:space="preserve">— promotion de la sécurité, de la santé et de la protection de l’environnement.</w:t>
      </w:r>
    </w:p>
    <w:p>
      <w:pPr>
        <w:pStyle w:val="FirstParagraph"/>
      </w:pPr>
      <w:r>
        <w:rPr>
          <w:iCs/>
          <w:i/>
        </w:rPr>
        <w:t xml:space="preserve">(Source : article 2 de la Charte, dans l’esprit du RNQ-2025 et de la norme ISO 21001:2018)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es-10-filières"/>
    <w:p>
      <w:pPr>
        <w:pStyle w:val="Heading2"/>
      </w:pPr>
      <w:r>
        <w:t xml:space="preserve">2. Les 10 filières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 visé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horaire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Pétrolière et Gazière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production pétrolière et gazière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Raffinage &amp; Pétrochimie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raffinage et pétrochimie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forage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des réseaux de transport et équipements de traitement du gaz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en maintenance de réseaux gaz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Travaux de Carrières et Mines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travaux de carrières et mines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des Engins de 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maintenance des engins de 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Électromécanique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électromécanique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Métallique / Chaudronnerie-Soudage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en structure métallique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supérieur superviseur QHSE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2120 h</w:t>
            </w:r>
          </w:p>
        </w:tc>
      </w:tr>
    </w:tbl>
    <w:p>
      <w:pPr>
        <w:pStyle w:val="BodyText"/>
      </w:pPr>
      <w:r>
        <w:rPr>
          <w:bCs/>
          <w:b/>
        </w:rPr>
        <w:t xml:space="preserve">Le détail complet de chaque filière</w:t>
      </w:r>
      <w:r>
        <w:t xml:space="preserve"> </w:t>
      </w:r>
      <w:r>
        <w:t xml:space="preserve">(liste des modules, volumes, répartition 1ʳᵉ/2ᵉ année) figure dans le document d’accompagnement :</w:t>
      </w:r>
      <w:r>
        <w:t xml:space="preserve"> </w:t>
      </w:r>
      <w:r>
        <w:rPr>
          <w:bCs/>
          <w:b/>
        </w:rPr>
        <w:t xml:space="preserve">« Programmes de formation et filières »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Point d’attention sur deux intitulés de fichiers sources :</w:t>
      </w:r>
      <w:r>
        <w:t xml:space="preserve"> </w:t>
      </w:r>
      <w:r>
        <w:rPr>
          <w:rStyle w:val="VerbatimChar"/>
        </w:rPr>
        <w:t xml:space="preserve">PF_BTS_Forgeage</w:t>
      </w:r>
      <w:r>
        <w:t xml:space="preserve"> </w:t>
      </w:r>
      <w:r>
        <w:t xml:space="preserve">décrit en réalité le métier de</w:t>
      </w:r>
      <w:r>
        <w:t xml:space="preserve"> </w:t>
      </w:r>
      <w:r>
        <w:rPr>
          <w:bCs/>
          <w:b/>
        </w:rPr>
        <w:t xml:space="preserve">Forage</w:t>
      </w:r>
      <w:r>
        <w:t xml:space="preserve">, et non de forgeage ;</w:t>
      </w:r>
      <w:r>
        <w:t xml:space="preserve"> </w:t>
      </w:r>
      <w:r>
        <w:rPr>
          <w:rStyle w:val="VerbatimChar"/>
        </w:rPr>
        <w:t xml:space="preserve">BTS SI- VERSION 2023</w:t>
      </w:r>
      <w:r>
        <w:t xml:space="preserve"> </w:t>
      </w:r>
      <w:r>
        <w:t xml:space="preserve">décrit le métier de</w:t>
      </w:r>
      <w:r>
        <w:t xml:space="preserve"> </w:t>
      </w:r>
      <w:r>
        <w:rPr>
          <w:bCs/>
          <w:b/>
        </w:rPr>
        <w:t xml:space="preserve">Structure Métallique / Chaudronnerie-Soudage</w:t>
      </w:r>
      <w:r>
        <w:t xml:space="preserve">, et non des « systèmes d’information ». Ces noms de fichiers sont trompeurs et les intitulés réels sont utilisés dans tous les documents internes.</w:t>
      </w:r>
    </w:p>
    <w:p>
      <w:r>
        <w:pict>
          <v:rect style="width:0;height:1.5pt" o:hralign="center" o:hrstd="t" o:hr="t"/>
        </w:pict>
      </w:r>
    </w:p>
    <w:bookmarkEnd w:id="24"/>
    <w:bookmarkStart w:id="25" w:name="admission-et-inscription"/>
    <w:p>
      <w:pPr>
        <w:pStyle w:val="Heading2"/>
      </w:pPr>
      <w:r>
        <w:t xml:space="preserve">3. Admission et inscription</w:t>
      </w:r>
    </w:p>
    <w:p>
      <w:pPr>
        <w:pStyle w:val="FirstParagraph"/>
      </w:pPr>
      <w:r>
        <w:t xml:space="preserve">C’est la rubrique la plus demandée par les candidats — et celle sur laquelle</w:t>
      </w:r>
      <w:r>
        <w:t xml:space="preserve"> </w:t>
      </w:r>
      <w:r>
        <w:rPr>
          <w:bCs/>
          <w:b/>
        </w:rPr>
        <w:t xml:space="preserve">les documents actuels du projet ne contiennent aucune donnée</w:t>
      </w:r>
      <w:r>
        <w:t xml:space="preserve">. Toutes ces lignes doivent être renseignées par l’administration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d’admission (diplôme requis, séries acceptées, âge)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Existe-t-il un concours ou un test de sélection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du dossier de candidature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 d’ouverture et de clôture des inscriptions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Lieu de dépôt / inscription en ligne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d’inscription et de scolarité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places par filière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Bourses et conditions d’attribution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Réorientation ou changement de filière après inscription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Inscription des étudiants étrangers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qui est certain à l’inscription :</w:t>
      </w:r>
      <w:r>
        <w:t xml:space="preserve"> </w:t>
      </w:r>
      <w:r>
        <w:t xml:space="preserve">l’adhésion à la Charte éthique et de déontologie fait l’objet d’un</w:t>
      </w:r>
      <w:r>
        <w:t xml:space="preserve"> </w:t>
      </w:r>
      <w:r>
        <w:rPr>
          <w:bCs/>
          <w:b/>
        </w:rPr>
        <w:t xml:space="preserve">engagement écrit lors de l’inscription</w:t>
      </w:r>
      <w:r>
        <w:t xml:space="preserve">.</w:t>
      </w:r>
      <w:r>
        <w:t xml:space="preserve"> </w:t>
      </w:r>
      <w:r>
        <w:rPr>
          <w:iCs/>
          <w:i/>
        </w:rPr>
        <w:t xml:space="preserve">(Source : article 11 de la Charte)</w:t>
      </w:r>
    </w:p>
    <w:p>
      <w:r>
        <w:pict>
          <v:rect style="width:0;height:1.5pt" o:hralign="center" o:hrstd="t" o:hr="t"/>
        </w:pict>
      </w:r>
    </w:p>
    <w:bookmarkEnd w:id="25"/>
    <w:bookmarkStart w:id="29" w:name="organisation-des-études"/>
    <w:p>
      <w:pPr>
        <w:pStyle w:val="Heading2"/>
      </w:pPr>
      <w:r>
        <w:t xml:space="preserve">4. Organisation des études</w:t>
      </w:r>
    </w:p>
    <w:bookmarkStart w:id="26" w:name="lapproche-par-compétences-apc"/>
    <w:p>
      <w:pPr>
        <w:pStyle w:val="Heading3"/>
      </w:pPr>
      <w:r>
        <w:t xml:space="preserve">4.1 L’approche par compétences (APC)</w:t>
      </w:r>
    </w:p>
    <w:p>
      <w:pPr>
        <w:pStyle w:val="FirstParagraph"/>
      </w:pPr>
      <w:r>
        <w:t xml:space="preserve">Chaque filière est enseignée selon un</w:t>
      </w:r>
      <w:r>
        <w:t xml:space="preserve"> </w:t>
      </w:r>
      <w:r>
        <w:rPr>
          <w:bCs/>
          <w:b/>
        </w:rPr>
        <w:t xml:space="preserve">référentiel de formation officiel</w:t>
      </w:r>
      <w:r>
        <w:t xml:space="preserve"> </w:t>
      </w:r>
      <w:r>
        <w:t xml:space="preserve">construit en</w:t>
      </w:r>
      <w:r>
        <w:t xml:space="preserve"> </w:t>
      </w:r>
      <w:r>
        <w:rPr>
          <w:bCs/>
          <w:b/>
        </w:rPr>
        <w:t xml:space="preserve">approche par compétences</w:t>
      </w:r>
      <w:r>
        <w:t xml:space="preserve">. Concrètement, pour l’étudiant :</w:t>
      </w:r>
    </w:p>
    <w:p>
      <w:pPr>
        <w:numPr>
          <w:ilvl w:val="0"/>
          <w:numId w:val="1003"/>
        </w:numPr>
        <w:pStyle w:val="Compact"/>
      </w:pPr>
      <w:r>
        <w:t xml:space="preserve">la formation est découpée en</w:t>
      </w:r>
      <w:r>
        <w:t xml:space="preserve"> </w:t>
      </w:r>
      <w:r>
        <w:rPr>
          <w:bCs/>
          <w:b/>
        </w:rPr>
        <w:t xml:space="preserve">modules</w:t>
      </w:r>
      <w:r>
        <w:t xml:space="preserve">, chacun visant une</w:t>
      </w:r>
      <w:r>
        <w:t xml:space="preserve"> </w:t>
      </w:r>
      <w:r>
        <w:rPr>
          <w:bCs/>
          <w:b/>
        </w:rPr>
        <w:t xml:space="preserve">compétence</w:t>
      </w:r>
      <w:r>
        <w:t xml:space="preserve"> </w:t>
      </w:r>
      <w:r>
        <w:t xml:space="preserve">précise ;</w:t>
      </w:r>
    </w:p>
    <w:p>
      <w:pPr>
        <w:numPr>
          <w:ilvl w:val="0"/>
          <w:numId w:val="1003"/>
        </w:numPr>
        <w:pStyle w:val="Compact"/>
      </w:pPr>
      <w:r>
        <w:t xml:space="preserve">une compétence n’est pas un savoir, c’est un</w:t>
      </w:r>
      <w:r>
        <w:t xml:space="preserve"> </w:t>
      </w:r>
      <w:r>
        <w:rPr>
          <w:bCs/>
          <w:b/>
        </w:rPr>
        <w:t xml:space="preserve">pouvoir d’agir</w:t>
      </w:r>
      <w:r>
        <w:t xml:space="preserve"> </w:t>
      </w:r>
      <w:r>
        <w:t xml:space="preserve">: connaissances + habiletés + attitudes professionnelles ;</w:t>
      </w:r>
    </w:p>
    <w:p>
      <w:pPr>
        <w:numPr>
          <w:ilvl w:val="0"/>
          <w:numId w:val="1003"/>
        </w:numPr>
        <w:pStyle w:val="Compact"/>
      </w:pPr>
      <w:r>
        <w:t xml:space="preserve">chaque module annonce ses</w:t>
      </w:r>
      <w:r>
        <w:t xml:space="preserve"> </w:t>
      </w:r>
      <w:r>
        <w:rPr>
          <w:bCs/>
          <w:b/>
        </w:rPr>
        <w:t xml:space="preserve">critères de performance</w:t>
      </w:r>
      <w:r>
        <w:t xml:space="preserve">, qui servent de référence à l’évaluation ;</w:t>
      </w:r>
    </w:p>
    <w:p>
      <w:pPr>
        <w:numPr>
          <w:ilvl w:val="0"/>
          <w:numId w:val="1003"/>
        </w:numPr>
        <w:pStyle w:val="Compact"/>
      </w:pPr>
      <w:r>
        <w:t xml:space="preserve">chaque compétence s’exerce dans un</w:t>
      </w:r>
      <w:r>
        <w:t xml:space="preserve"> </w:t>
      </w:r>
      <w:r>
        <w:rPr>
          <w:bCs/>
          <w:b/>
        </w:rPr>
        <w:t xml:space="preserve">contexte de réalisation</w:t>
      </w:r>
      <w:r>
        <w:t xml:space="preserve"> </w:t>
      </w:r>
      <w:r>
        <w:t xml:space="preserve">défini (individuellement ou en groupe, avec des documents et des équipements précis).</w:t>
      </w:r>
    </w:p>
    <w:p>
      <w:pPr>
        <w:pStyle w:val="FirstParagraph"/>
      </w:pPr>
      <w:r>
        <w:rPr>
          <w:bCs/>
          <w:b/>
        </w:rPr>
        <w:t xml:space="preserve">Intérêt pratique :</w:t>
      </w:r>
      <w:r>
        <w:t xml:space="preserve"> </w:t>
      </w:r>
      <w:r>
        <w:t xml:space="preserve">l’étudiant sait, dès le début d’un module, ce qui est exigé de lui pour le réussir.</w:t>
      </w:r>
    </w:p>
    <w:bookmarkEnd w:id="26"/>
    <w:bookmarkStart w:id="27" w:name="structure-de-lannée"/>
    <w:p>
      <w:pPr>
        <w:pStyle w:val="Heading3"/>
      </w:pPr>
      <w:r>
        <w:t xml:space="preserve">4.2 Structure de l’année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de la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ans (1ʳᵉ et 2ᵉ année)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Semaines de cours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Semaines de stage par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(semaines 33 à 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hebdomadaire de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h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Jours de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jours : du lundi au samedi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Horaire 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heures : de 8h00 à 14h00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Régime de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h/semaine, à temps plein en entreprise</w:t>
            </w:r>
          </w:p>
        </w:tc>
      </w:tr>
    </w:tbl>
    <w:p>
      <w:pPr>
        <w:pStyle w:val="BodyText"/>
      </w:pPr>
      <w:r>
        <w:rPr>
          <w:iCs/>
          <w:i/>
        </w:rPr>
        <w:t xml:space="preserve">(Source : méthodologie des emplois du temps et de la planification calendaire 2026-2027)</w:t>
      </w:r>
    </w:p>
    <w:p>
      <w:pPr>
        <w:pStyle w:val="BlockText"/>
      </w:pPr>
      <w:r>
        <w:rPr>
          <w:bCs/>
          <w:b/>
        </w:rPr>
        <w:t xml:space="preserve">Réserve :</w:t>
      </w:r>
      <w:r>
        <w:t xml:space="preserve"> </w:t>
      </w:r>
      <w:r>
        <w:t xml:space="preserve">la répartition jour par jour dans les emplois du temps actuels est une</w:t>
      </w:r>
      <w:r>
        <w:t xml:space="preserve"> </w:t>
      </w:r>
      <w:r>
        <w:rPr>
          <w:bCs/>
          <w:b/>
        </w:rPr>
        <w:t xml:space="preserve">construction algorithmique modifiable</w:t>
      </w:r>
      <w:r>
        <w:t xml:space="preserve">, pas un emploi du temps arbitré par l’équipe pédagogique. Le planning affiché à l’école fait foi.</w:t>
      </w:r>
    </w:p>
    <w:bookmarkEnd w:id="27"/>
    <w:bookmarkStart w:id="28" w:name="qui-enseigne-quoi"/>
    <w:p>
      <w:pPr>
        <w:pStyle w:val="Heading3"/>
      </w:pPr>
      <w:r>
        <w:t xml:space="preserve">4.3 Qui enseigne quoi</w:t>
      </w:r>
    </w:p>
    <w:p>
      <w:pPr>
        <w:pStyle w:val="FirstParagraph"/>
      </w:pPr>
      <w:r>
        <w:t xml:space="preserve">Les noms des formateurs, leur affectation aux modules ainsi que les noms des ateliers et des salles sont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 </w:t>
      </w:r>
      <w:r>
        <w:t xml:space="preserve">: les documents actuels utilisent des libellés génériques (« Formateur 1 », « At-EM »…) en attendant l’affectation réelle.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alendrier-scolaire-2026-2027"/>
    <w:p>
      <w:pPr>
        <w:pStyle w:val="Heading2"/>
      </w:pPr>
      <w:r>
        <w:t xml:space="preserve">5. Calendrier scolaire 2026-2027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de certitude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mardi 6 octobre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</w:t>
            </w:r>
            <w:r>
              <w:t xml:space="preserve"> </w:t>
            </w:r>
            <w:r>
              <w:t xml:space="preserve">par la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Vacances de décembre (10 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décembre 2026 → 2 janvier 2027, reprise le lundi 4 janvier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 — à valider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Vacances de mars (10 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→ 15 mars 2027, reprise le mardi 16 mars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 — à valider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des cours (S32)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samedi 29 mai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Calculé à partir de la rentrée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des stages (S36)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samedi 26 juin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Calculé</w:t>
            </w:r>
          </w:p>
        </w:tc>
      </w:tr>
    </w:tbl>
    <w:bookmarkStart w:id="30" w:name="jours-fériés-de-lannée"/>
    <w:p>
      <w:pPr>
        <w:pStyle w:val="Heading3"/>
      </w:pPr>
      <w:r>
        <w:t xml:space="preserve">5.1 Jours fériés de l’année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samedi 28 novembre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Fête de l’Indépendance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Certain</w:t>
            </w:r>
            <w:r>
              <w:t xml:space="preserve"> </w:t>
            </w:r>
            <w:r>
              <w:t xml:space="preserve">(date civile fixe)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vendredi 1ᵉʳ janvier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 (tombe dans les vacances de décembre)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10-11 mars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Aïd el-Fitr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Estimation (±1-2 jours)</w:t>
            </w:r>
            <w:r>
              <w:t xml:space="preserve"> </w:t>
            </w:r>
            <w:r>
              <w:t xml:space="preserve">— dépend de l’observation lunaire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samedi 1ᵉʳ mai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Fête du Travail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Certain</w:t>
            </w:r>
            <w:r>
              <w:t xml:space="preserve"> </w:t>
            </w:r>
            <w:r>
              <w:t xml:space="preserve">(date civile fixe)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17-18 mai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Aïd el-Adha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Estimation (±1-2 jours)</w:t>
            </w:r>
            <w:r>
              <w:t xml:space="preserve"> </w:t>
            </w:r>
            <w:r>
              <w:t xml:space="preserve">— dépend de l’observation lunaire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Pour l’étudiant :</w:t>
      </w:r>
      <w:r>
        <w:t xml:space="preserve"> </w:t>
      </w:r>
      <w:r>
        <w:t xml:space="preserve">les dates lunaires ne sont officiellement confirmées que quelques jours avant. C’est toujours l’annonce officielle de l’école qui fait foi.</w:t>
      </w:r>
    </w:p>
    <w:p>
      <w:pPr>
        <w:pStyle w:val="BlockText"/>
      </w:pPr>
      <w:r>
        <w:rPr>
          <w:bCs/>
          <w:b/>
        </w:rPr>
        <w:t xml:space="preserve">Précision honnête :</w:t>
      </w:r>
      <w:r>
        <w:t xml:space="preserve"> </w:t>
      </w:r>
      <w:r>
        <w:t xml:space="preserve">la rentrée tombant un mardi, la semaine 1 ne compte que 5 jours de cours (30 h au lieu de 36 h).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évaluation-passage-et-diplôme"/>
    <w:p>
      <w:pPr>
        <w:pStyle w:val="Heading2"/>
      </w:pPr>
      <w:r>
        <w:t xml:space="preserve">6. Évaluation, passage et diplôme</w:t>
      </w:r>
    </w:p>
    <w:bookmarkStart w:id="32" w:name="comment-létudiant-est-évalué"/>
    <w:p>
      <w:pPr>
        <w:pStyle w:val="Heading3"/>
      </w:pPr>
      <w:r>
        <w:t xml:space="preserve">6.1 Comment l’étudiant est évalué</w:t>
      </w:r>
    </w:p>
    <w:p>
      <w:pPr>
        <w:pStyle w:val="FirstParagraph"/>
      </w:pPr>
      <w:r>
        <w:t xml:space="preserve">En approche par compétences, l’évaluation s’appuie sur les</w:t>
      </w:r>
      <w:r>
        <w:t xml:space="preserve"> </w:t>
      </w:r>
      <w:r>
        <w:rPr>
          <w:bCs/>
          <w:b/>
        </w:rPr>
        <w:t xml:space="preserve">critères de performance annoncés dans chaque module</w:t>
      </w:r>
      <w:r>
        <w:t xml:space="preserve">, et non sur la restitution de connaissances seule. Elle porte sur :</w:t>
      </w:r>
    </w:p>
    <w:p>
      <w:pPr>
        <w:numPr>
          <w:ilvl w:val="0"/>
          <w:numId w:val="1004"/>
        </w:numPr>
        <w:pStyle w:val="Compact"/>
      </w:pPr>
      <w:r>
        <w:t xml:space="preserve">l’évaluation théorique (savoirs) ;</w:t>
      </w:r>
    </w:p>
    <w:p>
      <w:pPr>
        <w:numPr>
          <w:ilvl w:val="0"/>
          <w:numId w:val="1004"/>
        </w:numPr>
        <w:pStyle w:val="Compact"/>
      </w:pPr>
      <w:r>
        <w:t xml:space="preserve">l’évaluation pratique en atelier/laboratoire (mises en situation professionnelles) ;</w:t>
      </w:r>
    </w:p>
    <w:p>
      <w:pPr>
        <w:numPr>
          <w:ilvl w:val="0"/>
          <w:numId w:val="1004"/>
        </w:numPr>
        <w:pStyle w:val="Compact"/>
      </w:pPr>
      <w:r>
        <w:t xml:space="preserve">les attitudes professionnelles (respect des règles de sécurité, assiduité, travail en équipe).</w:t>
      </w:r>
    </w:p>
    <w:bookmarkEnd w:id="32"/>
    <w:bookmarkStart w:id="33" w:name="moments-dévaluation"/>
    <w:p>
      <w:pPr>
        <w:pStyle w:val="Heading3"/>
      </w:pPr>
      <w:r>
        <w:t xml:space="preserve">6.2 Moments d’évaluation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Évaluation de fin de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fin de chaque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 générique — à valider par l’équipe pédagogique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de mi-parcours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 générique — à valider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de fin d’année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 générique — à valider</w:t>
            </w:r>
          </w:p>
        </w:tc>
      </w:tr>
    </w:tbl>
    <w:p>
      <w:pPr>
        <w:pStyle w:val="BlockText"/>
      </w:pPr>
      <w:r>
        <w:t xml:space="preserve">Pour être clair : le calendrier d’évaluation présent dans les fichiers actuels est une</w:t>
      </w:r>
      <w:r>
        <w:t xml:space="preserve"> </w:t>
      </w:r>
      <w:r>
        <w:rPr>
          <w:bCs/>
          <w:b/>
        </w:rPr>
        <w:t xml:space="preserve">proposition générique automatique</w:t>
      </w:r>
      <w:r>
        <w:t xml:space="preserve">, non issue d’un calendrier d’examens validé. Le calendrier officiel est celui publié par la direction.</w:t>
      </w:r>
    </w:p>
    <w:bookmarkEnd w:id="33"/>
    <w:bookmarkStart w:id="34" w:name="ce-qui-nest-pas-encore-défini"/>
    <w:p>
      <w:pPr>
        <w:pStyle w:val="Heading3"/>
      </w:pPr>
      <w:r>
        <w:t xml:space="preserve">6.3 Ce qui n’est pas encore défini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ou seuil de réussite d’un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de passage de la 1ʳᵉ à la 2ᵉ année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Dispositif de rattrapage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et modalités de redoublement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du jury de délibération et de l’examen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Modalités et délais de délivrance du diplôme et des relevés de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Procédure de recours sur une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bookmarkEnd w:id="34"/>
    <w:bookmarkStart w:id="35" w:name="intégrité-académique-tolérance-zéro"/>
    <w:p>
      <w:pPr>
        <w:pStyle w:val="Heading3"/>
      </w:pPr>
      <w:r>
        <w:t xml:space="preserve">6.4 Intégrité académique — tolérance zéro</w:t>
      </w:r>
    </w:p>
    <w:p>
      <w:pPr>
        <w:pStyle w:val="FirstParagraph"/>
      </w:pPr>
      <w:r>
        <w:t xml:space="preserve">L’école applique une</w:t>
      </w:r>
      <w:r>
        <w:t xml:space="preserve"> </w:t>
      </w:r>
      <w:r>
        <w:rPr>
          <w:bCs/>
          <w:b/>
        </w:rPr>
        <w:t xml:space="preserve">tolérance zéro</w:t>
      </w:r>
      <w:r>
        <w:t xml:space="preserve"> </w:t>
      </w:r>
      <w:r>
        <w:t xml:space="preserve">à l’égard de :</w:t>
      </w:r>
    </w:p>
    <w:p>
      <w:pPr>
        <w:numPr>
          <w:ilvl w:val="0"/>
          <w:numId w:val="1005"/>
        </w:numPr>
        <w:pStyle w:val="Compact"/>
      </w:pPr>
      <w:r>
        <w:t xml:space="preserve">la fraude aux examens ;</w:t>
      </w:r>
    </w:p>
    <w:p>
      <w:pPr>
        <w:numPr>
          <w:ilvl w:val="0"/>
          <w:numId w:val="1005"/>
        </w:numPr>
        <w:pStyle w:val="Compact"/>
      </w:pPr>
      <w:r>
        <w:t xml:space="preserve">le plagiat ;</w:t>
      </w:r>
    </w:p>
    <w:p>
      <w:pPr>
        <w:numPr>
          <w:ilvl w:val="0"/>
          <w:numId w:val="1005"/>
        </w:numPr>
        <w:pStyle w:val="Compact"/>
      </w:pPr>
      <w:r>
        <w:t xml:space="preserve">la falsification de documents ;</w:t>
      </w:r>
    </w:p>
    <w:p>
      <w:pPr>
        <w:numPr>
          <w:ilvl w:val="0"/>
          <w:numId w:val="1005"/>
        </w:numPr>
        <w:pStyle w:val="Compact"/>
      </w:pPr>
      <w:r>
        <w:t xml:space="preserve">toute tentative d’influence indue (y compris cadeaux ou faveurs influençant une décision).</w:t>
      </w:r>
    </w:p>
    <w:p>
      <w:pPr>
        <w:pStyle w:val="FirstParagraph"/>
      </w:pPr>
      <w:r>
        <w:t xml:space="preserve">Des sanctions sont prononcées conformément aux procédures en vigueur.</w:t>
      </w:r>
      <w:r>
        <w:t xml:space="preserve"> </w:t>
      </w:r>
      <w:r>
        <w:rPr>
          <w:iCs/>
          <w:i/>
        </w:rPr>
        <w:t xml:space="preserve">(Source : articles 6 et 7 de la Charte)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es-stages"/>
    <w:p>
      <w:pPr>
        <w:pStyle w:val="Heading2"/>
      </w:pPr>
      <w:r>
        <w:t xml:space="preserve">7. Les stages</w:t>
      </w:r>
    </w:p>
    <w:p>
      <w:pPr>
        <w:pStyle w:val="FirstParagraph"/>
      </w:pPr>
      <w:r>
        <w:t xml:space="preserve">Chaque filière comporte</w:t>
      </w:r>
      <w:r>
        <w:t xml:space="preserve"> </w:t>
      </w:r>
      <w:r>
        <w:rPr>
          <w:bCs/>
          <w:b/>
        </w:rPr>
        <w:t xml:space="preserve">deux stages obligatoires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160 heures</w:t>
      </w:r>
      <w:r>
        <w:t xml:space="preserve"> </w:t>
      </w:r>
      <w:r>
        <w:t xml:space="preserve">chacun, soit 4 semaines à 40 h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Intitulé au référentiel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Initiation au milieu de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semaines 33-36 de la 1ʳᵉ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Découvrir le métier, observer les pratiques, expérimenter des tâches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au milieu de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semaines 33-36 de la 2ᵉ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Réaliser de véritables tâches professionnelles et préparer l’embauche</w:t>
            </w:r>
          </w:p>
        </w:tc>
      </w:tr>
    </w:tbl>
    <w:bookmarkStart w:id="37" w:name="ce-qui-est-attendu-de-létudiant"/>
    <w:p>
      <w:pPr>
        <w:pStyle w:val="Heading3"/>
      </w:pPr>
      <w:r>
        <w:t xml:space="preserve">7.1 Ce qui est attendu de l’étudiant</w:t>
      </w:r>
    </w:p>
    <w:p>
      <w:pPr>
        <w:pStyle w:val="FirstParagraph"/>
      </w:pPr>
      <w:r>
        <w:t xml:space="preserve">Directement issu du référentiel de compétences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Préparer le stage</w:t>
      </w:r>
      <w:r>
        <w:t xml:space="preserve"> </w:t>
      </w:r>
      <w:r>
        <w:t xml:space="preserve">: identifier les objectifs et modalités, appliquer les démarches de recherche d’un lieu de stage, dresser la liste de ses connaissances et habiletés.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Observer</w:t>
      </w:r>
      <w:r>
        <w:t xml:space="preserve"> </w:t>
      </w:r>
      <w:r>
        <w:t xml:space="preserve">: observer le contexte de travail et la réalisation des tâches, communiquer positivement avec les employés.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Pratiquer</w:t>
      </w:r>
      <w:r>
        <w:t xml:space="preserve"> </w:t>
      </w:r>
      <w:r>
        <w:t xml:space="preserve">: exécuter des tâches liées à la formation, en respectant strictement le règlement de l’entreprise, les règles de santé et sécurité et l’éthique professionnelle.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Tenir un journal de bord</w:t>
      </w:r>
      <w:r>
        <w:t xml:space="preserve"> </w:t>
      </w:r>
      <w:r>
        <w:t xml:space="preserve">: consigner précisément les travaux réalisés.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Rédiger le rapport de stage</w:t>
      </w:r>
      <w:r>
        <w:t xml:space="preserve"> </w:t>
      </w:r>
      <w:r>
        <w:t xml:space="preserve">conformément au modèle, en s’appuyant sur le journal de bord.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Restituer</w:t>
      </w:r>
      <w:r>
        <w:t xml:space="preserve"> </w:t>
      </w:r>
      <w:r>
        <w:t xml:space="preserve">: présenter le bilan de son expérience au groupe et comparer les apprentissages du référentiel avec les activités observées.</w:t>
      </w:r>
    </w:p>
    <w:bookmarkEnd w:id="37"/>
    <w:bookmarkStart w:id="38" w:name="X4ccf4769ef60175671b6c925cce3ea9434f0ee2"/>
    <w:p>
      <w:pPr>
        <w:pStyle w:val="Heading3"/>
      </w:pPr>
      <w:r>
        <w:t xml:space="preserve">7.2 Critères d’évaluation du stage (référentiel)</w:t>
      </w:r>
    </w:p>
    <w:p>
      <w:pPr>
        <w:numPr>
          <w:ilvl w:val="0"/>
          <w:numId w:val="1007"/>
        </w:numPr>
        <w:pStyle w:val="Compact"/>
      </w:pPr>
      <w:r>
        <w:t xml:space="preserve">préparation judicieuse du stage ;</w:t>
      </w:r>
    </w:p>
    <w:p>
      <w:pPr>
        <w:numPr>
          <w:ilvl w:val="0"/>
          <w:numId w:val="1007"/>
        </w:numPr>
        <w:pStyle w:val="Compact"/>
      </w:pPr>
      <w:r>
        <w:t xml:space="preserve">respect du règlement en vigueur de l’entreprise ;</w:t>
      </w:r>
    </w:p>
    <w:p>
      <w:pPr>
        <w:numPr>
          <w:ilvl w:val="0"/>
          <w:numId w:val="1007"/>
        </w:numPr>
        <w:pStyle w:val="Compact"/>
      </w:pPr>
      <w:r>
        <w:t xml:space="preserve">respect des règles de santé et de sécurité au travail ;</w:t>
      </w:r>
    </w:p>
    <w:p>
      <w:pPr>
        <w:numPr>
          <w:ilvl w:val="0"/>
          <w:numId w:val="1007"/>
        </w:numPr>
        <w:pStyle w:val="Compact"/>
      </w:pPr>
      <w:r>
        <w:t xml:space="preserve">respect de l’intégrité des biens de l’entreprise ;</w:t>
      </w:r>
    </w:p>
    <w:p>
      <w:pPr>
        <w:numPr>
          <w:ilvl w:val="0"/>
          <w:numId w:val="1007"/>
        </w:numPr>
        <w:pStyle w:val="Compact"/>
      </w:pPr>
      <w:r>
        <w:t xml:space="preserve">attitudes et comportements favorisant la réussite du stage ;</w:t>
      </w:r>
    </w:p>
    <w:p>
      <w:pPr>
        <w:numPr>
          <w:ilvl w:val="0"/>
          <w:numId w:val="1007"/>
        </w:numPr>
        <w:pStyle w:val="Compact"/>
      </w:pPr>
      <w:r>
        <w:t xml:space="preserve">clarté du rapport et qualité de l’échange d’expérience.</w:t>
      </w:r>
    </w:p>
    <w:bookmarkEnd w:id="38"/>
    <w:bookmarkStart w:id="39" w:name="ce-qui-reste-à-préciser"/>
    <w:p>
      <w:pPr>
        <w:pStyle w:val="Heading3"/>
      </w:pPr>
      <w:r>
        <w:t xml:space="preserve">7.3 Ce qui reste à préciser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L’école place-t-elle les stagiaires ou l’étudiant cherche-t-il lui-même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  <w:r>
              <w:t xml:space="preserve"> </w:t>
            </w:r>
            <w:r>
              <w:t xml:space="preserve">(le référentiel prévoit que l’étudiant applique « les démarches de recherche d’un lieu de stage », mais la politique de l’école n’est pas documentée)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 de stage : qui la signe, où la retirer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 et couverture des accidents pendant le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et hébergement pour un stage hors Nouakchott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de rapport de stage et délai de dépôt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faire si aucune entreprise d’accueil n’est trouvée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vie-scolaire-et-discipline"/>
    <w:p>
      <w:pPr>
        <w:pStyle w:val="Heading2"/>
      </w:pPr>
      <w:r>
        <w:t xml:space="preserve">8. Vie scolaire et discipline</w:t>
      </w:r>
    </w:p>
    <w:bookmarkStart w:id="41" w:name="X6a473f38ecf0c9b4b3de535e25027249e50c7a9"/>
    <w:p>
      <w:pPr>
        <w:pStyle w:val="Heading3"/>
      </w:pPr>
      <w:r>
        <w:t xml:space="preserve">8.1 Engagements de l’apprenant — le texte qui engage</w:t>
      </w:r>
    </w:p>
    <w:p>
      <w:pPr>
        <w:pStyle w:val="FirstParagraph"/>
      </w:pPr>
      <w:r>
        <w:t xml:space="preserve">En vertu de l’article 5 de la Charte, l’apprenant s’engage à :</w:t>
      </w:r>
    </w:p>
    <w:p>
      <w:pPr>
        <w:numPr>
          <w:ilvl w:val="0"/>
          <w:numId w:val="1008"/>
        </w:numPr>
        <w:pStyle w:val="Compact"/>
      </w:pPr>
      <w:r>
        <w:t xml:space="preserve">respecter le règlement intérieur, la Charte et les valeurs de l’école ;</w:t>
      </w:r>
    </w:p>
    <w:p>
      <w:pPr>
        <w:numPr>
          <w:ilvl w:val="0"/>
          <w:numId w:val="1008"/>
        </w:numPr>
        <w:pStyle w:val="Compact"/>
      </w:pPr>
      <w:r>
        <w:t xml:space="preserve">adopter un comportement respectueux envers le personnel et ses pairs ;</w:t>
      </w:r>
    </w:p>
    <w:p>
      <w:pPr>
        <w:numPr>
          <w:ilvl w:val="0"/>
          <w:numId w:val="1008"/>
        </w:numPr>
        <w:pStyle w:val="Compact"/>
      </w:pPr>
      <w:r>
        <w:t xml:space="preserve">faire preuve d’assiduité, de discipline et de sérieux ;</w:t>
      </w:r>
    </w:p>
    <w:p>
      <w:pPr>
        <w:numPr>
          <w:ilvl w:val="0"/>
          <w:numId w:val="1008"/>
        </w:numPr>
        <w:pStyle w:val="Compact"/>
      </w:pPr>
      <w:r>
        <w:t xml:space="preserve">refuser toute forme de fraude, de tricherie ou de plagiat ;</w:t>
      </w:r>
    </w:p>
    <w:p>
      <w:pPr>
        <w:numPr>
          <w:ilvl w:val="0"/>
          <w:numId w:val="1008"/>
        </w:numPr>
        <w:pStyle w:val="Compact"/>
      </w:pPr>
      <w:r>
        <w:t xml:space="preserve">respecter les règles de sécurité, d’hygiène et de protection de l’environnement ;</w:t>
      </w:r>
    </w:p>
    <w:p>
      <w:pPr>
        <w:numPr>
          <w:ilvl w:val="0"/>
          <w:numId w:val="1008"/>
        </w:numPr>
        <w:pStyle w:val="Compact"/>
      </w:pPr>
      <w:r>
        <w:t xml:space="preserve">utiliser les équipements et infrastructures de manière responsable.</w:t>
      </w:r>
    </w:p>
    <w:bookmarkEnd w:id="41"/>
    <w:bookmarkStart w:id="42" w:name="X2b1ae1231085c19733feb27fc7fdc707e769669"/>
    <w:p>
      <w:pPr>
        <w:pStyle w:val="Heading3"/>
      </w:pPr>
      <w:r>
        <w:t xml:space="preserve">8.2 Sécurité en atelier et en laboratoire — point critique</w:t>
      </w:r>
    </w:p>
    <w:p>
      <w:pPr>
        <w:pStyle w:val="FirstParagraph"/>
      </w:pPr>
      <w:r>
        <w:t xml:space="preserve">C’est une école des mines, du pétrole et du gaz : la formation se déroule sur des engins lourds, des produits chimiques et des équipements sous pression. Les règles de sécurité n’y sont pas formelles.</w:t>
      </w:r>
    </w:p>
    <w:p>
      <w:pPr>
        <w:pStyle w:val="BodyText"/>
      </w:pPr>
      <w:r>
        <w:t xml:space="preserve">Principes qui s’imposent, tels qu’ils ressortent des référentiels et de la Charte :</w:t>
      </w:r>
    </w:p>
    <w:p>
      <w:pPr>
        <w:numPr>
          <w:ilvl w:val="0"/>
          <w:numId w:val="1009"/>
        </w:numPr>
        <w:pStyle w:val="Compact"/>
      </w:pPr>
      <w:r>
        <w:t xml:space="preserve">porter les</w:t>
      </w:r>
      <w:r>
        <w:t xml:space="preserve"> </w:t>
      </w:r>
      <w:r>
        <w:rPr>
          <w:bCs/>
          <w:b/>
        </w:rPr>
        <w:t xml:space="preserve">équipements de protection individuelle (EPI)</w:t>
      </w:r>
      <w:r>
        <w:t xml:space="preserve"> </w:t>
      </w:r>
      <w:r>
        <w:t xml:space="preserve">exigés pour chaque activité pratique ;</w:t>
      </w:r>
    </w:p>
    <w:p>
      <w:pPr>
        <w:numPr>
          <w:ilvl w:val="0"/>
          <w:numId w:val="1009"/>
        </w:numPr>
        <w:pStyle w:val="Compact"/>
      </w:pPr>
      <w:r>
        <w:t xml:space="preserve">respecter la signalisation de sécurité et le balisage des zones dangereuses ;</w:t>
      </w:r>
    </w:p>
    <w:p>
      <w:pPr>
        <w:numPr>
          <w:ilvl w:val="0"/>
          <w:numId w:val="1009"/>
        </w:numPr>
        <w:pStyle w:val="Compact"/>
      </w:pPr>
      <w:r>
        <w:t xml:space="preserve">ne mettre en marche aucune machine sans autorisation du formateur et sans formation préalable ;</w:t>
      </w:r>
    </w:p>
    <w:p>
      <w:pPr>
        <w:numPr>
          <w:ilvl w:val="0"/>
          <w:numId w:val="1009"/>
        </w:numPr>
        <w:pStyle w:val="Compact"/>
      </w:pPr>
      <w:r>
        <w:t xml:space="preserve">respecter les procédures de</w:t>
      </w:r>
      <w:r>
        <w:t xml:space="preserve"> </w:t>
      </w:r>
      <w:r>
        <w:rPr>
          <w:bCs/>
          <w:b/>
        </w:rPr>
        <w:t xml:space="preserve">consignation/déconsignation</w:t>
      </w:r>
      <w:r>
        <w:t xml:space="preserve"> </w:t>
      </w:r>
      <w:r>
        <w:t xml:space="preserve">avant toute intervention ;</w:t>
      </w:r>
    </w:p>
    <w:p>
      <w:pPr>
        <w:numPr>
          <w:ilvl w:val="0"/>
          <w:numId w:val="1009"/>
        </w:numPr>
        <w:pStyle w:val="Compact"/>
      </w:pPr>
      <w:r>
        <w:t xml:space="preserve">connaître les procédures d’urgence, l’emplacement des moyens d’extinction et de la trousse de secours ;</w:t>
      </w:r>
    </w:p>
    <w:p>
      <w:pPr>
        <w:numPr>
          <w:ilvl w:val="0"/>
          <w:numId w:val="1009"/>
        </w:numPr>
        <w:pStyle w:val="Compact"/>
      </w:pPr>
      <w:r>
        <w:t xml:space="preserve">signaler immédiatement tout accident, presqu’accident ou fuite.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fournit les EPI — l’école ou l’étudiant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Tenue obligatoire en atelier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Procédure de déclaration d’un accident à l’école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de santé / premiers secours sur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bookmarkEnd w:id="42"/>
    <w:bookmarkStart w:id="43" w:name="absences-et-retards"/>
    <w:p>
      <w:pPr>
        <w:pStyle w:val="Heading3"/>
      </w:pPr>
      <w:r>
        <w:t xml:space="preserve">8.3 Absences et retards</w:t>
      </w:r>
    </w:p>
    <w:p>
      <w:pPr>
        <w:pStyle w:val="FirstParagraph"/>
      </w:pPr>
      <w:r>
        <w:t xml:space="preserve">L’assiduité est un engagement explicite de la Charte. Les modalités pratiques, elles, ne sont pas documentées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justifier une absence, et auprès de qui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 d’absences toléré avant sanction ou exclusion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 des retards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 à une évaluation : quelle procédure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bookmarkEnd w:id="43"/>
    <w:bookmarkStart w:id="44" w:name="sanctions"/>
    <w:p>
      <w:pPr>
        <w:pStyle w:val="Heading3"/>
      </w:pPr>
      <w:r>
        <w:t xml:space="preserve">8.4 Sanctions</w:t>
      </w:r>
    </w:p>
    <w:p>
      <w:pPr>
        <w:pStyle w:val="FirstParagraph"/>
      </w:pPr>
      <w:r>
        <w:t xml:space="preserve">Tout manquement à la Charte expose son auteur à :</w:t>
      </w:r>
    </w:p>
    <w:p>
      <w:pPr>
        <w:numPr>
          <w:ilvl w:val="0"/>
          <w:numId w:val="1010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mesures disciplinaires</w:t>
      </w:r>
      <w:r>
        <w:t xml:space="preserve"> 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des</w:t>
      </w:r>
      <w:r>
        <w:t xml:space="preserve"> </w:t>
      </w:r>
      <w:r>
        <w:rPr>
          <w:bCs/>
          <w:b/>
        </w:rPr>
        <w:t xml:space="preserve">sanctions académiques</w:t>
      </w:r>
      <w:r>
        <w:t xml:space="preserve"> 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voire des</w:t>
      </w:r>
      <w:r>
        <w:t xml:space="preserve"> </w:t>
      </w:r>
      <w:r>
        <w:rPr>
          <w:bCs/>
          <w:b/>
        </w:rPr>
        <w:t xml:space="preserve">poursuites prévues par la loi</w:t>
      </w:r>
      <w:r>
        <w:t xml:space="preserve">, selon la gravité des faits.</w:t>
      </w:r>
    </w:p>
    <w:p>
      <w:pPr>
        <w:pStyle w:val="FirstParagraph"/>
      </w:pPr>
      <w:r>
        <w:rPr>
          <w:iCs/>
          <w:i/>
        </w:rPr>
        <w:t xml:space="preserve">(Source : article 10 de la Charte)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Échelle détaillée des sanctions (avertissement, blâme, exclusion temporaire…)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et procédure du conseil de discipline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Droit de l’étudiant à être entendu et à faire appel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droits-de-létudiant"/>
    <w:p>
      <w:pPr>
        <w:pStyle w:val="Heading2"/>
      </w:pPr>
      <w:r>
        <w:t xml:space="preserve">9. Droits de l’étudiant</w:t>
      </w:r>
    </w:p>
    <w:p>
      <w:pPr>
        <w:pStyle w:val="FirstParagraph"/>
      </w:pPr>
      <w:r>
        <w:t xml:space="preserve">En contrepartie des engagements, la Charte garantit à l’apprenant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Égalité de traitement et non-discrimination</w:t>
            </w:r>
            <w:r>
              <w:t xml:space="preserve"> </w:t>
            </w:r>
            <w:r>
              <w:t xml:space="preserve">(sexe, origine, religion, opinion, statut social)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Évaluation équitable, objective et transparente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 et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Enseignement conforme aux programmes et référentiels validés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Climat pédagogique respectueux et inclusif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Protection des données personnelles et académiques</w:t>
            </w:r>
            <w:r>
              <w:t xml:space="preserve"> </w:t>
            </w:r>
            <w:r>
              <w:t xml:space="preserve">; tout usage abusif ou divulgation non autorisée constitue une faute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Dispositif de signalement confidentiel</w:t>
            </w:r>
            <w:r>
              <w:t xml:space="preserve">, avec</w:t>
            </w:r>
            <w:r>
              <w:t xml:space="preserve"> </w:t>
            </w:r>
            <w:r>
              <w:rPr>
                <w:bCs/>
                <w:b/>
              </w:rPr>
              <w:t xml:space="preserve">protection du lanceur d’alerte contre toute représaille</w:t>
            </w:r>
            <w:r>
              <w:t xml:space="preserve"> </w:t>
            </w:r>
            <w:r>
              <w:t xml:space="preserve">et traitement impartial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Remise de la Charte</w:t>
            </w:r>
            <w:r>
              <w:t xml:space="preserve"> </w:t>
            </w:r>
            <w:r>
              <w:t xml:space="preserve">à chaque apprenant, affichage dans les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 concret du signalement confidentiel (adresse, boîte, référent)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Existe-t-il une représentation des apprenants (délégués de classe)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services-aux-étudiants"/>
    <w:p>
      <w:pPr>
        <w:pStyle w:val="Heading2"/>
      </w:pPr>
      <w:r>
        <w:t xml:space="preserve">10. Services aux étudiants</w:t>
      </w:r>
    </w:p>
    <w:p>
      <w:pPr>
        <w:pStyle w:val="FirstParagraph"/>
      </w:pPr>
      <w:r>
        <w:t xml:space="preserve">Les documents actuels du projet ne contiennent aucune information documentée sur les services. Toute cette rubrique est à renseigner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scolaire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 / hébergement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Bibliothèque et ressources pédagogiques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Salle informatique et accès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Activités sportives et culturelles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Bourses et aides sociales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Accompagnement des étudiants en difficulté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insertion-professionnelle"/>
    <w:p>
      <w:pPr>
        <w:pStyle w:val="Heading2"/>
      </w:pPr>
      <w:r>
        <w:t xml:space="preserve">11. Insertion professionnelle</w:t>
      </w:r>
    </w:p>
    <w:bookmarkStart w:id="48" w:name="dans-le-programme-lui-même"/>
    <w:p>
      <w:pPr>
        <w:pStyle w:val="Heading3"/>
      </w:pPr>
      <w:r>
        <w:t xml:space="preserve">11.1 Dans le programme lui-même</w:t>
      </w:r>
    </w:p>
    <w:p>
      <w:pPr>
        <w:pStyle w:val="FirstParagraph"/>
      </w:pPr>
      <w:r>
        <w:t xml:space="preserve">Les dix référentiels comportent des modules directement tournés vers l’emploi 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« Métier et formation »</w:t>
      </w:r>
      <w:r>
        <w:t xml:space="preserve"> </w:t>
      </w:r>
      <w:r>
        <w:t xml:space="preserve">(30 h) en début de parcours : découvrir la réalité du métier et confirmer son orientation 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« Techniques de recherche d’emploi »</w:t>
      </w:r>
      <w:r>
        <w:t xml:space="preserve"> </w:t>
      </w:r>
      <w:r>
        <w:t xml:space="preserve">(30 h) en fin de parcours : CV, lettre de motivation, analyse des offres, entretien de recrutement 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les deux stages</w:t>
      </w:r>
      <w:r>
        <w:t xml:space="preserve"> </w:t>
      </w:r>
      <w:r>
        <w:t xml:space="preserve">(320 h au total), passerelle directe vers les entreprises 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l’anglais technique</w:t>
      </w:r>
      <w:r>
        <w:t xml:space="preserve"> </w:t>
      </w:r>
      <w:r>
        <w:t xml:space="preserve">et la communication professionnelle dans presque toutes les filières.</w:t>
      </w:r>
    </w:p>
    <w:bookmarkEnd w:id="48"/>
    <w:bookmarkStart w:id="49" w:name="lenergy-skills-forum"/>
    <w:p>
      <w:pPr>
        <w:pStyle w:val="Heading3"/>
      </w:pPr>
      <w:r>
        <w:t xml:space="preserve">11.2 L’Energy Skills Forum</w:t>
      </w:r>
    </w:p>
    <w:p>
      <w:pPr>
        <w:pStyle w:val="FirstParagraph"/>
      </w:pPr>
      <w:r>
        <w:t xml:space="preserve">L’école prépare un forum annuel de deux journées réunissant étudiants, formateurs, entreprises et institutions :</w:t>
      </w:r>
    </w:p>
    <w:p>
      <w:pPr>
        <w:numPr>
          <w:ilvl w:val="0"/>
          <w:numId w:val="1012"/>
        </w:numPr>
        <w:pStyle w:val="Compact"/>
      </w:pPr>
      <w:r>
        <w:t xml:space="preserve">conférences et panels sur le secteur énergétique, la transition énergétique et les besoins en compétences des employeurs ;</w:t>
      </w:r>
    </w:p>
    <w:p>
      <w:pPr>
        <w:numPr>
          <w:ilvl w:val="0"/>
          <w:numId w:val="1012"/>
        </w:numPr>
        <w:pStyle w:val="Compact"/>
      </w:pPr>
      <w:r>
        <w:t xml:space="preserve">ateliers pratiques, démonstrations et masterclasses 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job dating</w:t>
      </w:r>
      <w:r>
        <w:t xml:space="preserve"> </w:t>
      </w:r>
      <w:r>
        <w:t xml:space="preserve">et CVthèque ;</w:t>
      </w:r>
    </w:p>
    <w:p>
      <w:pPr>
        <w:numPr>
          <w:ilvl w:val="0"/>
          <w:numId w:val="1012"/>
        </w:numPr>
        <w:pStyle w:val="Compact"/>
      </w:pPr>
      <w:r>
        <w:t xml:space="preserve">exposition, espace networking et signature de conventions de partenariat.</w:t>
      </w:r>
    </w:p>
    <w:p>
      <w:pPr>
        <w:pStyle w:val="FirstParagraph"/>
      </w:pPr>
      <w:r>
        <w:t xml:space="preserve">Objectifs annoncés : offrir aux étudiants et diplômés</w:t>
      </w:r>
      <w:r>
        <w:t xml:space="preserve"> </w:t>
      </w:r>
      <w:r>
        <w:rPr>
          <w:bCs/>
          <w:b/>
        </w:rPr>
        <w:t xml:space="preserve">des opportunités concrètes de stages, d’apprentissage et de recrutement</w:t>
      </w:r>
      <w:r>
        <w:t xml:space="preserve">.</w:t>
      </w:r>
    </w:p>
    <w:p>
      <w:pPr>
        <w:pStyle w:val="BlockText"/>
      </w:pPr>
      <w:r>
        <w:t xml:space="preserve">Statut : projet en préparation — dates, lieu et partenaires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.</w:t>
      </w:r>
    </w:p>
    <w:bookmarkEnd w:id="49"/>
    <w:bookmarkStart w:id="50" w:name="données-non-disponibles"/>
    <w:p>
      <w:pPr>
        <w:pStyle w:val="Heading3"/>
      </w:pPr>
      <w:r>
        <w:t xml:space="preserve">11.3 Données non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d’insertion des diplômés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  <w:r>
              <w:t xml:space="preserve"> </w:t>
            </w:r>
            <w:r>
              <w:t xml:space="preserve">(les documents de l’école signalent explicitement que cette donnée reste à documenter à partir de sources officielles)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des entreprises partenaires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Poursuite d’études après le BTS (licence professionnelle, cycle ingénieur…)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glossaire"/>
    <w:p>
      <w:pPr>
        <w:pStyle w:val="Heading2"/>
      </w:pPr>
      <w:r>
        <w:t xml:space="preserve">12. Glossaire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Brevet de Technicien Supérieur, diplôme délivré après 2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 par compétences : construire la formation sur des compétences mesurables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Référentiel de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officiel définissant les modules, compétences et volumes horaires d’une filière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Composante du programme visant une compétence (de 30 à 160 heures)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Compétence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Pouvoir d’agir permettant de réaliser une tâche professionnelle (savoirs + habiletés + attitudes)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Critères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Exigences annoncées qui servent de référence à l’évaluation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Chronogramme / Logigramme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Répartition des modules sur les semaines de l’année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 en entreprise (160 h par stage)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de protection individuelle (casque, lunettes, gants, chaussures de sécurité…)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HSE / QHSE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Hygiène-Sécurité-Environnement / Qualité-HSE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 d’isolement et de sécurisation d’un équipement avant 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la maintenance assistée par ordinateur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Réglementation des atmosphères explosives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INAP-FTP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 National de Promotion de la Formation Technique et Professionnelle, chargé de l’élaboration des référentiels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ontacts-internes"/>
    <w:p>
      <w:pPr>
        <w:pStyle w:val="Heading2"/>
      </w:pPr>
      <w:r>
        <w:t xml:space="preserve">13. Contacts internes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Inscriptions et dossiers administratifs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Affaires pédagogiques et emplois du temps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Stages et relations entreprises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Examens et diplômes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Affaires sociales et bourses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et santé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Signalement éthique (confidentiel)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cfb8d2257b95639a1ed10fab20efe32fbe90c60"/>
    <w:p>
      <w:pPr>
        <w:pStyle w:val="Heading2"/>
      </w:pPr>
      <w:r>
        <w:t xml:space="preserve">Annexe 1 — Liste des informations à compléter</w:t>
      </w:r>
    </w:p>
    <w:p>
      <w:pPr>
        <w:pStyle w:val="FirstParagraph"/>
      </w:pPr>
      <w:r>
        <w:t xml:space="preserve">Récapitulatif de tous les</w:t>
      </w:r>
      <w:r>
        <w:t xml:space="preserve"> </w:t>
      </w:r>
      <w:r>
        <w:rPr>
          <w:bCs/>
          <w:b/>
        </w:rPr>
        <w:t xml:space="preserve">[à compléter]</w:t>
      </w:r>
      <w:r>
        <w:t xml:space="preserve"> </w:t>
      </w:r>
      <w:r>
        <w:t xml:space="preserve">du guide, à renseigner en une seule fois :</w:t>
      </w:r>
    </w:p>
    <w:p>
      <w:pPr>
        <w:pStyle w:val="BodyText"/>
      </w:pPr>
      <w:r>
        <w:rPr>
          <w:bCs/>
          <w:b/>
        </w:rPr>
        <w:t xml:space="preserve">A. Identité de l’école</w:t>
      </w:r>
      <w:r>
        <w:t xml:space="preserve"> </w:t>
      </w:r>
      <w:r>
        <w:t xml:space="preserve">1. Adresse exacte et localisation</w:t>
      </w:r>
      <w:r>
        <w:t xml:space="preserve"> </w:t>
      </w:r>
      <w:r>
        <w:t xml:space="preserve">2. Téléphone, e-mail, site et pages officielles</w:t>
      </w:r>
      <w:r>
        <w:t xml:space="preserve"> </w:t>
      </w:r>
      <w:r>
        <w:t xml:space="preserve">3. Intitulé exact du ministère de tutelle</w:t>
      </w:r>
      <w:r>
        <w:t xml:space="preserve"> </w:t>
      </w:r>
      <w:r>
        <w:t xml:space="preserve">4. Harmonisation du sigle : EETFP-MPG ou EEFTP-MPG</w:t>
      </w:r>
    </w:p>
    <w:p>
      <w:pPr>
        <w:pStyle w:val="BodyText"/>
      </w:pPr>
      <w:r>
        <w:rPr>
          <w:bCs/>
          <w:b/>
        </w:rPr>
        <w:t xml:space="preserve">B. Inscription</w:t>
      </w:r>
      <w:r>
        <w:t xml:space="preserve"> </w:t>
      </w:r>
      <w:r>
        <w:t xml:space="preserve">5. Conditions d’admission et diplôme requis</w:t>
      </w:r>
      <w:r>
        <w:t xml:space="preserve"> </w:t>
      </w:r>
      <w:r>
        <w:t xml:space="preserve">6. Existence et nature d’un concours/test</w:t>
      </w:r>
      <w:r>
        <w:t xml:space="preserve"> </w:t>
      </w:r>
      <w:r>
        <w:t xml:space="preserve">7. Pièces du dossier de candidature</w:t>
      </w:r>
      <w:r>
        <w:t xml:space="preserve"> </w:t>
      </w:r>
      <w:r>
        <w:t xml:space="preserve">8. Dates d’inscription</w:t>
      </w:r>
      <w:r>
        <w:t xml:space="preserve"> </w:t>
      </w:r>
      <w:r>
        <w:t xml:space="preserve">9. Frais</w:t>
      </w:r>
      <w:r>
        <w:t xml:space="preserve"> </w:t>
      </w:r>
      <w:r>
        <w:t xml:space="preserve">10. Nombre de places par filière</w:t>
      </w:r>
      <w:r>
        <w:t xml:space="preserve"> </w:t>
      </w:r>
      <w:r>
        <w:t xml:space="preserve">11. Bourses et conditions</w:t>
      </w:r>
      <w:r>
        <w:t xml:space="preserve"> </w:t>
      </w:r>
      <w:r>
        <w:t xml:space="preserve">12. Changement de filière</w:t>
      </w:r>
      <w:r>
        <w:t xml:space="preserve"> </w:t>
      </w:r>
      <w:r>
        <w:t xml:space="preserve">13. Inscription des étudiants étrangers</w:t>
      </w:r>
    </w:p>
    <w:p>
      <w:pPr>
        <w:pStyle w:val="BodyText"/>
      </w:pPr>
      <w:r>
        <w:rPr>
          <w:bCs/>
          <w:b/>
        </w:rPr>
        <w:t xml:space="preserve">C. Pédagogie et évaluation</w:t>
      </w:r>
      <w:r>
        <w:t xml:space="preserve"> </w:t>
      </w:r>
      <w:r>
        <w:t xml:space="preserve">14. Noms des formateurs et affectation aux modules</w:t>
      </w:r>
      <w:r>
        <w:t xml:space="preserve"> </w:t>
      </w:r>
      <w:r>
        <w:t xml:space="preserve">15. Noms des ateliers et salles</w:t>
      </w:r>
      <w:r>
        <w:t xml:space="preserve"> </w:t>
      </w:r>
      <w:r>
        <w:t xml:space="preserve">16. Emploi du temps définitif validé</w:t>
      </w:r>
      <w:r>
        <w:t xml:space="preserve"> </w:t>
      </w:r>
      <w:r>
        <w:t xml:space="preserve">17. Validation des dates des vacances de décembre et de mars</w:t>
      </w:r>
      <w:r>
        <w:t xml:space="preserve"> </w:t>
      </w:r>
      <w:r>
        <w:t xml:space="preserve">18. Calendrier officiel des évaluations</w:t>
      </w:r>
      <w:r>
        <w:t xml:space="preserve"> </w:t>
      </w:r>
      <w:r>
        <w:t xml:space="preserve">19. Seuil de réussite d’un module</w:t>
      </w:r>
      <w:r>
        <w:t xml:space="preserve"> </w:t>
      </w:r>
      <w:r>
        <w:t xml:space="preserve">20. Conditions de passage en 2ᵉ année</w:t>
      </w:r>
      <w:r>
        <w:t xml:space="preserve"> </w:t>
      </w:r>
      <w:r>
        <w:t xml:space="preserve">21. Rattrapage et redoublement</w:t>
      </w:r>
      <w:r>
        <w:t xml:space="preserve"> </w:t>
      </w:r>
      <w:r>
        <w:t xml:space="preserve">22. Composition du jury</w:t>
      </w:r>
      <w:r>
        <w:t xml:space="preserve"> </w:t>
      </w:r>
      <w:r>
        <w:t xml:space="preserve">23. Procédure de recours</w:t>
      </w:r>
      <w:r>
        <w:t xml:space="preserve"> </w:t>
      </w:r>
      <w:r>
        <w:t xml:space="preserve">24. Délais de délivrance des diplômes et relevés</w:t>
      </w:r>
    </w:p>
    <w:p>
      <w:pPr>
        <w:pStyle w:val="BodyText"/>
      </w:pPr>
      <w:r>
        <w:rPr>
          <w:bCs/>
          <w:b/>
        </w:rPr>
        <w:t xml:space="preserve">D. Stages</w:t>
      </w:r>
      <w:r>
        <w:t xml:space="preserve"> </w:t>
      </w:r>
      <w:r>
        <w:t xml:space="preserve">25. Politique de placement en stage</w:t>
      </w:r>
      <w:r>
        <w:t xml:space="preserve"> </w:t>
      </w:r>
      <w:r>
        <w:t xml:space="preserve">26. Convention de stage et assurance</w:t>
      </w:r>
      <w:r>
        <w:t xml:space="preserve"> </w:t>
      </w:r>
      <w:r>
        <w:t xml:space="preserve">27. Modèle et délai du rapport de stage</w:t>
      </w:r>
      <w:r>
        <w:t xml:space="preserve"> </w:t>
      </w:r>
      <w:r>
        <w:t xml:space="preserve">28. Solution en cas d’absence d’entreprise d’accueil</w:t>
      </w:r>
    </w:p>
    <w:p>
      <w:pPr>
        <w:pStyle w:val="BodyText"/>
      </w:pPr>
      <w:r>
        <w:rPr>
          <w:bCs/>
          <w:b/>
        </w:rPr>
        <w:t xml:space="preserve">E. Vie scolaire</w:t>
      </w:r>
      <w:r>
        <w:t xml:space="preserve"> </w:t>
      </w:r>
      <w:r>
        <w:t xml:space="preserve">29. Règlement intérieur complet (texte officiel)</w:t>
      </w:r>
      <w:r>
        <w:t xml:space="preserve"> </w:t>
      </w:r>
      <w:r>
        <w:t xml:space="preserve">30. Gestion des absences et retards, seuils</w:t>
      </w:r>
      <w:r>
        <w:t xml:space="preserve"> </w:t>
      </w:r>
      <w:r>
        <w:t xml:space="preserve">31. Échelle des sanctions et conseil de discipline</w:t>
      </w:r>
      <w:r>
        <w:t xml:space="preserve"> </w:t>
      </w:r>
      <w:r>
        <w:t xml:space="preserve">32. Fourniture des EPI et tenue obligatoire</w:t>
      </w:r>
      <w:r>
        <w:t xml:space="preserve"> </w:t>
      </w:r>
      <w:r>
        <w:t xml:space="preserve">33. Déclaration des accidents et service de santé</w:t>
      </w:r>
      <w:r>
        <w:t xml:space="preserve"> </w:t>
      </w:r>
      <w:r>
        <w:t xml:space="preserve">34. Canal de signalement éthique confidentiel</w:t>
      </w:r>
      <w:r>
        <w:t xml:space="preserve"> </w:t>
      </w:r>
      <w:r>
        <w:t xml:space="preserve">35. Délégués de classe / représentation des apprenants</w:t>
      </w:r>
    </w:p>
    <w:p>
      <w:pPr>
        <w:pStyle w:val="BodyText"/>
      </w:pPr>
      <w:r>
        <w:rPr>
          <w:bCs/>
          <w:b/>
        </w:rPr>
        <w:t xml:space="preserve">F. Services</w:t>
      </w:r>
      <w:r>
        <w:t xml:space="preserve"> </w:t>
      </w:r>
      <w:r>
        <w:t xml:space="preserve">36. Transport, restauration, internat, bibliothèque, internet, activités, accompagnement</w:t>
      </w:r>
    </w:p>
    <w:p>
      <w:pPr>
        <w:pStyle w:val="BodyText"/>
      </w:pPr>
      <w:r>
        <w:rPr>
          <w:bCs/>
          <w:b/>
        </w:rPr>
        <w:t xml:space="preserve">G. Insertion</w:t>
      </w:r>
      <w:r>
        <w:t xml:space="preserve"> </w:t>
      </w:r>
      <w:r>
        <w:t xml:space="preserve">37. Taux d’insertion et liste des partenaires</w:t>
      </w:r>
      <w:r>
        <w:t xml:space="preserve"> </w:t>
      </w:r>
      <w:r>
        <w:t xml:space="preserve">38. Poursuite d’études après le BTS</w:t>
      </w:r>
      <w:r>
        <w:t xml:space="preserve"> </w:t>
      </w:r>
      <w:r>
        <w:t xml:space="preserve">39. Dates et lieu de l’Energy Skills Forum</w:t>
      </w:r>
    </w:p>
    <w:p>
      <w:r>
        <w:pict>
          <v:rect style="width:0;height:1.5pt" o:hralign="center" o:hrstd="t" o:hr="t"/>
        </w:pict>
      </w:r>
    </w:p>
    <w:bookmarkEnd w:id="54"/>
    <w:bookmarkStart w:id="55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Document rédigé exclusivement à partir de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Charte éthique et de déontologie MPG</w:t>
      </w:r>
      <w:r>
        <w:t xml:space="preserve"> </w:t>
      </w:r>
      <w:r>
        <w:t xml:space="preserve">(versions arabe et française) — valeurs, engagements des apprenants, intégrité académique, sanctions, droits.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Les dix référentiels de formation (PF/RF BTS)</w:t>
      </w:r>
      <w:r>
        <w:t xml:space="preserve"> </w:t>
      </w:r>
      <w:r>
        <w:t xml:space="preserve">— filières, modules, volumes horaires, stages, compétences.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Méthodologie de la planification calendaire 2026-2027</w:t>
      </w:r>
      <w:r>
        <w:t xml:space="preserve"> </w:t>
      </w:r>
      <w:r>
        <w:t xml:space="preserve">— dates, vacances, jours fériés.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Méthodologie des emplois du temps</w:t>
      </w:r>
      <w:r>
        <w:t xml:space="preserve"> </w:t>
      </w:r>
      <w:r>
        <w:t xml:space="preserve">— 6 jours × 6 heures = 36 h/semaine.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Méthodologie des logigrammes (10 filières)</w:t>
      </w:r>
      <w:r>
        <w:t xml:space="preserve"> </w:t>
      </w:r>
      <w:r>
        <w:t xml:space="preserve">— structure des deux années, répartition des modules, stages.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Note conceptuelle de l’Energy Skills Forum</w:t>
      </w:r>
      <w:r>
        <w:t xml:space="preserve"> </w:t>
      </w:r>
      <w:r>
        <w:t xml:space="preserve">— insertion professionnelle.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  <w:rPr>
      <w:rFonts w:ascii="Calibri" w:hAnsi="Calibri" w:cs="Calibri" w:eastAsia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 w:cs="Calibri" w:eastAsia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cs="Calibri" w:eastAsia="Calibri"/>
    </w:rPr>
  </w:style>
  <w:style w:customStyle="1" w:styleId="VerbatimChar" w:type="character">
    <w:name w:val="Verbatim Char"/>
    <w:basedOn w:val="BodyTextChar"/>
    <w:rPr>
      <w:rFonts w:ascii="Calibri" w:hAnsi="Calibri" w:cs="Calibri" w:eastAsia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cs="Calibri" w:eastAsia="Calibri"/>
    </w:rPr>
  </w:style>
  <w:style w:styleId="FootnoteReference" w:type="character">
    <w:name w:val="Footnote Reference"/>
    <w:basedOn w:val="BodyTextChar"/>
    <w:rPr>
      <w:rFonts w:ascii="Calibri" w:hAnsi="Calibri" w:cs="Calibri" w:eastAsia="Calibri"/>
      <w:vertAlign w:val="superscript"/>
    </w:rPr>
  </w:style>
  <w:style w:styleId="Hyperlink" w:type="character">
    <w:name w:val="Hyperlink"/>
    <w:basedOn w:val="BodyTextChar"/>
    <w:rPr>
      <w:rFonts w:ascii="Calibri" w:hAnsi="Calibri" w:cs="Calibri" w:eastAsia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rFonts w:ascii="Calibri" w:hAnsi="Calibri" w:cs="Calibri" w:eastAsia="Calibri"/>
      <w:b/>
    </w:rPr>
  </w:style>
  <w:style w:type="character" w:customStyle="1" w:styleId="DataTypeTok">
    <w:name w:val="DataTypeTok"/>
    <w:basedOn w:val="VerbatimChar"/>
    <w:rPr>
      <w:rFonts w:ascii="Calibri" w:hAnsi="Calibri" w:cs="Calibri" w:eastAsia="Calibri"/>
      <w:color w:val="902000"/>
    </w:rPr>
  </w:style>
  <w:style w:type="character" w:customStyle="1" w:styleId="DecValTok">
    <w:name w:val="DecValTok"/>
    <w:basedOn w:val="VerbatimChar"/>
    <w:rPr>
      <w:rFonts w:ascii="Calibri" w:hAnsi="Calibri" w:cs="Calibri" w:eastAsia="Calibri"/>
      <w:color w:val="40a070"/>
    </w:rPr>
  </w:style>
  <w:style w:type="character" w:customStyle="1" w:styleId="BaseNTok">
    <w:name w:val="BaseNTok"/>
    <w:basedOn w:val="VerbatimChar"/>
    <w:rPr>
      <w:rFonts w:ascii="Calibri" w:hAnsi="Calibri" w:cs="Calibri" w:eastAsia="Calibri"/>
      <w:color w:val="40a070"/>
    </w:rPr>
  </w:style>
  <w:style w:type="character" w:customStyle="1" w:styleId="FloatTok">
    <w:name w:val="FloatTok"/>
    <w:basedOn w:val="VerbatimChar"/>
    <w:rPr>
      <w:rFonts w:ascii="Calibri" w:hAnsi="Calibri" w:cs="Calibri" w:eastAsia="Calibri"/>
      <w:color w:val="40a070"/>
    </w:rPr>
  </w:style>
  <w:style w:type="character" w:customStyle="1" w:styleId="ConstantTok">
    <w:name w:val="ConstantTok"/>
    <w:basedOn w:val="VerbatimChar"/>
    <w:rPr>
      <w:rFonts w:ascii="Calibri" w:hAnsi="Calibri" w:cs="Calibri" w:eastAsia="Calibri"/>
      <w:color w:val="880000"/>
    </w:rPr>
  </w:style>
  <w:style w:type="character" w:customStyle="1" w:styleId="CharTok">
    <w:name w:val="CharTok"/>
    <w:basedOn w:val="VerbatimChar"/>
    <w:rPr>
      <w:rFonts w:ascii="Calibri" w:hAnsi="Calibri" w:cs="Calibri" w:eastAsia="Calibri"/>
      <w:color w:val="4070a0"/>
    </w:rPr>
  </w:style>
  <w:style w:type="character" w:customStyle="1" w:styleId="SpecialCharTok">
    <w:name w:val="SpecialCharTok"/>
    <w:basedOn w:val="VerbatimChar"/>
    <w:rPr>
      <w:rFonts w:ascii="Calibri" w:hAnsi="Calibri" w:cs="Calibri" w:eastAsia="Calibri"/>
      <w:color w:val="4070a0"/>
    </w:rPr>
  </w:style>
  <w:style w:type="character" w:customStyle="1" w:styleId="StringTok">
    <w:name w:val="StringTok"/>
    <w:basedOn w:val="VerbatimChar"/>
    <w:rPr>
      <w:rFonts w:ascii="Calibri" w:hAnsi="Calibri" w:cs="Calibri" w:eastAsia="Calibri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 w:cs="Calibri" w:eastAsia="Calibri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 w:cs="Calibri" w:eastAsia="Calibri"/>
      <w:color w:val="bb6688"/>
    </w:rPr>
  </w:style>
  <w:style w:type="character" w:customStyle="1" w:styleId="ImportTok">
    <w:name w:val="ImportTok"/>
    <w:basedOn w:val="VerbatimChar"/>
    <w:rPr>
      <w:color w:val="008000"/>
      <w:rFonts w:ascii="Calibri" w:hAnsi="Calibri" w:cs="Calibri" w:eastAsia="Calibri"/>
      <w:b/>
    </w:rPr>
  </w:style>
  <w:style w:type="character" w:customStyle="1" w:styleId="CommentTok">
    <w:name w:val="CommentTok"/>
    <w:basedOn w:val="VerbatimChar"/>
    <w:rPr>
      <w:color w:val="60a0b0"/>
      <w:rFonts w:ascii="Calibri" w:hAnsi="Calibri" w:cs="Calibri" w:eastAsia="Calibri"/>
      <w:i/>
    </w:rPr>
  </w:style>
  <w:style w:type="character" w:customStyle="1" w:styleId="DocumentationTok">
    <w:name w:val="DocumentationTok"/>
    <w:basedOn w:val="VerbatimChar"/>
    <w:rPr>
      <w:color w:val="ba2121"/>
      <w:rFonts w:ascii="Calibri" w:hAnsi="Calibri" w:cs="Calibri" w:eastAsia="Calibri"/>
      <w:i/>
    </w:rPr>
  </w:style>
  <w:style w:type="character" w:customStyle="1" w:styleId="AnnotationTok">
    <w:name w:val="AnnotationTok"/>
    <w:basedOn w:val="VerbatimChar"/>
    <w:rPr>
      <w:color w:val="60a0b0"/>
      <w:rFonts w:ascii="Calibri" w:hAnsi="Calibri" w:cs="Calibri" w:eastAsia="Calibri"/>
      <w:b/>
      <w:i/>
    </w:rPr>
  </w:style>
  <w:style w:type="character" w:customStyle="1" w:styleId="CommentVarTok">
    <w:name w:val="CommentVarTok"/>
    <w:basedOn w:val="VerbatimChar"/>
    <w:rPr>
      <w:color w:val="60a0b0"/>
      <w:rFonts w:ascii="Calibri" w:hAnsi="Calibri" w:cs="Calibri" w:eastAsia="Calibri"/>
      <w:b/>
      <w:i/>
    </w:rPr>
  </w:style>
  <w:style w:type="character" w:customStyle="1" w:styleId="OtherTok">
    <w:name w:val="OtherTok"/>
    <w:basedOn w:val="VerbatimChar"/>
    <w:rPr>
      <w:rFonts w:ascii="Calibri" w:hAnsi="Calibri" w:cs="Calibri" w:eastAsia="Calibri"/>
      <w:color w:val="007020"/>
    </w:rPr>
  </w:style>
  <w:style w:type="character" w:customStyle="1" w:styleId="FunctionTok">
    <w:name w:val="FunctionTok"/>
    <w:basedOn w:val="VerbatimChar"/>
    <w:rPr>
      <w:rFonts w:ascii="Calibri" w:hAnsi="Calibri" w:cs="Calibri" w:eastAsia="Calibri"/>
      <w:color w:val="06287e"/>
    </w:rPr>
  </w:style>
  <w:style w:type="character" w:customStyle="1" w:styleId="VariableTok">
    <w:name w:val="VariableTok"/>
    <w:basedOn w:val="VerbatimChar"/>
    <w:rPr>
      <w:rFonts w:ascii="Calibri" w:hAnsi="Calibri" w:cs="Calibri" w:eastAsia="Calibr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Calibri" w:hAnsi="Calibri" w:cs="Calibri" w:eastAsia="Calibri"/>
      <w:b/>
    </w:rPr>
  </w:style>
  <w:style w:type="character" w:customStyle="1" w:styleId="OperatorTok">
    <w:name w:val="OperatorTok"/>
    <w:basedOn w:val="VerbatimChar"/>
    <w:rPr>
      <w:rFonts w:ascii="Calibri" w:hAnsi="Calibri" w:cs="Calibri" w:eastAsia="Calibri"/>
      <w:color w:val="666666"/>
    </w:rPr>
  </w:style>
  <w:style w:type="character" w:customStyle="1" w:styleId="BuiltInTok">
    <w:name w:val="BuiltInTok"/>
    <w:basedOn w:val="VerbatimChar"/>
    <w:rPr>
      <w:rFonts w:ascii="Calibri" w:hAnsi="Calibri" w:cs="Calibri" w:eastAsia="Calibri"/>
      <w:color w:val="008000"/>
    </w:rPr>
  </w:style>
  <w:style w:type="character" w:customStyle="1" w:styleId="ExtensionTok">
    <w:name w:val="ExtensionTok"/>
    <w:basedOn w:val="VerbatimChar"/>
    <w:rPr>
      <w:rFonts w:ascii="Calibri" w:hAnsi="Calibri" w:cs="Calibri" w:eastAsia="Calibri"/>
    </w:rPr>
  </w:style>
  <w:style w:type="character" w:customStyle="1" w:styleId="PreprocessorTok">
    <w:name w:val="PreprocessorTok"/>
    <w:basedOn w:val="VerbatimChar"/>
    <w:rPr>
      <w:rFonts w:ascii="Calibri" w:hAnsi="Calibri" w:cs="Calibri" w:eastAsia="Calibri"/>
      <w:color w:val="bc7a00"/>
    </w:rPr>
  </w:style>
  <w:style w:type="character" w:customStyle="1" w:styleId="AttributeTok">
    <w:name w:val="AttributeTok"/>
    <w:basedOn w:val="VerbatimChar"/>
    <w:rPr>
      <w:rFonts w:ascii="Calibri" w:hAnsi="Calibri" w:cs="Calibri" w:eastAsia="Calibri"/>
      <w:color w:val="7d9029"/>
    </w:rPr>
  </w:style>
  <w:style w:type="character" w:customStyle="1" w:styleId="RegionMarkerTok">
    <w:name w:val="RegionMarkerTok"/>
    <w:basedOn w:val="VerbatimChar"/>
    <w:rPr>
      <w:rFonts w:ascii="Calibri" w:hAnsi="Calibri" w:cs="Calibri" w:eastAsia="Calibri"/>
    </w:rPr>
  </w:style>
  <w:style w:type="character" w:customStyle="1" w:styleId="InformationTok">
    <w:name w:val="InformationTok"/>
    <w:basedOn w:val="VerbatimChar"/>
    <w:rPr>
      <w:color w:val="60a0b0"/>
      <w:rFonts w:ascii="Calibri" w:hAnsi="Calibri" w:cs="Calibri" w:eastAsia="Calibri"/>
      <w:b/>
      <w:i/>
    </w:rPr>
  </w:style>
  <w:style w:type="character" w:customStyle="1" w:styleId="WarningTok">
    <w:name w:val="WarningTok"/>
    <w:basedOn w:val="VerbatimChar"/>
    <w:rPr>
      <w:color w:val="60a0b0"/>
      <w:rFonts w:ascii="Calibri" w:hAnsi="Calibri" w:cs="Calibri" w:eastAsia="Calibri"/>
      <w:b/>
      <w:i/>
    </w:rPr>
  </w:style>
  <w:style w:type="character" w:customStyle="1" w:styleId="AlertTok">
    <w:name w:val="AlertTok"/>
    <w:basedOn w:val="VerbatimChar"/>
    <w:rPr>
      <w:color w:val="ff0000"/>
      <w:rFonts w:ascii="Calibri" w:hAnsi="Calibri" w:cs="Calibri" w:eastAsia="Calibri"/>
      <w:b/>
    </w:rPr>
  </w:style>
  <w:style w:type="character" w:customStyle="1" w:styleId="ErrorTok">
    <w:name w:val="ErrorTok"/>
    <w:basedOn w:val="VerbatimChar"/>
    <w:rPr>
      <w:color w:val="ff0000"/>
      <w:rFonts w:ascii="Calibri" w:hAnsi="Calibri" w:cs="Calibri" w:eastAsia="Calibri"/>
      <w:b/>
    </w:rPr>
  </w:style>
  <w:style w:type="character" w:customStyle="1" w:styleId="NormalTok">
    <w:name w:val="NormalTok"/>
    <w:basedOn w:val="VerbatimChar"/>
    <w:rPr>
      <w:rFonts w:ascii="Calibri" w:hAnsi="Calibri" w:cs="Calibri" w:eastAsia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2026-09-15T11:02:29Z</dcterms:created>
  <dcterms:modified xsi:type="dcterms:W3CDTF">2026-09-15T11:02:29Z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