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415" w:rsidRDefault="003C6415" w:rsidP="003C6415">
      <w:pPr>
        <w:pStyle w:val="Titre1"/>
        <w:spacing w:line="360" w:lineRule="auto"/>
        <w:rPr>
          <w:rFonts w:ascii="Cambria" w:hAnsi="Cambria"/>
          <w:color w:val="FF0000"/>
          <w:sz w:val="44"/>
        </w:rPr>
      </w:pPr>
      <w:bookmarkStart w:id="0" w:name="_Toc202787798"/>
      <w:bookmarkStart w:id="1" w:name="_Toc221398407"/>
      <w:r w:rsidRPr="00E913F7">
        <w:rPr>
          <w:rFonts w:ascii="Cambria" w:hAnsi="Cambria"/>
          <w:color w:val="FF0000"/>
          <w:sz w:val="44"/>
        </w:rPr>
        <w:t>CHAPITRE 4 : RESULTAT ET EXPERIMENTATION</w:t>
      </w:r>
      <w:bookmarkEnd w:id="0"/>
      <w:bookmarkEnd w:id="1"/>
    </w:p>
    <w:p w:rsidR="003C6415" w:rsidRDefault="003C6415" w:rsidP="003C6415"/>
    <w:p w:rsidR="003C6415" w:rsidRDefault="003C6415" w:rsidP="003C6415">
      <w:pPr>
        <w:pStyle w:val="Titre3"/>
      </w:pPr>
      <w:r>
        <w:t>4.1 ЕХΡΕRIΜЕΝТАТΙОΝ DU МОDΕLЕ</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mise à l’épreuve expérimentale du modèle proposé constitue une étape essentielle pour attester de sa pertinence et de sa robustesse face aux complexités réelles inhérentes aux applications web traditionnelles déployées sur serveurs physiques et machines virtuelles. Cette phase d’expérimentation se devait d’être conçue selon un protocole rigoureux capable de refléter fidèlement les divers scénarios d’application, en assurant en particulier la couverture complète des cas d’usage et des typologies d’architectures visées par le modèle. Pour ce faire, les expérimentations ont été organisées autour d’un corpus de cas d’étude représentatifs, comprenant un ensemble varié d’applications web classiques, couvrant différentes piles technologiques (LAMP, MEAN, </w:t>
      </w:r>
      <w:proofErr w:type="spellStart"/>
      <w:r w:rsidRPr="00CC296C">
        <w:rPr>
          <w:rFonts w:ascii="Times New Roman" w:eastAsia="Times New Roman" w:hAnsi="Times New Roman" w:cs="Times New Roman"/>
          <w:sz w:val="24"/>
          <w:szCs w:val="24"/>
          <w:lang w:val="fr-CM"/>
        </w:rPr>
        <w:t>stacks</w:t>
      </w:r>
      <w:proofErr w:type="spellEnd"/>
      <w:r w:rsidRPr="00CC296C">
        <w:rPr>
          <w:rFonts w:ascii="Times New Roman" w:eastAsia="Times New Roman" w:hAnsi="Times New Roman" w:cs="Times New Roman"/>
          <w:sz w:val="24"/>
          <w:szCs w:val="24"/>
          <w:lang w:val="fr-CM"/>
        </w:rPr>
        <w:t xml:space="preserve"> Java EE) ainsi que des configurations hétérogènes entre infrastructures physiques et environnements virtualisés. Cette diversité garantit que l’analyse statique et dynamique intégrée dans le pipeline du modèle puisse être mise à l’épreuve de situations démontrant les différents défis identifiés dans la phase de modélisation, notamment la découverte des dépendances implicites, des variables d’environnement dynamiques, ou encore des configurations conditionnelles difficiles à détecter à partir d’une seule source d’information. </w:t>
      </w:r>
    </w:p>
    <w:p w:rsidR="003C6415" w:rsidRPr="00747C05"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La démarche expérimentale a également adopté une méthodologie systématique pour valider la précision et l’exhaustivité de la phase d’extraction automatisée. Chaque application a été soumise à une analyse initiale statique permettant de localiser et de cataloguer l’ensemble des configurations explicites, bibliothèques, et fichiers de dépendances. Cette première étape a été suivie d’</w:t>
      </w:r>
      <w:proofErr w:type="spellStart"/>
      <w:r w:rsidRPr="00CC296C">
        <w:rPr>
          <w:rFonts w:ascii="Times New Roman" w:eastAsia="Times New Roman" w:hAnsi="Times New Roman" w:cs="Times New Roman"/>
          <w:sz w:val="24"/>
          <w:szCs w:val="24"/>
          <w:lang w:val="fr-CM"/>
        </w:rPr>
        <w:t>unestratification</w:t>
      </w:r>
      <w:proofErr w:type="spellEnd"/>
      <w:r w:rsidRPr="00CC296C">
        <w:rPr>
          <w:rFonts w:ascii="Times New Roman" w:eastAsia="Times New Roman" w:hAnsi="Times New Roman" w:cs="Times New Roman"/>
          <w:sz w:val="24"/>
          <w:szCs w:val="24"/>
          <w:lang w:val="fr-CM"/>
        </w:rPr>
        <w:t xml:space="preserve"> et d’une instrumentation ciblée, activant la surveillance dynamique lors de l’exécution des applications sur leurs infrastructures originelles. Cette double approche, limitée souvent dans les études antérieures à une seule méthode, a permis de maximiser la richesse des données collectées et ainsi de réduire significativement les angles morts liés aux comportements à l’exécution. </w:t>
      </w:r>
      <w:r w:rsidRPr="00747C05">
        <w:rPr>
          <w:rFonts w:ascii="Times New Roman" w:eastAsia="Times New Roman" w:hAnsi="Times New Roman" w:cs="Times New Roman"/>
          <w:sz w:val="24"/>
          <w:szCs w:val="24"/>
          <w:lang w:val="fr-CM"/>
        </w:rPr>
        <w:t xml:space="preserve">À cet égard, les travaux de </w:t>
      </w:r>
      <w:proofErr w:type="spellStart"/>
      <w:r w:rsidRPr="00747C05">
        <w:rPr>
          <w:rFonts w:ascii="Times New Roman" w:eastAsia="Times New Roman" w:hAnsi="Times New Roman" w:cs="Times New Roman"/>
          <w:b/>
          <w:bCs/>
          <w:sz w:val="24"/>
          <w:szCs w:val="24"/>
          <w:lang w:val="fr-CM"/>
        </w:rPr>
        <w:t>Vasilakis</w:t>
      </w:r>
      <w:proofErr w:type="spellEnd"/>
      <w:r w:rsidRPr="00747C05">
        <w:rPr>
          <w:rFonts w:ascii="Times New Roman" w:eastAsia="Times New Roman" w:hAnsi="Times New Roman" w:cs="Times New Roman"/>
          <w:b/>
          <w:bCs/>
          <w:sz w:val="24"/>
          <w:szCs w:val="24"/>
          <w:lang w:val="fr-CM"/>
        </w:rPr>
        <w:t xml:space="preserve"> et al. (2019)</w:t>
      </w:r>
      <w:r w:rsidRPr="00747C05">
        <w:rPr>
          <w:rFonts w:ascii="Times New Roman" w:eastAsia="Times New Roman" w:hAnsi="Times New Roman" w:cs="Times New Roman"/>
          <w:sz w:val="24"/>
          <w:szCs w:val="24"/>
          <w:lang w:val="fr-CM"/>
        </w:rPr>
        <w:t xml:space="preserve"> confirment l'efficacité de cette approche analytique hybride pour capturer de manière exhaustive les dépendances système et applicatives au sein des architectures logicielles héritées (</w:t>
      </w:r>
      <w:proofErr w:type="spellStart"/>
      <w:r w:rsidRPr="00747C05">
        <w:rPr>
          <w:rFonts w:ascii="Times New Roman" w:eastAsia="Times New Roman" w:hAnsi="Times New Roman" w:cs="Times New Roman"/>
          <w:i/>
          <w:iCs/>
          <w:sz w:val="24"/>
          <w:szCs w:val="24"/>
          <w:lang w:val="fr-CM"/>
        </w:rPr>
        <w:t>legacy</w:t>
      </w:r>
      <w:proofErr w:type="spellEnd"/>
      <w:r w:rsidRPr="00747C05">
        <w:rPr>
          <w:rFonts w:ascii="Times New Roman" w:eastAsia="Times New Roman" w:hAnsi="Times New Roman" w:cs="Times New Roman"/>
          <w:sz w:val="24"/>
          <w:szCs w:val="24"/>
          <w:lang w:val="fr-CM"/>
        </w:rPr>
        <w:t xml:space="preserve">).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Afin d’évaluer l’adéquation des artefacts Docker générés par le système, plusieurs critères de validation ont été mobilisés. Ceux-ci incluent la vérification fonctionnelle complète des conteneurs produits, à travers des suites de tests automatisés conçues pour simuler les interactions client-serveur, les accès aux bases de données, ainsi que les variations de charge typiques. Cette phase a permis de s’assurer que les services déployés dans le nouvel environnement Docker reproduisent de manière fidèle les comportements de leurs homologues sur serveur physique ou virtuel, en mesurant notamment les temps de réponse, la stabilité des sessions et la persistance des données. En parallèle, des métriques quantitatives de performance ont été recueillies, couplées à des analyses qualitatives portant sur la facilité de déploiement, la taille des images générées et la modularité des compositions Docker Compose. L’ensemble de ces mesures garantit une approche exhaustive assurant la fidélité fonctionnelle et la reproductibilité, deux piliers fondamentaux du modèle proposé. </w:t>
      </w:r>
    </w:p>
    <w:p w:rsidR="003C6415" w:rsidRPr="00747C05"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L’un des éléments les plus complexes à valider expérimentalement a concerné la réduction de l’intervention manuelle, paramètre crucial pour assurer la viabilité industrielle de la solution. Les résultats obtenus indiquent que l’automatisation du pipeline d’analyse et de génération des artefacts permet une baisse sensible du besoin de corrections empiriques, notamment grâce à l’architecture modulaire et aux interfaces standardisées qui facilitent l’intégration continue au sein des workflows </w:t>
      </w:r>
      <w:proofErr w:type="spellStart"/>
      <w:r w:rsidRPr="00CC296C">
        <w:rPr>
          <w:rFonts w:ascii="Times New Roman" w:eastAsia="Times New Roman" w:hAnsi="Times New Roman" w:cs="Times New Roman"/>
          <w:sz w:val="24"/>
          <w:szCs w:val="24"/>
          <w:lang w:val="fr-CM"/>
        </w:rPr>
        <w:t>DevOps</w:t>
      </w:r>
      <w:proofErr w:type="spellEnd"/>
      <w:r w:rsidRPr="00CC296C">
        <w:rPr>
          <w:rFonts w:ascii="Times New Roman" w:eastAsia="Times New Roman" w:hAnsi="Times New Roman" w:cs="Times New Roman"/>
          <w:sz w:val="24"/>
          <w:szCs w:val="24"/>
          <w:lang w:val="fr-CM"/>
        </w:rPr>
        <w:t xml:space="preserve">. Cette automatisation, soutenue par une orchestration robuste avec Docker et Docker Compose, se traduit par une fabrication rapide et fiable des images conteneurisées, en phase avec les exigences modernes d’agilité et de </w:t>
      </w:r>
      <w:proofErr w:type="spellStart"/>
      <w:r w:rsidRPr="00CC296C">
        <w:rPr>
          <w:rFonts w:ascii="Times New Roman" w:eastAsia="Times New Roman" w:hAnsi="Times New Roman" w:cs="Times New Roman"/>
          <w:sz w:val="24"/>
          <w:szCs w:val="24"/>
          <w:lang w:val="fr-CM"/>
        </w:rPr>
        <w:t>scalabilité</w:t>
      </w:r>
      <w:proofErr w:type="spellEnd"/>
      <w:r w:rsidRPr="00CC296C">
        <w:rPr>
          <w:rFonts w:ascii="Times New Roman" w:eastAsia="Times New Roman" w:hAnsi="Times New Roman" w:cs="Times New Roman"/>
          <w:sz w:val="24"/>
          <w:szCs w:val="24"/>
          <w:lang w:val="fr-CM"/>
        </w:rPr>
        <w:t xml:space="preserve">. Cependant, l’expérimentation a aussi mis en lumière des limites relatives aux cas où certains composants propriétaires ou spécifiques à des environnements serveurs peu documentés requièrent encore une intervention humaine ciblée. </w:t>
      </w:r>
      <w:r w:rsidRPr="00747C05">
        <w:rPr>
          <w:rFonts w:ascii="Times New Roman" w:eastAsia="Times New Roman" w:hAnsi="Times New Roman" w:cs="Times New Roman"/>
          <w:sz w:val="24"/>
          <w:szCs w:val="24"/>
          <w:lang w:val="fr-CM"/>
        </w:rPr>
        <w:t xml:space="preserve">Comme l'indique l'analyse empirique menée par </w:t>
      </w:r>
      <w:proofErr w:type="spellStart"/>
      <w:r w:rsidRPr="00747C05">
        <w:rPr>
          <w:rFonts w:ascii="Times New Roman" w:eastAsia="Times New Roman" w:hAnsi="Times New Roman" w:cs="Times New Roman"/>
          <w:sz w:val="24"/>
          <w:szCs w:val="24"/>
          <w:lang w:val="fr-CM"/>
        </w:rPr>
        <w:t>Cito</w:t>
      </w:r>
      <w:proofErr w:type="spellEnd"/>
      <w:r w:rsidRPr="00747C05">
        <w:rPr>
          <w:rFonts w:ascii="Times New Roman" w:eastAsia="Times New Roman" w:hAnsi="Times New Roman" w:cs="Times New Roman"/>
          <w:sz w:val="24"/>
          <w:szCs w:val="24"/>
          <w:lang w:val="fr-CM"/>
        </w:rPr>
        <w:t xml:space="preserve"> et al. (2017) sur les écosystèmes de conteneurs, le niveau de maturité et la qualité d'écriture des fichiers de configuration d'infrastructure conditionnent directement le succès des processus d'automatisation complète, confirmant l’hypothèse d’un équilibre pragmatique entre automatisme et supervision humaine.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Cette expérimentation dans son ensemble a ainsi permis de confirmer la cohérence théorique et technique du modèle proposé tout en offrant un retour empirique précieux sur son applicabilité concrète. De manière plus générale, elle illustre la pertinence d’une approche systémique conjuguant analyses statique et dynamique, ainsi que l’importance d’une modularité rigoureuse </w:t>
      </w:r>
      <w:r w:rsidRPr="00CC296C">
        <w:rPr>
          <w:rFonts w:ascii="Times New Roman" w:eastAsia="Times New Roman" w:hAnsi="Times New Roman" w:cs="Times New Roman"/>
          <w:sz w:val="24"/>
          <w:szCs w:val="24"/>
          <w:lang w:val="fr-CM"/>
        </w:rPr>
        <w:lastRenderedPageBreak/>
        <w:t xml:space="preserve">pour gérer la complexité des systèmes étudiés. En renouvelant les perspectives, elle ouvre aussi la voie à l’intégration future de techniques avancées d’intelligence artificielle pour renforcer l’automatisation des phases d’extraction et de validation, en s’appuyant sur les résultats positifs obtenus. Ces conclusions s’alignent étroitement avec les travaux de </w:t>
      </w:r>
      <w:proofErr w:type="spellStart"/>
      <w:r w:rsidRPr="00CC296C">
        <w:rPr>
          <w:rFonts w:ascii="Times New Roman" w:eastAsia="Times New Roman" w:hAnsi="Times New Roman" w:cs="Times New Roman"/>
          <w:b/>
          <w:bCs/>
          <w:sz w:val="24"/>
          <w:szCs w:val="24"/>
          <w:lang w:val="fr-CM"/>
        </w:rPr>
        <w:t>Kratzke</w:t>
      </w:r>
      <w:proofErr w:type="spellEnd"/>
      <w:r w:rsidRPr="00CC296C">
        <w:rPr>
          <w:rFonts w:ascii="Times New Roman" w:eastAsia="Times New Roman" w:hAnsi="Times New Roman" w:cs="Times New Roman"/>
          <w:b/>
          <w:bCs/>
          <w:sz w:val="24"/>
          <w:szCs w:val="24"/>
          <w:lang w:val="fr-CM"/>
        </w:rPr>
        <w:t xml:space="preserve"> (2018)</w:t>
      </w:r>
      <w:r w:rsidRPr="00CC296C">
        <w:rPr>
          <w:rFonts w:ascii="Times New Roman" w:eastAsia="Times New Roman" w:hAnsi="Times New Roman" w:cs="Times New Roman"/>
          <w:sz w:val="24"/>
          <w:szCs w:val="24"/>
          <w:lang w:val="fr-CM"/>
        </w:rPr>
        <w:t xml:space="preserve"> sur la migration automatisée d'applications, qui soulignent l’urgence de concevoir des solutions intégrées de conteneurisation au sein d'environnements distribués et de systèmes de plus en plus complexes. En résumé, l’expérimentation du modèle s’inscrit pleinement dans la continuité opérationnelle des fondements théoriques présentés précédemment, offrant une première preuve de concept et un cadre judicieux pour guider les développements ultérieurs. Elle témoigne également des défis persistants liés à la diversité des environnements d’exploitation, justifiant l’importance d’un modèle évolutif et adaptable, conforme aux exigences pratiques du génie logiciel contemporain. </w:t>
      </w:r>
    </w:p>
    <w:p w:rsidR="003C6415" w:rsidRPr="00747C05" w:rsidRDefault="003C6415" w:rsidP="003C6415">
      <w:pPr>
        <w:pStyle w:val="Titre3"/>
        <w:rPr>
          <w:lang w:val="fr-CM"/>
        </w:rPr>
      </w:pPr>
    </w:p>
    <w:p w:rsidR="003C6415" w:rsidRDefault="003C6415" w:rsidP="003C6415">
      <w:pPr>
        <w:pStyle w:val="Titre3"/>
      </w:pPr>
      <w:r>
        <w:t>4.2 СОUT DΕ LΑ SOLUТΙΟΝ</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L’évaluation du coût global associé à la solution automatisée proposée constitue un aspect fondamental, non seulement pour mesurer sa viabilité économique, mais aussi pour anticiper ses conditions d’adoption industrielle dans le contexte complexe des applications web traditionnelles. Ce coût, loin de se réduire à une simple somme financière, englobe une multiplicité de dimensions qui requièrent une analyse rigoureuse et nuancée, intégrant des considérations techniques, humaines et temporelles.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Premièrement, le coût lié au développement et à la maintenance de l’outil automatisé est substantiel du fait de la complexité intrinsèque du problème adressé. Concevoir une chaîne intégrée capable d’analyser statiquement et dynamiquement des applications déployées dans des environnements aussi hétérogènes que des serveurs physiques et des machines virtuelles exige des investissements logiciels importants. La nécessité d’implémenter des algorithmes sophistiqués pour l’extraction fiable de dépendances implicites, la détection des configurations conditionnelles, et la génération précise d’artefacts Docker adaptés génère une charge de développement non négligeable. De plus, pour maintenir la pertinence fonctionnelle du système au fil du temps, il est requis une veille technologique continue, notamment pour suivre l’évolution rapide des technologies conteneurisées </w:t>
      </w:r>
      <w:r w:rsidRPr="00CC296C">
        <w:rPr>
          <w:rFonts w:ascii="Times New Roman" w:eastAsia="Times New Roman" w:hAnsi="Times New Roman" w:cs="Times New Roman"/>
          <w:sz w:val="24"/>
          <w:szCs w:val="24"/>
          <w:lang w:val="fr-CM"/>
        </w:rPr>
        <w:lastRenderedPageBreak/>
        <w:t xml:space="preserve">ainsi que des </w:t>
      </w:r>
      <w:proofErr w:type="spellStart"/>
      <w:r w:rsidRPr="00CC296C">
        <w:rPr>
          <w:rFonts w:ascii="Times New Roman" w:eastAsia="Times New Roman" w:hAnsi="Times New Roman" w:cs="Times New Roman"/>
          <w:sz w:val="24"/>
          <w:szCs w:val="24"/>
          <w:lang w:val="fr-CM"/>
        </w:rPr>
        <w:t>stacks</w:t>
      </w:r>
      <w:proofErr w:type="spellEnd"/>
      <w:r w:rsidRPr="00CC296C">
        <w:rPr>
          <w:rFonts w:ascii="Times New Roman" w:eastAsia="Times New Roman" w:hAnsi="Times New Roman" w:cs="Times New Roman"/>
          <w:sz w:val="24"/>
          <w:szCs w:val="24"/>
          <w:lang w:val="fr-CM"/>
        </w:rPr>
        <w:t xml:space="preserve"> applicatives. Ce besoin perpétuel de mises à jour et d’améliorations représente un coût récurrent à intégrer dans l’analyse économique.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Au-delà des aspects purement techniques, la réduction drastique de l’intervention manuelle, point essentiel démontré expérimentalement, a elle-même un impact financier direct. En effet, automatiser la génération des environnements conteneurisés réduit significativement les temps et coûts associés aux phases traditionnelles de configuration, de débogage et de déploiement. La diminution des erreurs humaines et l’amélioration de la reproductibilité apportent une économie sur les ressources de support et de gestion des incidents. Cependant, comme l’expérimentation l’a révélé, certains cas complexes nécessitent encore une supervision humaine ciblée, impliquant des coûts supplémentaires sous forme de compétences expertes, ce qui souligne la dualité entre automatisme et intervention manuelle. Cette dualité doit être prise en compte pour modéliser un coût réel et pragmatique.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performance opérationnelle du système produit influe également sur le coût global. La taille des images Docker générées, la vitesse de </w:t>
      </w:r>
      <w:proofErr w:type="spellStart"/>
      <w:r w:rsidRPr="00CC296C">
        <w:rPr>
          <w:rFonts w:ascii="Times New Roman" w:eastAsia="Times New Roman" w:hAnsi="Times New Roman" w:cs="Times New Roman"/>
          <w:sz w:val="24"/>
          <w:szCs w:val="24"/>
          <w:lang w:val="fr-CM"/>
        </w:rPr>
        <w:t>build</w:t>
      </w:r>
      <w:proofErr w:type="spellEnd"/>
      <w:r w:rsidRPr="00CC296C">
        <w:rPr>
          <w:rFonts w:ascii="Times New Roman" w:eastAsia="Times New Roman" w:hAnsi="Times New Roman" w:cs="Times New Roman"/>
          <w:sz w:val="24"/>
          <w:szCs w:val="24"/>
          <w:lang w:val="fr-CM"/>
        </w:rPr>
        <w:t xml:space="preserve"> et de déploiement, ainsi que la consommation des ressources systèmes pendant l’exécution des outils d’analyse influencent directement l’efficacité économique. Des images trop volumineuses entraînent par exemple des dépenses accrues en stockage et bande passante, particulièrement dans des environnements de production distribués et </w:t>
      </w:r>
      <w:proofErr w:type="spellStart"/>
      <w:r w:rsidRPr="00CC296C">
        <w:rPr>
          <w:rFonts w:ascii="Times New Roman" w:eastAsia="Times New Roman" w:hAnsi="Times New Roman" w:cs="Times New Roman"/>
          <w:sz w:val="24"/>
          <w:szCs w:val="24"/>
          <w:lang w:val="fr-CM"/>
        </w:rPr>
        <w:t>scalables</w:t>
      </w:r>
      <w:proofErr w:type="spellEnd"/>
      <w:r w:rsidRPr="00CC296C">
        <w:rPr>
          <w:rFonts w:ascii="Times New Roman" w:eastAsia="Times New Roman" w:hAnsi="Times New Roman" w:cs="Times New Roman"/>
          <w:sz w:val="24"/>
          <w:szCs w:val="24"/>
          <w:lang w:val="fr-CM"/>
        </w:rPr>
        <w:t xml:space="preserve">. L’optimisation de ces paramètres dans la conception du modèle n’est donc pas uniquement un objectif technique, mais contribue également à minimiser les frais d’exploitation futurs, un point souligné dans les métriques récoltées durant les expérimentations. Une approche holistique prenant en compte ces facteurs est préconisée, conformément aux analyses d’ingénierie financière logicielle de </w:t>
      </w:r>
      <w:proofErr w:type="spellStart"/>
      <w:r w:rsidRPr="001A26DC">
        <w:rPr>
          <w:rFonts w:ascii="Times New Roman" w:eastAsia="Times New Roman" w:hAnsi="Times New Roman" w:cs="Times New Roman"/>
          <w:b/>
          <w:sz w:val="24"/>
          <w:szCs w:val="24"/>
          <w:lang w:val="fr-CM"/>
        </w:rPr>
        <w:t>Levointurier</w:t>
      </w:r>
      <w:proofErr w:type="spellEnd"/>
      <w:r w:rsidRPr="001A26DC">
        <w:rPr>
          <w:rFonts w:ascii="Times New Roman" w:eastAsia="Times New Roman" w:hAnsi="Times New Roman" w:cs="Times New Roman"/>
          <w:b/>
          <w:sz w:val="24"/>
          <w:szCs w:val="24"/>
          <w:lang w:val="fr-CM"/>
        </w:rPr>
        <w:t xml:space="preserve"> et al. (2020)</w:t>
      </w:r>
      <w:r w:rsidRPr="00CC296C">
        <w:rPr>
          <w:rFonts w:ascii="Times New Roman" w:eastAsia="Times New Roman" w:hAnsi="Times New Roman" w:cs="Times New Roman"/>
          <w:sz w:val="24"/>
          <w:szCs w:val="24"/>
          <w:lang w:val="fr-CM"/>
        </w:rPr>
        <w:t xml:space="preserve"> sur l’importance d’une vision globale permettant d’évaluer la faisabilité économique en même temps que la pertinence technique d'un projet de modernisation d'infrastructure.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formation et l’intégration des équipes dans ce nouveau paradigme automatisé représentent un autre levier de coût souvent sous-estimé. Dans un contexte où les professionnels du génie logiciel doivent adopter des outils novateurs, la courbe d’apprentissage peut engendrer des dépenses en formation, accompagnement et adaptation des processus internes. Cette phase d’intégration s’avère cruciale pour garantir un retour sur investissement satisfaisant, car une prise en main maladroite ou </w:t>
      </w:r>
      <w:r w:rsidRPr="00CC296C">
        <w:rPr>
          <w:rFonts w:ascii="Times New Roman" w:eastAsia="Times New Roman" w:hAnsi="Times New Roman" w:cs="Times New Roman"/>
          <w:sz w:val="24"/>
          <w:szCs w:val="24"/>
          <w:lang w:val="fr-CM"/>
        </w:rPr>
        <w:lastRenderedPageBreak/>
        <w:t xml:space="preserve">une résistance au changement pourraient obérer les bénéfices escomptés. Ce constat est en accord avec la littérature qui relève souvent que l’adoption des solutions d’orchestration telles que Docker Compose nécessite un changement culturel et organisationnel important au sein des départements informatiques.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8258DE">
        <w:rPr>
          <w:rFonts w:ascii="Times New Roman" w:eastAsia="Times New Roman" w:hAnsi="Times New Roman" w:cs="Times New Roman"/>
          <w:sz w:val="24"/>
          <w:szCs w:val="24"/>
          <w:lang w:val="fr-CM"/>
        </w:rPr>
        <w:t xml:space="preserve">Enfin, le coût de l’infrastructure nécessaire pour supporter l’outil automatisé doit être pris en compte. Que ce soit pour le pipeline d’analyse incluant des phases d’exécution instrumentée, ou pour le déploiement et la gestion des artefacts Docker, la disponibilité de serveurs modernes et d’environnements virtualisés adaptés induit des frais d’hébergement, de maintenance matérielle, voire de licences logicielles. </w:t>
      </w:r>
      <w:r w:rsidRPr="00CC296C">
        <w:rPr>
          <w:rFonts w:ascii="Times New Roman" w:eastAsia="Times New Roman" w:hAnsi="Times New Roman" w:cs="Times New Roman"/>
          <w:sz w:val="24"/>
          <w:szCs w:val="24"/>
          <w:lang w:val="fr-CM"/>
        </w:rPr>
        <w:t xml:space="preserve">L’approche par conteneurisation, bien que permettant une mutualisation et une flexibilité accrues, n’élimine pas totalement ces coûts ; bien au contraire, elle peut les redistribuer vers des dépenses d’orchestration et d’automatisation poussée. La maîtrise de ces coûts est néanmoins facilitée par les outils récents décrits notamment dans les guides de déploiement et de configuration légers, à l'instar des architectures s'appuyant sur </w:t>
      </w:r>
      <w:r w:rsidRPr="00CC296C">
        <w:rPr>
          <w:rFonts w:ascii="Times New Roman" w:eastAsia="Times New Roman" w:hAnsi="Times New Roman" w:cs="Times New Roman"/>
          <w:i/>
          <w:iCs/>
          <w:sz w:val="24"/>
          <w:szCs w:val="24"/>
          <w:lang w:val="fr-CM"/>
        </w:rPr>
        <w:t>Kamal</w:t>
      </w:r>
      <w:r w:rsidRPr="00CC296C">
        <w:rPr>
          <w:rFonts w:ascii="Times New Roman" w:eastAsia="Times New Roman" w:hAnsi="Times New Roman" w:cs="Times New Roman"/>
          <w:sz w:val="24"/>
          <w:szCs w:val="24"/>
          <w:lang w:val="fr-CM"/>
        </w:rPr>
        <w:t xml:space="preserve"> ou </w:t>
      </w:r>
      <w:proofErr w:type="spellStart"/>
      <w:r w:rsidRPr="00CC296C">
        <w:rPr>
          <w:rFonts w:ascii="Times New Roman" w:eastAsia="Times New Roman" w:hAnsi="Times New Roman" w:cs="Times New Roman"/>
          <w:i/>
          <w:iCs/>
          <w:sz w:val="24"/>
          <w:szCs w:val="24"/>
          <w:lang w:val="fr-CM"/>
        </w:rPr>
        <w:t>OpenClaw</w:t>
      </w:r>
      <w:proofErr w:type="spellEnd"/>
      <w:r w:rsidRPr="00CC296C">
        <w:rPr>
          <w:rFonts w:ascii="Times New Roman" w:eastAsia="Times New Roman" w:hAnsi="Times New Roman" w:cs="Times New Roman"/>
          <w:sz w:val="24"/>
          <w:szCs w:val="24"/>
          <w:lang w:val="fr-CM"/>
        </w:rPr>
        <w:t xml:space="preserve">, qui optimisent les opérations de livraison tout en garantissant un excellent rapport qualité-prix par rapport aux orchestrateurs lourds traditionnels. </w:t>
      </w:r>
    </w:p>
    <w:p w:rsidR="003C6415" w:rsidRPr="00CC296C" w:rsidRDefault="003C6415" w:rsidP="003C641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En définitive, le coût de la solution proposée ne peut être dissocié de son approche systémique intégrant analyse statique et dynamique, automatisation avancée, et modularité rigoureuse. La démarche expérimentale a permis de mieux cerner ces différentes dimensions, consolidant l’idée que l’investissement initial en temps et ressources peut être amorti par la réduction substantielle des coûts associés aux déploiements manuels et aux erreurs de configuration. Ce bilan économique souligne de manière cohérente l’impératif d’une intégration progressive et accompagnée, fondée sur une vision globale conciliant performance technique et contraintes opérationnelles, conformément aux recommandations formulées dans les travaux sur la migration automatique et la sécurité des applications web. Ainsi, l’analyse rigoureuse du coût de la solution participe directement à valider sa pertinence comme modèle industriel viable. </w:t>
      </w:r>
    </w:p>
    <w:p w:rsidR="00E20537" w:rsidRPr="003C6415" w:rsidRDefault="00E20537">
      <w:pPr>
        <w:rPr>
          <w:lang w:val="fr-CM"/>
        </w:rPr>
      </w:pPr>
      <w:bookmarkStart w:id="2" w:name="_GoBack"/>
      <w:bookmarkEnd w:id="2"/>
    </w:p>
    <w:sectPr w:rsidR="00E20537" w:rsidRPr="003C641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415"/>
    <w:rsid w:val="003C6415"/>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24166-BFAE-405F-80E9-5A2F646E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415"/>
    <w:rPr>
      <w:rFonts w:ascii="Calibri" w:eastAsia="Calibri" w:hAnsi="Calibri" w:cs="SimSun"/>
      <w:lang w:val="fr-FR"/>
    </w:rPr>
  </w:style>
  <w:style w:type="paragraph" w:styleId="Titre1">
    <w:name w:val="heading 1"/>
    <w:basedOn w:val="Normal"/>
    <w:next w:val="Normal"/>
    <w:link w:val="Titre1Car"/>
    <w:uiPriority w:val="9"/>
    <w:qFormat/>
    <w:rsid w:val="003C6415"/>
    <w:pPr>
      <w:keepNext/>
      <w:keepLines/>
      <w:pBdr>
        <w:bottom w:val="single" w:sz="12" w:space="1" w:color="5B9BD5"/>
      </w:pBdr>
      <w:spacing w:before="480" w:after="0" w:line="276" w:lineRule="auto"/>
      <w:outlineLvl w:val="0"/>
    </w:pPr>
    <w:rPr>
      <w:rFonts w:ascii="Calibri Light" w:eastAsia="SimSun" w:hAnsi="Calibri Light"/>
      <w:bCs/>
      <w:color w:val="000000"/>
      <w:sz w:val="52"/>
      <w:szCs w:val="28"/>
    </w:rPr>
  </w:style>
  <w:style w:type="paragraph" w:styleId="Titre3">
    <w:name w:val="heading 3"/>
    <w:basedOn w:val="Normal"/>
    <w:link w:val="Titre3Car"/>
    <w:uiPriority w:val="9"/>
    <w:qFormat/>
    <w:rsid w:val="003C64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6415"/>
    <w:rPr>
      <w:rFonts w:ascii="Calibri Light" w:eastAsia="SimSun" w:hAnsi="Calibri Light" w:cs="SimSun"/>
      <w:bCs/>
      <w:color w:val="000000"/>
      <w:sz w:val="52"/>
      <w:szCs w:val="28"/>
      <w:lang w:val="fr-FR"/>
    </w:rPr>
  </w:style>
  <w:style w:type="character" w:customStyle="1" w:styleId="Titre3Car">
    <w:name w:val="Titre 3 Car"/>
    <w:basedOn w:val="Policepardfaut"/>
    <w:link w:val="Titre3"/>
    <w:uiPriority w:val="9"/>
    <w:rsid w:val="003C6415"/>
    <w:rPr>
      <w:rFonts w:ascii="Times New Roman" w:eastAsia="Times New Roman" w:hAnsi="Times New Roman" w:cs="Times New Roman"/>
      <w:b/>
      <w:bCs/>
      <w:sz w:val="27"/>
      <w:szCs w:val="27"/>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1866</Words>
  <Characters>10639</Characters>
  <Application>Microsoft Office Word</Application>
  <DocSecurity>0</DocSecurity>
  <Lines>88</Lines>
  <Paragraphs>24</Paragraphs>
  <ScaleCrop>false</ScaleCrop>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2026-06-08T11:41:00Z</dcterms:created>
  <dcterms:modified xsi:type="dcterms:W3CDTF">2026-06-08T11:43:00Z</dcterms:modified>
</cp:coreProperties>
</file>