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A18" w:rsidRPr="00F06A18" w:rsidRDefault="00F06A18" w:rsidP="00F06A18">
      <w:p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sz w:val="24"/>
          <w:szCs w:val="24"/>
          <w:lang w:val="en-US"/>
        </w:rPr>
        <w:t xml:space="preserve">En recherche scientifique, l'usage des </w:t>
      </w:r>
      <w:r w:rsidRPr="00F06A18">
        <w:rPr>
          <w:rFonts w:ascii="Times New Roman" w:eastAsia="Times New Roman" w:hAnsi="Times New Roman" w:cs="Times New Roman"/>
          <w:b/>
          <w:bCs/>
          <w:sz w:val="24"/>
          <w:szCs w:val="24"/>
          <w:lang w:val="en-US"/>
        </w:rPr>
        <w:t>hypothèses</w:t>
      </w:r>
      <w:r w:rsidRPr="00F06A18">
        <w:rPr>
          <w:rFonts w:ascii="Times New Roman" w:eastAsia="Times New Roman" w:hAnsi="Times New Roman" w:cs="Times New Roman"/>
          <w:sz w:val="24"/>
          <w:szCs w:val="24"/>
          <w:lang w:val="en-US"/>
        </w:rPr>
        <w:t xml:space="preserve"> est traditionnellement réservé aux études quantitatives ou positivistes, où l'on cherche à valider ou réfuter statistiquement des relations de cause à effet entre des variables mesurables. </w:t>
      </w:r>
    </w:p>
    <w:p w:rsidR="00F06A18" w:rsidRPr="00F06A18" w:rsidRDefault="00F06A18" w:rsidP="00F06A18">
      <w:p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sz w:val="24"/>
          <w:szCs w:val="24"/>
          <w:lang w:val="en-US"/>
        </w:rPr>
        <w:t xml:space="preserve">Puisque votre démarche est </w:t>
      </w:r>
      <w:r w:rsidRPr="00F06A18">
        <w:rPr>
          <w:rFonts w:ascii="Times New Roman" w:eastAsia="Times New Roman" w:hAnsi="Times New Roman" w:cs="Times New Roman"/>
          <w:b/>
          <w:bCs/>
          <w:sz w:val="24"/>
          <w:szCs w:val="24"/>
          <w:lang w:val="en-US"/>
        </w:rPr>
        <w:t>essentiellement qualitative et ancrée dans l'ingénierie expérimentale</w:t>
      </w:r>
      <w:r w:rsidRPr="00F06A18">
        <w:rPr>
          <w:rFonts w:ascii="Times New Roman" w:eastAsia="Times New Roman" w:hAnsi="Times New Roman" w:cs="Times New Roman"/>
          <w:sz w:val="24"/>
          <w:szCs w:val="24"/>
          <w:lang w:val="en-US"/>
        </w:rPr>
        <w:t xml:space="preserve">, le recours aux </w:t>
      </w:r>
      <w:r w:rsidRPr="00F06A18">
        <w:rPr>
          <w:rFonts w:ascii="Times New Roman" w:eastAsia="Times New Roman" w:hAnsi="Times New Roman" w:cs="Times New Roman"/>
          <w:b/>
          <w:bCs/>
          <w:sz w:val="24"/>
          <w:szCs w:val="24"/>
          <w:lang w:val="en-US"/>
        </w:rPr>
        <w:t>propositions de recherche</w:t>
      </w:r>
      <w:r w:rsidRPr="00F06A18">
        <w:rPr>
          <w:rFonts w:ascii="Times New Roman" w:eastAsia="Times New Roman" w:hAnsi="Times New Roman" w:cs="Times New Roman"/>
          <w:sz w:val="24"/>
          <w:szCs w:val="24"/>
          <w:lang w:val="en-US"/>
        </w:rPr>
        <w:t xml:space="preserve"> est bien plus pertinent. Les propositions ne cherchent pas une validation statistique, mais servent de guides conceptuels pour orienter l'exploration qualitative, structurer la modélisation de votre système et justifier les choix de conception de votre artefact logiciel automatisé. </w:t>
      </w:r>
    </w:p>
    <w:p w:rsidR="00F06A18" w:rsidRPr="00F06A18" w:rsidRDefault="00F06A18" w:rsidP="00F06A18">
      <w:p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sz w:val="24"/>
          <w:szCs w:val="24"/>
          <w:lang w:val="en-US"/>
        </w:rPr>
        <w:t>Voici une version entièrement réécrite, approfondie et académiquement rigoureuse pour remplacer la section de vos hypothèses :</w:t>
      </w:r>
    </w:p>
    <w:p w:rsidR="00F06A18" w:rsidRPr="00F06A18" w:rsidRDefault="00F06A18" w:rsidP="00F06A1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06A18">
        <w:rPr>
          <w:rFonts w:ascii="Times New Roman" w:eastAsia="Times New Roman" w:hAnsi="Times New Roman" w:cs="Times New Roman"/>
          <w:b/>
          <w:bCs/>
          <w:sz w:val="27"/>
          <w:szCs w:val="27"/>
          <w:lang w:val="en-US"/>
        </w:rPr>
        <w:t>PROPOSITIONS DE RECHERCHE</w:t>
      </w:r>
    </w:p>
    <w:p w:rsidR="00F06A18" w:rsidRPr="00F06A18" w:rsidRDefault="00F06A18" w:rsidP="00F06A18">
      <w:p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sz w:val="24"/>
          <w:szCs w:val="24"/>
          <w:lang w:val="en-US"/>
        </w:rPr>
        <w:t xml:space="preserve">Dans le cadre d’une démarche ancrée dans l’ingénierie expérimentale et la recherche qualitative, l’usage d’hypothèses statistiques s’avère inadapté au caractère constructif et pragmatique de ce travail. Nous formulons ainsi un ensemble de </w:t>
      </w:r>
      <w:r w:rsidRPr="00F06A18">
        <w:rPr>
          <w:rFonts w:ascii="Times New Roman" w:eastAsia="Times New Roman" w:hAnsi="Times New Roman" w:cs="Times New Roman"/>
          <w:b/>
          <w:bCs/>
          <w:sz w:val="24"/>
          <w:szCs w:val="24"/>
          <w:lang w:val="en-US"/>
        </w:rPr>
        <w:t>propositions de recherche</w:t>
      </w:r>
      <w:r w:rsidRPr="00F06A18">
        <w:rPr>
          <w:rFonts w:ascii="Times New Roman" w:eastAsia="Times New Roman" w:hAnsi="Times New Roman" w:cs="Times New Roman"/>
          <w:sz w:val="24"/>
          <w:szCs w:val="24"/>
          <w:lang w:val="en-US"/>
        </w:rPr>
        <w:t xml:space="preserve">. Celles-ci font office de repères directeurs pour la modélisation de notre solution et guident l'évaluation empirique des performances opérationnelles de l'artefact logiciel développé. </w:t>
      </w:r>
    </w:p>
    <w:p w:rsidR="00F06A18" w:rsidRPr="00F06A18" w:rsidRDefault="00F06A18" w:rsidP="00F06A1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F06A18">
        <w:rPr>
          <w:rFonts w:ascii="Times New Roman" w:eastAsia="Times New Roman" w:hAnsi="Times New Roman" w:cs="Times New Roman"/>
          <w:b/>
          <w:bCs/>
          <w:sz w:val="24"/>
          <w:szCs w:val="24"/>
          <w:lang w:val="en-US"/>
        </w:rPr>
        <w:t>Proposition de recherche 1 (PR1) : Synergie analytique et exhaustivité de la cartographie applicative</w:t>
      </w:r>
    </w:p>
    <w:p w:rsidR="00F06A18" w:rsidRPr="00F06A18" w:rsidRDefault="00F06A18" w:rsidP="00F06A1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b/>
          <w:bCs/>
          <w:sz w:val="24"/>
          <w:szCs w:val="24"/>
          <w:lang w:val="en-US"/>
        </w:rPr>
        <w:t>Énoncé :</w:t>
      </w:r>
      <w:r w:rsidRPr="00F06A18">
        <w:rPr>
          <w:rFonts w:ascii="Times New Roman" w:eastAsia="Times New Roman" w:hAnsi="Times New Roman" w:cs="Times New Roman"/>
          <w:sz w:val="24"/>
          <w:szCs w:val="24"/>
          <w:lang w:val="en-US"/>
        </w:rPr>
        <w:t xml:space="preserve"> L'hybridation d'un mécanisme d'analyse statique et dynamique permet d'obtenir une cartographie exhaustive, fidèle et normalisée des dépendances et configurations logicielles au sein d’infrastructures hétérogènes traditionnelles, surmontant ainsi les limites inhérentes à chaque approche prise isolément. </w:t>
      </w:r>
    </w:p>
    <w:p w:rsidR="00F06A18" w:rsidRPr="00F06A18" w:rsidRDefault="00F06A18" w:rsidP="00F06A1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b/>
          <w:bCs/>
          <w:sz w:val="24"/>
          <w:szCs w:val="24"/>
          <w:lang w:val="en-US"/>
        </w:rPr>
        <w:t>Développement et justification :</w:t>
      </w:r>
      <w:r w:rsidRPr="00F06A18">
        <w:rPr>
          <w:rFonts w:ascii="Times New Roman" w:eastAsia="Times New Roman" w:hAnsi="Times New Roman" w:cs="Times New Roman"/>
          <w:sz w:val="24"/>
          <w:szCs w:val="24"/>
          <w:lang w:val="en-US"/>
        </w:rPr>
        <w:t xml:space="preserve"> Les architectures héritées (dites </w:t>
      </w:r>
      <w:r w:rsidRPr="00F06A18">
        <w:rPr>
          <w:rFonts w:ascii="Times New Roman" w:eastAsia="Times New Roman" w:hAnsi="Times New Roman" w:cs="Times New Roman"/>
          <w:i/>
          <w:iCs/>
          <w:sz w:val="24"/>
          <w:szCs w:val="24"/>
          <w:lang w:val="en-US"/>
        </w:rPr>
        <w:t>legacy</w:t>
      </w:r>
      <w:r w:rsidRPr="00F06A18">
        <w:rPr>
          <w:rFonts w:ascii="Times New Roman" w:eastAsia="Times New Roman" w:hAnsi="Times New Roman" w:cs="Times New Roman"/>
          <w:sz w:val="24"/>
          <w:szCs w:val="24"/>
          <w:lang w:val="en-US"/>
        </w:rPr>
        <w:t xml:space="preserve">) souffrent d’une opacité structurelle où la logique métier, les configurations système et les services tiers (bases de données, caches) sont étroitement entremêlés sans cloisonnement étanche. Une inspection purement statique (lecture des fichiers sources et scripts de configuration au repos) échoue à capturer les variables d’environnement injectées au runtime, les dépendances système implicites ou les comportements adaptatifs de l'application en cours d'exécution. À l'inverse, une analyse purement dynamique ne fournit qu'une vue éphémère liée aux scénarios d'exécution observés. La convergence synergique du </w:t>
      </w:r>
      <w:r w:rsidRPr="00F06A18">
        <w:rPr>
          <w:rFonts w:ascii="Times New Roman" w:eastAsia="Times New Roman" w:hAnsi="Times New Roman" w:cs="Times New Roman"/>
          <w:i/>
          <w:iCs/>
          <w:sz w:val="24"/>
          <w:szCs w:val="24"/>
          <w:lang w:val="en-US"/>
        </w:rPr>
        <w:t>parsing</w:t>
      </w:r>
      <w:r w:rsidRPr="00F06A18">
        <w:rPr>
          <w:rFonts w:ascii="Times New Roman" w:eastAsia="Times New Roman" w:hAnsi="Times New Roman" w:cs="Times New Roman"/>
          <w:sz w:val="24"/>
          <w:szCs w:val="24"/>
          <w:lang w:val="en-US"/>
        </w:rPr>
        <w:t xml:space="preserve"> de code et de la surveillance active des processus permet de lever le paradigme de la « boîte noire ». En combinant la vision structurelle (statique) et comportementale (dynamique), l'outil automatisé devient capable d’extraire l'intégralité de la « recette » d'installation historique. Cette proposition s'appuie sur la littérature en rétro-ingénierie, notamment les travaux de Vasilakis et al. (2019), qui établissent l'efficacité des approches hybrides pour restructurer et isoler les états configuratifs stables des systèmes patrimoniaux complexes. </w:t>
      </w:r>
    </w:p>
    <w:p w:rsidR="00F06A18" w:rsidRPr="00F06A18" w:rsidRDefault="00F06A18" w:rsidP="00F06A1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F06A18">
        <w:rPr>
          <w:rFonts w:ascii="Times New Roman" w:eastAsia="Times New Roman" w:hAnsi="Times New Roman" w:cs="Times New Roman"/>
          <w:b/>
          <w:bCs/>
          <w:sz w:val="24"/>
          <w:szCs w:val="24"/>
          <w:lang w:val="en-US"/>
        </w:rPr>
        <w:t>Proposition de recherche 2 (PR2) : Traduction déclarative et garantie de l'équivalence fonctionnelle</w:t>
      </w:r>
    </w:p>
    <w:p w:rsidR="00F06A18" w:rsidRPr="00F06A18" w:rsidRDefault="00F06A18" w:rsidP="00F06A1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b/>
          <w:bCs/>
          <w:sz w:val="24"/>
          <w:szCs w:val="24"/>
          <w:lang w:val="en-US"/>
        </w:rPr>
        <w:lastRenderedPageBreak/>
        <w:t>Énoncé :</w:t>
      </w:r>
      <w:r w:rsidRPr="00F06A18">
        <w:rPr>
          <w:rFonts w:ascii="Times New Roman" w:eastAsia="Times New Roman" w:hAnsi="Times New Roman" w:cs="Times New Roman"/>
          <w:sz w:val="24"/>
          <w:szCs w:val="24"/>
          <w:lang w:val="en-US"/>
        </w:rPr>
        <w:t xml:space="preserve"> La formalisation de règles de correspondance (</w:t>
      </w:r>
      <w:r w:rsidRPr="00F06A18">
        <w:rPr>
          <w:rFonts w:ascii="Times New Roman" w:eastAsia="Times New Roman" w:hAnsi="Times New Roman" w:cs="Times New Roman"/>
          <w:i/>
          <w:iCs/>
          <w:sz w:val="24"/>
          <w:szCs w:val="24"/>
          <w:lang w:val="en-US"/>
        </w:rPr>
        <w:t>mapping</w:t>
      </w:r>
      <w:r w:rsidRPr="00F06A18">
        <w:rPr>
          <w:rFonts w:ascii="Times New Roman" w:eastAsia="Times New Roman" w:hAnsi="Times New Roman" w:cs="Times New Roman"/>
          <w:sz w:val="24"/>
          <w:szCs w:val="24"/>
          <w:lang w:val="en-US"/>
        </w:rPr>
        <w:t xml:space="preserve">) algorithmiques rigoureuses permet de traduire automatiquement des configurations impératives et artisanales en artefacts déclaratifs standardisés (Dockerfiles, manifests Docker Compose), tout en garantissant une équivalence fonctionnelle stricte entre l'environnement source et l'environnement conteneurisé cible. </w:t>
      </w:r>
    </w:p>
    <w:p w:rsidR="00F06A18" w:rsidRPr="00F06A18" w:rsidRDefault="00F06A18" w:rsidP="00F06A18">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F06A18">
        <w:rPr>
          <w:rFonts w:ascii="Times New Roman" w:eastAsia="Times New Roman" w:hAnsi="Times New Roman" w:cs="Times New Roman"/>
          <w:b/>
          <w:bCs/>
          <w:sz w:val="24"/>
          <w:szCs w:val="24"/>
          <w:lang w:val="fr-CM"/>
        </w:rPr>
        <w:t>Développement et justification :</w:t>
      </w:r>
      <w:r w:rsidRPr="00F06A18">
        <w:rPr>
          <w:rFonts w:ascii="Times New Roman" w:eastAsia="Times New Roman" w:hAnsi="Times New Roman" w:cs="Times New Roman"/>
          <w:sz w:val="24"/>
          <w:szCs w:val="24"/>
          <w:lang w:val="fr-CM"/>
        </w:rPr>
        <w:t xml:space="preserve"> Le déploiement classique favorise l'apparition de serveurs dits « Flocons de Neige », dont l'état résulte d'accumulations manuelles et de dérives de configuration non documentées (</w:t>
      </w:r>
      <w:r w:rsidRPr="00F06A18">
        <w:rPr>
          <w:rFonts w:ascii="Times New Roman" w:eastAsia="Times New Roman" w:hAnsi="Times New Roman" w:cs="Times New Roman"/>
          <w:i/>
          <w:iCs/>
          <w:sz w:val="24"/>
          <w:szCs w:val="24"/>
          <w:lang w:val="fr-CM"/>
        </w:rPr>
        <w:t>configuration drift</w:t>
      </w:r>
      <w:r w:rsidRPr="00F06A18">
        <w:rPr>
          <w:rFonts w:ascii="Times New Roman" w:eastAsia="Times New Roman" w:hAnsi="Times New Roman" w:cs="Times New Roman"/>
          <w:sz w:val="24"/>
          <w:szCs w:val="24"/>
          <w:lang w:val="fr-CM"/>
        </w:rPr>
        <w:t xml:space="preserve">). Pour automatiser la migration vers un écosystème Docker standardisé, le moteur intelligent doit opérer une rupture paradigmatique : passer d'une gestion d'infrastructure mutable et artisanale à un modèle d'infrastructure immuable et déclaratif. La transition réussie repose sur la capacité de l'outil à interpréter les données extraites et à les projeter de façon déterministe dans la syntaxe Docker sans altérer le comportement logique de l'application (extensions PHP requises, interdépendances réseaux, volumes de persistance). L'automatisation stricte de cette génération élimine le facteur d'erreur humaine inhérent à l'écriture manuelle. Comme le démontrent Cito et al. (2017), l'absence de formalisation dans la création des fichiers de configuration génère une dette technique critique ; l'usage d'un modèle de génération automatisé s'avère donc indispensable pour assurer la reproductibilité inter-environnementale (développement, test, production). </w:t>
      </w:r>
    </w:p>
    <w:p w:rsidR="00F06A18" w:rsidRPr="00F06A18" w:rsidRDefault="00F06A18" w:rsidP="00F06A18">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F06A18">
        <w:rPr>
          <w:rFonts w:ascii="Times New Roman" w:eastAsia="Times New Roman" w:hAnsi="Times New Roman" w:cs="Times New Roman"/>
          <w:b/>
          <w:bCs/>
          <w:sz w:val="24"/>
          <w:szCs w:val="24"/>
          <w:lang w:val="fr-CM"/>
        </w:rPr>
        <w:t>Proposition de recherche 3 (PR3) : Abstraction modulaire et viabilité opérationnelle DevOps</w:t>
      </w:r>
    </w:p>
    <w:p w:rsidR="00F06A18" w:rsidRPr="00F06A18" w:rsidRDefault="00F06A18" w:rsidP="00F06A18">
      <w:pPr>
        <w:numPr>
          <w:ilvl w:val="0"/>
          <w:numId w:val="3"/>
        </w:numPr>
        <w:spacing w:before="100" w:beforeAutospacing="1" w:after="100" w:afterAutospacing="1" w:line="240" w:lineRule="auto"/>
        <w:rPr>
          <w:rFonts w:ascii="Times New Roman" w:eastAsia="Times New Roman" w:hAnsi="Times New Roman" w:cs="Times New Roman"/>
          <w:sz w:val="24"/>
          <w:szCs w:val="24"/>
          <w:lang w:val="fr-CM"/>
        </w:rPr>
      </w:pPr>
      <w:r w:rsidRPr="00F06A18">
        <w:rPr>
          <w:rFonts w:ascii="Times New Roman" w:eastAsia="Times New Roman" w:hAnsi="Times New Roman" w:cs="Times New Roman"/>
          <w:b/>
          <w:bCs/>
          <w:sz w:val="24"/>
          <w:szCs w:val="24"/>
          <w:lang w:val="fr-CM"/>
        </w:rPr>
        <w:t>Énoncé :</w:t>
      </w:r>
      <w:r w:rsidRPr="00F06A18">
        <w:rPr>
          <w:rFonts w:ascii="Times New Roman" w:eastAsia="Times New Roman" w:hAnsi="Times New Roman" w:cs="Times New Roman"/>
          <w:sz w:val="24"/>
          <w:szCs w:val="24"/>
          <w:lang w:val="fr-CM"/>
        </w:rPr>
        <w:t xml:space="preserve"> L'encapsulation logicielle au sein d'une couche d'abstraction conteneurisée, couplée à l'intégration native de mécanismes de supervision automatisés, allège la charge d'administration et optimise l'usage des ressources système sans nécessiter de compétences DevOps avancées de la part des organisations. </w:t>
      </w:r>
    </w:p>
    <w:p w:rsidR="00F06A18" w:rsidRPr="00F06A18" w:rsidRDefault="00F06A18" w:rsidP="00F06A1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06A18">
        <w:rPr>
          <w:rFonts w:ascii="Times New Roman" w:eastAsia="Times New Roman" w:hAnsi="Times New Roman" w:cs="Times New Roman"/>
          <w:b/>
          <w:bCs/>
          <w:sz w:val="24"/>
          <w:szCs w:val="24"/>
          <w:lang w:val="fr-CM"/>
        </w:rPr>
        <w:t>Développement et justification :</w:t>
      </w:r>
      <w:r w:rsidRPr="00F06A18">
        <w:rPr>
          <w:rFonts w:ascii="Times New Roman" w:eastAsia="Times New Roman" w:hAnsi="Times New Roman" w:cs="Times New Roman"/>
          <w:sz w:val="24"/>
          <w:szCs w:val="24"/>
          <w:lang w:val="fr-CM"/>
        </w:rPr>
        <w:t xml:space="preserve"> Les infrastructures traditionnelles souffrent d’un faible taux de mutualisation, où chaque application s'approprie les ressources de l'hôte de manière exclusive, entraînant un gaspillage informatique considérable. De plus, la gestion quotidienne d'un parc de serveurs non standardisés s'avère chronophage et sujette aux erreurs de manipulation. </w:t>
      </w:r>
      <w:r w:rsidRPr="00F06A18">
        <w:rPr>
          <w:rFonts w:ascii="Times New Roman" w:eastAsia="Times New Roman" w:hAnsi="Times New Roman" w:cs="Times New Roman"/>
          <w:sz w:val="24"/>
          <w:szCs w:val="24"/>
          <w:lang w:val="en-US"/>
        </w:rPr>
        <w:t xml:space="preserve">La conteneurisation agit comme une couche d'abstraction pure capable d'isoler les applications et d'éliminer la « matrice de l'enfer » (conflits de versions et pollutions globales du système). Cependant, pour que la migration soit pérenne, l’artefact produit ne doit pas être une unité isolée : il doit s’intégrer dans un flux d'orchestration global incluant la collecte de métriques et la gestion centralisée des logs. En instrumentant automatiquement le nouvel environnement avec des outils de monitoring standardisés (Prometheus, Grafana), l'outil d'aide à la migration rationalise l'administration système. Suivant l'analyse d'état de l'art de Pahl et al. (2018), la conception modulaire des stratégies d'automatisation permet d'offrir les bénéfices des architectures </w:t>
      </w:r>
      <w:r w:rsidRPr="00F06A18">
        <w:rPr>
          <w:rFonts w:ascii="Times New Roman" w:eastAsia="Times New Roman" w:hAnsi="Times New Roman" w:cs="Times New Roman"/>
          <w:i/>
          <w:iCs/>
          <w:sz w:val="24"/>
          <w:szCs w:val="24"/>
          <w:lang w:val="en-US"/>
        </w:rPr>
        <w:t>cloud-native</w:t>
      </w:r>
      <w:r w:rsidRPr="00F06A18">
        <w:rPr>
          <w:rFonts w:ascii="Times New Roman" w:eastAsia="Times New Roman" w:hAnsi="Times New Roman" w:cs="Times New Roman"/>
          <w:sz w:val="24"/>
          <w:szCs w:val="24"/>
          <w:lang w:val="en-US"/>
        </w:rPr>
        <w:t xml:space="preserve"> (scalabilité, densité d'administration, isolation) à des structures dépourvues d'une expertise DevOps pointue, facilitant ainsi leur transition numérique de manière sécurisée. </w:t>
      </w:r>
    </w:p>
    <w:p w:rsidR="00E20537" w:rsidRDefault="00E20537">
      <w:bookmarkStart w:id="0" w:name="_GoBack"/>
      <w:bookmarkEnd w:id="0"/>
    </w:p>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8274B"/>
    <w:multiLevelType w:val="multilevel"/>
    <w:tmpl w:val="306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91DA0"/>
    <w:multiLevelType w:val="multilevel"/>
    <w:tmpl w:val="8E8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D2E48"/>
    <w:multiLevelType w:val="multilevel"/>
    <w:tmpl w:val="94B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A18"/>
    <w:rsid w:val="00E20537"/>
    <w:rsid w:val="00F0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3A496-192F-4848-8D66-93DD76F6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3">
    <w:name w:val="heading 3"/>
    <w:basedOn w:val="Normal"/>
    <w:link w:val="Titre3Car"/>
    <w:uiPriority w:val="9"/>
    <w:qFormat/>
    <w:rsid w:val="00F06A1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F06A18"/>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06A18"/>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F06A1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06A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99">
    <w:name w:val="citation-99"/>
    <w:basedOn w:val="Policepardfaut"/>
    <w:rsid w:val="00F06A18"/>
  </w:style>
  <w:style w:type="character" w:customStyle="1" w:styleId="citation-98">
    <w:name w:val="citation-98"/>
    <w:basedOn w:val="Policepardfaut"/>
    <w:rsid w:val="00F06A18"/>
  </w:style>
  <w:style w:type="character" w:customStyle="1" w:styleId="citation-97">
    <w:name w:val="citation-97"/>
    <w:basedOn w:val="Policepardfaut"/>
    <w:rsid w:val="00F06A18"/>
  </w:style>
  <w:style w:type="character" w:customStyle="1" w:styleId="citation-96">
    <w:name w:val="citation-96"/>
    <w:basedOn w:val="Policepardfaut"/>
    <w:rsid w:val="00F06A18"/>
  </w:style>
  <w:style w:type="character" w:customStyle="1" w:styleId="citation-95">
    <w:name w:val="citation-95"/>
    <w:basedOn w:val="Policepardfaut"/>
    <w:rsid w:val="00F06A18"/>
  </w:style>
  <w:style w:type="character" w:customStyle="1" w:styleId="citation-94">
    <w:name w:val="citation-94"/>
    <w:basedOn w:val="Policepardfaut"/>
    <w:rsid w:val="00F06A18"/>
  </w:style>
  <w:style w:type="character" w:customStyle="1" w:styleId="citation-93">
    <w:name w:val="citation-93"/>
    <w:basedOn w:val="Policepardfaut"/>
    <w:rsid w:val="00F06A18"/>
  </w:style>
  <w:style w:type="character" w:customStyle="1" w:styleId="citation-92">
    <w:name w:val="citation-92"/>
    <w:basedOn w:val="Policepardfaut"/>
    <w:rsid w:val="00F06A18"/>
  </w:style>
  <w:style w:type="character" w:customStyle="1" w:styleId="citation-91">
    <w:name w:val="citation-91"/>
    <w:basedOn w:val="Policepardfaut"/>
    <w:rsid w:val="00F06A18"/>
  </w:style>
  <w:style w:type="character" w:customStyle="1" w:styleId="citation-90">
    <w:name w:val="citation-90"/>
    <w:basedOn w:val="Policepardfaut"/>
    <w:rsid w:val="00F06A18"/>
  </w:style>
  <w:style w:type="character" w:customStyle="1" w:styleId="citation-89">
    <w:name w:val="citation-89"/>
    <w:basedOn w:val="Policepardfaut"/>
    <w:rsid w:val="00F06A18"/>
  </w:style>
  <w:style w:type="character" w:customStyle="1" w:styleId="citation-88">
    <w:name w:val="citation-88"/>
    <w:basedOn w:val="Policepardfaut"/>
    <w:rsid w:val="00F06A18"/>
  </w:style>
  <w:style w:type="character" w:customStyle="1" w:styleId="citation-87">
    <w:name w:val="citation-87"/>
    <w:basedOn w:val="Policepardfaut"/>
    <w:rsid w:val="00F06A18"/>
  </w:style>
  <w:style w:type="character" w:customStyle="1" w:styleId="citation-86">
    <w:name w:val="citation-86"/>
    <w:basedOn w:val="Policepardfaut"/>
    <w:rsid w:val="00F06A18"/>
  </w:style>
  <w:style w:type="character" w:customStyle="1" w:styleId="citation-85">
    <w:name w:val="citation-85"/>
    <w:basedOn w:val="Policepardfaut"/>
    <w:rsid w:val="00F06A18"/>
  </w:style>
  <w:style w:type="character" w:customStyle="1" w:styleId="citation-84">
    <w:name w:val="citation-84"/>
    <w:basedOn w:val="Policepardfaut"/>
    <w:rsid w:val="00F06A18"/>
  </w:style>
  <w:style w:type="character" w:customStyle="1" w:styleId="citation-83">
    <w:name w:val="citation-83"/>
    <w:basedOn w:val="Policepardfaut"/>
    <w:rsid w:val="00F06A18"/>
  </w:style>
  <w:style w:type="character" w:customStyle="1" w:styleId="citation-82">
    <w:name w:val="citation-82"/>
    <w:basedOn w:val="Policepardfaut"/>
    <w:rsid w:val="00F06A18"/>
  </w:style>
  <w:style w:type="character" w:customStyle="1" w:styleId="citation-81">
    <w:name w:val="citation-81"/>
    <w:basedOn w:val="Policepardfaut"/>
    <w:rsid w:val="00F06A18"/>
  </w:style>
  <w:style w:type="character" w:customStyle="1" w:styleId="citation-80">
    <w:name w:val="citation-80"/>
    <w:basedOn w:val="Policepardfaut"/>
    <w:rsid w:val="00F06A18"/>
  </w:style>
  <w:style w:type="character" w:customStyle="1" w:styleId="citation-79">
    <w:name w:val="citation-79"/>
    <w:basedOn w:val="Policepardfaut"/>
    <w:rsid w:val="00F06A18"/>
  </w:style>
  <w:style w:type="character" w:customStyle="1" w:styleId="citation-78">
    <w:name w:val="citation-78"/>
    <w:basedOn w:val="Policepardfaut"/>
    <w:rsid w:val="00F06A18"/>
  </w:style>
  <w:style w:type="character" w:customStyle="1" w:styleId="citation-77">
    <w:name w:val="citation-77"/>
    <w:basedOn w:val="Policepardfaut"/>
    <w:rsid w:val="00F06A18"/>
  </w:style>
  <w:style w:type="character" w:customStyle="1" w:styleId="citation-76">
    <w:name w:val="citation-76"/>
    <w:basedOn w:val="Policepardfaut"/>
    <w:rsid w:val="00F06A18"/>
  </w:style>
  <w:style w:type="character" w:customStyle="1" w:styleId="citation-75">
    <w:name w:val="citation-75"/>
    <w:basedOn w:val="Policepardfaut"/>
    <w:rsid w:val="00F06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62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2026-06-26T08:17:00Z</dcterms:created>
  <dcterms:modified xsi:type="dcterms:W3CDTF">2026-06-26T08:17:00Z</dcterms:modified>
</cp:coreProperties>
</file>