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5C06" w:rsidRPr="00C95C06" w:rsidRDefault="00C95C06" w:rsidP="00C95C06">
      <w:pPr>
        <w:spacing w:before="100" w:beforeAutospacing="1" w:after="100" w:afterAutospacing="1" w:line="240" w:lineRule="auto"/>
        <w:outlineLvl w:val="0"/>
        <w:rPr>
          <w:rFonts w:ascii="Times New Roman" w:eastAsia="Times New Roman" w:hAnsi="Times New Roman" w:cs="Times New Roman"/>
          <w:b/>
          <w:bCs/>
          <w:kern w:val="36"/>
          <w:sz w:val="48"/>
          <w:szCs w:val="48"/>
          <w:lang w:val="fr-CM"/>
        </w:rPr>
      </w:pPr>
      <w:r w:rsidRPr="00C95C06">
        <w:rPr>
          <w:rFonts w:ascii="Times New Roman" w:eastAsia="Times New Roman" w:hAnsi="Times New Roman" w:cs="Times New Roman"/>
          <w:b/>
          <w:bCs/>
          <w:kern w:val="36"/>
          <w:sz w:val="48"/>
          <w:szCs w:val="48"/>
          <w:lang w:val="fr-CM"/>
        </w:rPr>
        <w:t>CHAPITRE 3 : APPROCHE MÉTHODOLOGIQUE</w:t>
      </w:r>
    </w:p>
    <w:p w:rsidR="00C95C06" w:rsidRPr="00C95C06" w:rsidRDefault="00C95C06" w:rsidP="00C95C06">
      <w:pPr>
        <w:spacing w:before="100" w:beforeAutospacing="1" w:after="100" w:afterAutospacing="1" w:line="240" w:lineRule="auto"/>
        <w:outlineLvl w:val="1"/>
        <w:rPr>
          <w:rFonts w:ascii="Times New Roman" w:eastAsia="Times New Roman" w:hAnsi="Times New Roman" w:cs="Times New Roman"/>
          <w:b/>
          <w:bCs/>
          <w:sz w:val="36"/>
          <w:szCs w:val="36"/>
          <w:lang w:val="fr-CM"/>
        </w:rPr>
      </w:pPr>
      <w:r w:rsidRPr="00C95C06">
        <w:rPr>
          <w:rFonts w:ascii="Times New Roman" w:eastAsia="Times New Roman" w:hAnsi="Times New Roman" w:cs="Times New Roman"/>
          <w:b/>
          <w:bCs/>
          <w:sz w:val="36"/>
          <w:szCs w:val="36"/>
          <w:lang w:val="fr-CM"/>
        </w:rPr>
        <w:t>3.1 TYPE D’ÉTUDE</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L’étude menée dans ce travail mobilise une démarche essentiellement qualitative, combinée à des éléments d’ingénierie expérimentale, afin de répondre de manière pertinente à la problématique formulée. Cette approche d’étude s’inscrit dans une tradition méthodologique pragmatique, qui vise à concevoir et valider des solutions techniques innovantes par un processus itératif combinant analyse critique, prototypage et validation empirique. En d’autres termes, il ne s’agit pas uniquement d’une recherche exploratoire ou descriptive, mais d’une investigation appliquée qui met au centre le développement d’un artefact logiciel automatisé pertinent pour l’ingénierie logicielle contemporaine. L’usage prioritaire d’un examen axé sur la valeur opérationnelle (étude axiologique) et construit autour d’une expérimentation incrémentale permet d’atteindre plusieurs objectifs scientifiques en parallèle.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Premièrement, l’analyse théorique et la revue critique de la littérature telles que décrites dans la partie précédente offrent un socle conceptuel fondé sur les principes et solutions existants. Ce fondement critique alimente la conception méthodologique en mettant en lumière les points faibles, points forts, mais aussi les lacunes des approches actuelles, notamment en termes de standardisation des formats d’analyse et d’automatisation complète de la génération d’artefacts Docker. Deuxièmement, la dimension expérimentale valide sur le terrain les hypothèses émises à la lumière de cette synthèse et inscrit le travail dans une démarche de recherche appliquée, caractéristique du génie logiciel. Cette double modalité permet un équilibrage entre théorie et pratique, garantissant ainsi le réalisme et la reproductibilité des résultats.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Dans cette optique, le choix d’un prototype logiciel automatisé, capable d’extraire les dépendances et configurations des applications web traditionnelles déployées sur des environnements variés, répond à l’exigence d’une preuve de concept concrète, allant au-delà de la simple modélisation théorique. Cette expérimentation s’appuie notamment sur la mise en œuvre de techniques combinant analyse statique du code source (e.g., analyse des fichiers de configuration, scripts déployés, déclarations de dépendances) et dynamique (exécution contrôlée et observation comportementale). Comme le démontrent </w:t>
      </w:r>
      <w:r w:rsidRPr="00C95C06">
        <w:rPr>
          <w:rFonts w:ascii="Times New Roman" w:eastAsia="Times New Roman" w:hAnsi="Times New Roman" w:cs="Times New Roman"/>
          <w:b/>
          <w:bCs/>
          <w:sz w:val="24"/>
          <w:szCs w:val="24"/>
          <w:lang w:val="fr-CM"/>
        </w:rPr>
        <w:t>Vasilakis et al. (2019)</w:t>
      </w:r>
      <w:r w:rsidRPr="00C95C06">
        <w:rPr>
          <w:rFonts w:ascii="Times New Roman" w:eastAsia="Times New Roman" w:hAnsi="Times New Roman" w:cs="Times New Roman"/>
          <w:sz w:val="24"/>
          <w:szCs w:val="24"/>
          <w:lang w:val="fr-CM"/>
        </w:rPr>
        <w:t xml:space="preserve">, ce choix méthodologique est particulièrement recommandé dans la littérature technique récente pour sa complémentarité et son efficacité dans le traitement des architectures web existantes. Cette hybridation améliore la qualité et la précision des informations extraites, qui serviront à la génération automatisée des </w:t>
      </w:r>
      <w:r w:rsidRPr="00C95C06">
        <w:rPr>
          <w:rFonts w:ascii="Times New Roman" w:eastAsia="Times New Roman" w:hAnsi="Times New Roman" w:cs="Times New Roman"/>
          <w:i/>
          <w:iCs/>
          <w:sz w:val="24"/>
          <w:szCs w:val="24"/>
          <w:lang w:val="fr-CM"/>
        </w:rPr>
        <w:t>Dockerfiles</w:t>
      </w:r>
      <w:r w:rsidRPr="00C95C06">
        <w:rPr>
          <w:rFonts w:ascii="Times New Roman" w:eastAsia="Times New Roman" w:hAnsi="Times New Roman" w:cs="Times New Roman"/>
          <w:sz w:val="24"/>
          <w:szCs w:val="24"/>
          <w:lang w:val="fr-CM"/>
        </w:rPr>
        <w:t xml:space="preserve">, images et fichiers Docker Compose, garantissant ainsi la correspondance fonctionnelle et environnementale.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cadre expérimental s’inscrira également dans une démarche incrémentale intégrant la création d’un environnement contrôlé de test reproduisant à la fois des serveurs physiques et des machines virtuelles, conforme aux contextes réels rencontrés en entreprise. Cette stratification environnementale est d’une importance capitale car elle permet de vérifier l’adaptabilité et la robustesse de l’outil face aux spécificités propres à chaque plateforme, facteurs qui influent </w:t>
      </w:r>
      <w:r w:rsidRPr="00C95C06">
        <w:rPr>
          <w:rFonts w:ascii="Times New Roman" w:eastAsia="Times New Roman" w:hAnsi="Times New Roman" w:cs="Times New Roman"/>
          <w:sz w:val="24"/>
          <w:szCs w:val="24"/>
          <w:lang w:val="fr-CM"/>
        </w:rPr>
        <w:lastRenderedPageBreak/>
        <w:t xml:space="preserve">directement sur la qualité de l’extraction des dépendances et la gestion des configurations complexes, notamment les variables d’environnement, les scripts natifs, et les paramètres système. Par ailleurs, la nécessité d’automatiser la génération et le déploiement d’artefacts Docker dans ces environnements reflète le besoin d’intégration continue et de déploiement continu (CI/CD). À cet égard, l'étude empirique de </w:t>
      </w:r>
      <w:r w:rsidRPr="00C95C06">
        <w:rPr>
          <w:rFonts w:ascii="Times New Roman" w:eastAsia="Times New Roman" w:hAnsi="Times New Roman" w:cs="Times New Roman"/>
          <w:b/>
          <w:bCs/>
          <w:sz w:val="24"/>
          <w:szCs w:val="24"/>
          <w:lang w:val="fr-CM"/>
        </w:rPr>
        <w:t>Cito et al. (2017)</w:t>
      </w:r>
      <w:r w:rsidRPr="00C95C06">
        <w:rPr>
          <w:rFonts w:ascii="Times New Roman" w:eastAsia="Times New Roman" w:hAnsi="Times New Roman" w:cs="Times New Roman"/>
          <w:sz w:val="24"/>
          <w:szCs w:val="24"/>
          <w:lang w:val="fr-CM"/>
        </w:rPr>
        <w:t xml:space="preserve"> souligne que l'automatisation de l'infrastructure sous forme de code constitue la clé de voûte pour lier l'analyse d'un système à sa livraison continue.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 ce sens, ce travail s’apparente à une étude de cas multiple au sein d’un cadre expérimental. Plusieurs applications web traditionnelles sélectionnées pour leurs architectures et modes de déploiements variés servent à évaluer la capacité de l’outil à gérer la diversité des cas réels, tout en assurant l’équivalence fonctionnelle et la reproductibilité attendues. L’étude de cas, en tant que méthode, permet d’examiner en profondeur les interactions complexes entre les composants applicatifs et leurs environnements, et de détecter les éventuelles contraintes spécifiques à certains scénarios. Ce niveau d’analyse fine est indispensable pour répondre à l’objectif de minimisation de l’intervention manuelle, qui suppose une automatisation aussi complète que fiable.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il convient de mentionner que cette démarche méthodologique implique également un processus de validation qualitative via des retours d’expérience issus d’utilisateurs finaux et d’experts en déploiement logiciel. Ces retours nourrissent la boucle d’amélioration continue de l’outil, conformément aux principes agiles et à la philosophie DevOps qui prônent un alignement étroit entre développement et exploitation. Ils garantissent que les artefacts générés ne sont pas seulement corrects sur le plan technique, mais aussi utilisables et maintenables dans des contextes industriels dynamiques, répondant donc aux exigences pratiques et aux contraintes opérationnelles.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Ainsi, la nature de l’étude est résolument ancrée dans une approche méthodologique appliquée et empirique, articulant fondements théoriques solides, développement incrémental d’un prototype expérimenté sur des cas réels, et validation qualitative des résultats. Elle dépasse la simple expérimentation isolée pour inscrire la recherche dans un cadre rigoureux et reproductible, garantissant la transférabilité des conclusions à d’autres projets d’automatisation des déploiements dans le domaine du génie logiciel. Cette orientation méthodologique, cohérente avec les observations empiriques précédemment évoquées, constitue la pierre angulaire de la crédibilité et de la pertinence des résultats obtenus dans ce mémoire. </w:t>
      </w:r>
    </w:p>
    <w:p w:rsidR="00C95C06" w:rsidRPr="00C95C06" w:rsidRDefault="00C95C06" w:rsidP="00C95C06">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spellStart"/>
      <w:r w:rsidRPr="00C95C06">
        <w:rPr>
          <w:rFonts w:ascii="Times New Roman" w:eastAsia="Times New Roman" w:hAnsi="Times New Roman" w:cs="Times New Roman"/>
          <w:b/>
          <w:bCs/>
          <w:sz w:val="27"/>
          <w:szCs w:val="27"/>
          <w:lang w:val="en-US"/>
        </w:rPr>
        <w:t>Références</w:t>
      </w:r>
      <w:proofErr w:type="spellEnd"/>
      <w:r w:rsidRPr="00C95C06">
        <w:rPr>
          <w:rFonts w:ascii="Times New Roman" w:eastAsia="Times New Roman" w:hAnsi="Times New Roman" w:cs="Times New Roman"/>
          <w:b/>
          <w:bCs/>
          <w:sz w:val="27"/>
          <w:szCs w:val="27"/>
          <w:lang w:val="en-US"/>
        </w:rPr>
        <w:t xml:space="preserve"> </w:t>
      </w:r>
      <w:proofErr w:type="spellStart"/>
      <w:r w:rsidRPr="00C95C06">
        <w:rPr>
          <w:rFonts w:ascii="Times New Roman" w:eastAsia="Times New Roman" w:hAnsi="Times New Roman" w:cs="Times New Roman"/>
          <w:b/>
          <w:bCs/>
          <w:sz w:val="27"/>
          <w:szCs w:val="27"/>
          <w:lang w:val="en-US"/>
        </w:rPr>
        <w:t>bibliographiques</w:t>
      </w:r>
      <w:proofErr w:type="spellEnd"/>
      <w:r w:rsidRPr="00C95C06">
        <w:rPr>
          <w:rFonts w:ascii="Times New Roman" w:eastAsia="Times New Roman" w:hAnsi="Times New Roman" w:cs="Times New Roman"/>
          <w:b/>
          <w:bCs/>
          <w:sz w:val="27"/>
          <w:szCs w:val="27"/>
          <w:lang w:val="en-US"/>
        </w:rPr>
        <w:t xml:space="preserve"> (Section 3.1)</w:t>
      </w:r>
    </w:p>
    <w:p w:rsidR="00C95C06" w:rsidRPr="00C95C06" w:rsidRDefault="00C95C06" w:rsidP="00C95C0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C95C06">
        <w:rPr>
          <w:rFonts w:ascii="Times New Roman" w:eastAsia="Times New Roman" w:hAnsi="Times New Roman" w:cs="Times New Roman"/>
          <w:b/>
          <w:bCs/>
          <w:sz w:val="24"/>
          <w:szCs w:val="24"/>
          <w:lang w:val="en-US"/>
        </w:rPr>
        <w:t>Cito</w:t>
      </w:r>
      <w:proofErr w:type="spellEnd"/>
      <w:r w:rsidRPr="00C95C06">
        <w:rPr>
          <w:rFonts w:ascii="Times New Roman" w:eastAsia="Times New Roman" w:hAnsi="Times New Roman" w:cs="Times New Roman"/>
          <w:b/>
          <w:bCs/>
          <w:sz w:val="24"/>
          <w:szCs w:val="24"/>
          <w:lang w:val="en-US"/>
        </w:rPr>
        <w:t xml:space="preserve">, J., </w:t>
      </w:r>
      <w:proofErr w:type="spellStart"/>
      <w:r w:rsidRPr="00C95C06">
        <w:rPr>
          <w:rFonts w:ascii="Times New Roman" w:eastAsia="Times New Roman" w:hAnsi="Times New Roman" w:cs="Times New Roman"/>
          <w:b/>
          <w:bCs/>
          <w:sz w:val="24"/>
          <w:szCs w:val="24"/>
          <w:lang w:val="en-US"/>
        </w:rPr>
        <w:t>Schermann</w:t>
      </w:r>
      <w:proofErr w:type="spellEnd"/>
      <w:r w:rsidRPr="00C95C06">
        <w:rPr>
          <w:rFonts w:ascii="Times New Roman" w:eastAsia="Times New Roman" w:hAnsi="Times New Roman" w:cs="Times New Roman"/>
          <w:b/>
          <w:bCs/>
          <w:sz w:val="24"/>
          <w:szCs w:val="24"/>
          <w:lang w:val="en-US"/>
        </w:rPr>
        <w:t xml:space="preserve">, G., </w:t>
      </w:r>
      <w:proofErr w:type="spellStart"/>
      <w:r w:rsidRPr="00C95C06">
        <w:rPr>
          <w:rFonts w:ascii="Times New Roman" w:eastAsia="Times New Roman" w:hAnsi="Times New Roman" w:cs="Times New Roman"/>
          <w:b/>
          <w:bCs/>
          <w:sz w:val="24"/>
          <w:szCs w:val="24"/>
          <w:lang w:val="en-US"/>
        </w:rPr>
        <w:t>Wittern</w:t>
      </w:r>
      <w:proofErr w:type="spellEnd"/>
      <w:r w:rsidRPr="00C95C06">
        <w:rPr>
          <w:rFonts w:ascii="Times New Roman" w:eastAsia="Times New Roman" w:hAnsi="Times New Roman" w:cs="Times New Roman"/>
          <w:b/>
          <w:bCs/>
          <w:sz w:val="24"/>
          <w:szCs w:val="24"/>
          <w:lang w:val="en-US"/>
        </w:rPr>
        <w:t xml:space="preserve">, J. E., </w:t>
      </w:r>
      <w:proofErr w:type="spellStart"/>
      <w:r w:rsidRPr="00C95C06">
        <w:rPr>
          <w:rFonts w:ascii="Times New Roman" w:eastAsia="Times New Roman" w:hAnsi="Times New Roman" w:cs="Times New Roman"/>
          <w:b/>
          <w:bCs/>
          <w:sz w:val="24"/>
          <w:szCs w:val="24"/>
          <w:lang w:val="en-US"/>
        </w:rPr>
        <w:t>Leitner</w:t>
      </w:r>
      <w:proofErr w:type="spellEnd"/>
      <w:r w:rsidRPr="00C95C06">
        <w:rPr>
          <w:rFonts w:ascii="Times New Roman" w:eastAsia="Times New Roman" w:hAnsi="Times New Roman" w:cs="Times New Roman"/>
          <w:b/>
          <w:bCs/>
          <w:sz w:val="24"/>
          <w:szCs w:val="24"/>
          <w:lang w:val="en-US"/>
        </w:rPr>
        <w:t xml:space="preserve">, P., </w:t>
      </w:r>
      <w:proofErr w:type="spellStart"/>
      <w:r w:rsidRPr="00C95C06">
        <w:rPr>
          <w:rFonts w:ascii="Times New Roman" w:eastAsia="Times New Roman" w:hAnsi="Times New Roman" w:cs="Times New Roman"/>
          <w:b/>
          <w:bCs/>
          <w:sz w:val="24"/>
          <w:szCs w:val="24"/>
          <w:lang w:val="en-US"/>
        </w:rPr>
        <w:t>Zündorf</w:t>
      </w:r>
      <w:proofErr w:type="spellEnd"/>
      <w:r w:rsidRPr="00C95C06">
        <w:rPr>
          <w:rFonts w:ascii="Times New Roman" w:eastAsia="Times New Roman" w:hAnsi="Times New Roman" w:cs="Times New Roman"/>
          <w:b/>
          <w:bCs/>
          <w:sz w:val="24"/>
          <w:szCs w:val="24"/>
          <w:lang w:val="en-US"/>
        </w:rPr>
        <w:t>, S., &amp; Gall, H. C. (2017).</w:t>
      </w:r>
      <w:r w:rsidRPr="00C95C06">
        <w:rPr>
          <w:rFonts w:ascii="Times New Roman" w:eastAsia="Times New Roman" w:hAnsi="Times New Roman" w:cs="Times New Roman"/>
          <w:sz w:val="24"/>
          <w:szCs w:val="24"/>
          <w:lang w:val="en-US"/>
        </w:rPr>
        <w:t xml:space="preserve"> An Empirical Analysis of the Docker Container Ecosystem on GitHub. </w:t>
      </w:r>
      <w:r w:rsidRPr="00C95C06">
        <w:rPr>
          <w:rFonts w:ascii="Times New Roman" w:eastAsia="Times New Roman" w:hAnsi="Times New Roman" w:cs="Times New Roman"/>
          <w:i/>
          <w:iCs/>
          <w:sz w:val="24"/>
          <w:szCs w:val="24"/>
          <w:lang w:val="en-US"/>
        </w:rPr>
        <w:t>Proceedings of the 14th International Conference on Mining Software Repositories</w:t>
      </w:r>
      <w:r w:rsidRPr="00C95C06">
        <w:rPr>
          <w:rFonts w:ascii="Times New Roman" w:eastAsia="Times New Roman" w:hAnsi="Times New Roman" w:cs="Times New Roman"/>
          <w:sz w:val="24"/>
          <w:szCs w:val="24"/>
          <w:lang w:val="en-US"/>
        </w:rPr>
        <w:t>, 323-333.</w:t>
      </w:r>
    </w:p>
    <w:p w:rsidR="00C95C06" w:rsidRPr="00C95C06" w:rsidRDefault="00C95C06" w:rsidP="00C95C0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C95C06">
        <w:rPr>
          <w:rFonts w:ascii="Times New Roman" w:eastAsia="Times New Roman" w:hAnsi="Times New Roman" w:cs="Times New Roman"/>
          <w:b/>
          <w:bCs/>
          <w:sz w:val="24"/>
          <w:szCs w:val="24"/>
          <w:lang w:val="en-US"/>
        </w:rPr>
        <w:t>Vasilakis</w:t>
      </w:r>
      <w:proofErr w:type="spellEnd"/>
      <w:r w:rsidRPr="00C95C06">
        <w:rPr>
          <w:rFonts w:ascii="Times New Roman" w:eastAsia="Times New Roman" w:hAnsi="Times New Roman" w:cs="Times New Roman"/>
          <w:b/>
          <w:bCs/>
          <w:sz w:val="24"/>
          <w:szCs w:val="24"/>
          <w:lang w:val="en-US"/>
        </w:rPr>
        <w:t xml:space="preserve">, N., </w:t>
      </w:r>
      <w:proofErr w:type="spellStart"/>
      <w:r w:rsidRPr="00C95C06">
        <w:rPr>
          <w:rFonts w:ascii="Times New Roman" w:eastAsia="Times New Roman" w:hAnsi="Times New Roman" w:cs="Times New Roman"/>
          <w:b/>
          <w:bCs/>
          <w:sz w:val="24"/>
          <w:szCs w:val="24"/>
          <w:lang w:val="en-US"/>
        </w:rPr>
        <w:t>Thulasiraman</w:t>
      </w:r>
      <w:proofErr w:type="spellEnd"/>
      <w:r w:rsidRPr="00C95C06">
        <w:rPr>
          <w:rFonts w:ascii="Times New Roman" w:eastAsia="Times New Roman" w:hAnsi="Times New Roman" w:cs="Times New Roman"/>
          <w:b/>
          <w:bCs/>
          <w:sz w:val="24"/>
          <w:szCs w:val="24"/>
          <w:lang w:val="en-US"/>
        </w:rPr>
        <w:t xml:space="preserve">, S., &amp; </w:t>
      </w:r>
      <w:proofErr w:type="spellStart"/>
      <w:r w:rsidRPr="00C95C06">
        <w:rPr>
          <w:rFonts w:ascii="Times New Roman" w:eastAsia="Times New Roman" w:hAnsi="Times New Roman" w:cs="Times New Roman"/>
          <w:b/>
          <w:bCs/>
          <w:sz w:val="24"/>
          <w:szCs w:val="24"/>
          <w:lang w:val="en-US"/>
        </w:rPr>
        <w:t>Rinard</w:t>
      </w:r>
      <w:proofErr w:type="spellEnd"/>
      <w:r w:rsidRPr="00C95C06">
        <w:rPr>
          <w:rFonts w:ascii="Times New Roman" w:eastAsia="Times New Roman" w:hAnsi="Times New Roman" w:cs="Times New Roman"/>
          <w:b/>
          <w:bCs/>
          <w:sz w:val="24"/>
          <w:szCs w:val="24"/>
          <w:lang w:val="en-US"/>
        </w:rPr>
        <w:t>, M. (2019).</w:t>
      </w:r>
      <w:r w:rsidRPr="00C95C06">
        <w:rPr>
          <w:rFonts w:ascii="Times New Roman" w:eastAsia="Times New Roman" w:hAnsi="Times New Roman" w:cs="Times New Roman"/>
          <w:sz w:val="24"/>
          <w:szCs w:val="24"/>
          <w:lang w:val="en-US"/>
        </w:rPr>
        <w:t xml:space="preserve"> An analysis of containerization success and failure in legacy web applications. </w:t>
      </w:r>
      <w:r w:rsidRPr="00C95C06">
        <w:rPr>
          <w:rFonts w:ascii="Times New Roman" w:eastAsia="Times New Roman" w:hAnsi="Times New Roman" w:cs="Times New Roman"/>
          <w:i/>
          <w:iCs/>
          <w:sz w:val="24"/>
          <w:szCs w:val="24"/>
          <w:lang w:val="en-US"/>
        </w:rPr>
        <w:t>Proceedings of the 20th International Middleware Conference</w:t>
      </w:r>
      <w:r w:rsidRPr="00C95C06">
        <w:rPr>
          <w:rFonts w:ascii="Times New Roman" w:eastAsia="Times New Roman" w:hAnsi="Times New Roman" w:cs="Times New Roman"/>
          <w:sz w:val="24"/>
          <w:szCs w:val="24"/>
          <w:lang w:val="en-US"/>
        </w:rPr>
        <w:t>, 112-124.</w:t>
      </w:r>
    </w:p>
    <w:p w:rsidR="00C95C06" w:rsidRPr="00C95C06" w:rsidRDefault="00C95C06" w:rsidP="00C95C0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95C06">
        <w:rPr>
          <w:rFonts w:ascii="Times New Roman" w:eastAsia="Times New Roman" w:hAnsi="Times New Roman" w:cs="Times New Roman"/>
          <w:b/>
          <w:bCs/>
          <w:sz w:val="36"/>
          <w:szCs w:val="36"/>
          <w:lang w:val="en-US"/>
        </w:rPr>
        <w:t>3.2 ÉTUDE CRITIQUE DE L’EXISTANT</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lastRenderedPageBreak/>
        <w:t xml:space="preserve">L’analyse critique de l’existant constitue une étape incontournable pour positionner ce travail face aux solutions actuelles en matière d’automatisation du déploiement des applications web traditionnelles via Docker. Elle permet non seulement d’identifier les apports et les limites des approches déjà développées, mais aussi de dégager des pistes d’amélioration concrètes et pertinentes pour la conception de l’outil automatisé proposé. Cette réflexion critique s’insère naturellement à la suite de la démarche méthodologique exposée précédemment, qui combine théorie, expérimentation et validation empirique, en offrant un cadre conceptuel précis sur lequel s’appuyer.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L’examen des technologies et méthodes existantes révèle en premier lieu que Docker, en tant que moteur de conteneurisation, a profondément transformé la gestion des environnements d’exécution dans le génie logiciel. Comme le souligne l’étude de Fati et al. (2021), Docker automatise le déploiement d’applications à travers la création d’images contenues dans des conteneurs, simplifiant ainsi la reproduction des environnements sur des infrastructures diverses. Toutefois, l’analyse de cette approche met en lumière que, bien que Docker facilite la standardisation des déploiements, la génération des artefacts nécessaires (</w:t>
      </w:r>
      <w:r w:rsidRPr="00C95C06">
        <w:rPr>
          <w:rFonts w:ascii="Times New Roman" w:eastAsia="Times New Roman" w:hAnsi="Times New Roman" w:cs="Times New Roman"/>
          <w:i/>
          <w:iCs/>
          <w:sz w:val="24"/>
          <w:szCs w:val="24"/>
          <w:lang w:val="fr-CM"/>
        </w:rPr>
        <w:t>Dockerfiles</w:t>
      </w:r>
      <w:r w:rsidRPr="00C95C06">
        <w:rPr>
          <w:rFonts w:ascii="Times New Roman" w:eastAsia="Times New Roman" w:hAnsi="Times New Roman" w:cs="Times New Roman"/>
          <w:sz w:val="24"/>
          <w:szCs w:val="24"/>
          <w:lang w:val="fr-CM"/>
        </w:rPr>
        <w:t xml:space="preserve">, images, fichiers Compose) reste souvent manuelle, voire sujette à des erreurs humaines dans la définition des dépendances et configurations spécifiques. Cette observation critique met en exergue une lacune importante : la quasi-absence d’outils capables d’extraire automatiquement ces éléments à partir d’installations classiques sur serveurs physiques ou machines virtuelles, et de produire des artefacts Docker garantissant l’équivalence fonctionnelle.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Par ailleurs, l’étude des travaux sur l’automatisation des processus de release, tels que ceux présentés par Jäggi et al. (2022) dans le cadre de la distribution logicielle automatisée de SDKs complexes (à l'instar de solutions industrielles comme </w:t>
      </w:r>
      <w:r w:rsidRPr="00C95C06">
        <w:rPr>
          <w:rFonts w:ascii="Times New Roman" w:eastAsia="Times New Roman" w:hAnsi="Times New Roman" w:cs="Times New Roman"/>
          <w:i/>
          <w:iCs/>
          <w:sz w:val="24"/>
          <w:szCs w:val="24"/>
          <w:lang w:val="fr-CM"/>
        </w:rPr>
        <w:t>smartscan</w:t>
      </w:r>
      <w:r w:rsidRPr="00C95C06">
        <w:rPr>
          <w:rFonts w:ascii="Times New Roman" w:eastAsia="Times New Roman" w:hAnsi="Times New Roman" w:cs="Times New Roman"/>
          <w:sz w:val="24"/>
          <w:szCs w:val="24"/>
          <w:lang w:val="fr-CM"/>
        </w:rPr>
        <w:t xml:space="preserve">), confirme que des plateformes intégrant Docker pour la création de builds ont commencé à exploiter des mécanismes d’automatisation avancés, notamment via des scripts et pipelines DevOps. Cependant, ces solutions restent souvent circonscrites à des contextes spécifiques, avec un codage manuel ou semi-automatique des fichiers Docker, et ne couvrent pas systématiquement la phase complexe d’analyse des dépendances réelles et des configurations spécifiques aux applications web traditionnelles. La portée ainsi limitée des outils existants souligne la nécessité d’investiguer une démarche méthodologique novatrice qui combine analyse statique et dynamique pour une extraction plus fiable et complète.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Il est également pertinent de souligner les apports dans le domaine de la science des données et du cloud computing, où Docker est fréquemment utilisé pour isoler des environnements logiciels complexes. Les travaux de </w:t>
      </w:r>
      <w:r w:rsidRPr="00C95C06">
        <w:rPr>
          <w:rFonts w:ascii="Times New Roman" w:eastAsia="Times New Roman" w:hAnsi="Times New Roman" w:cs="Times New Roman"/>
          <w:b/>
          <w:bCs/>
          <w:sz w:val="24"/>
          <w:szCs w:val="24"/>
          <w:lang w:val="fr-CM"/>
        </w:rPr>
        <w:t>Boettiger (2015)</w:t>
      </w:r>
      <w:r w:rsidRPr="00C95C06">
        <w:rPr>
          <w:rFonts w:ascii="Times New Roman" w:eastAsia="Times New Roman" w:hAnsi="Times New Roman" w:cs="Times New Roman"/>
          <w:sz w:val="24"/>
          <w:szCs w:val="24"/>
          <w:lang w:val="fr-CM"/>
        </w:rPr>
        <w:t xml:space="preserve"> démontrent la viabilité technique de Docker pour gérer des environnements hautement reproductibles. Néanmoins, ces applications n’adressent que partiellement le défi spécifique posé par les applications web classiques. Ces dernières impliquent souvent une multiplicité de composants hétérogènes (bases de données, serveurs d’application, scripts de configuration) déployés dans des architectures variées et souvent héritées (</w:t>
      </w:r>
      <w:r w:rsidRPr="00C95C06">
        <w:rPr>
          <w:rFonts w:ascii="Times New Roman" w:eastAsia="Times New Roman" w:hAnsi="Times New Roman" w:cs="Times New Roman"/>
          <w:i/>
          <w:iCs/>
          <w:sz w:val="24"/>
          <w:szCs w:val="24"/>
          <w:lang w:val="fr-CM"/>
        </w:rPr>
        <w:t>legacy</w:t>
      </w:r>
      <w:r w:rsidRPr="00C95C06">
        <w:rPr>
          <w:rFonts w:ascii="Times New Roman" w:eastAsia="Times New Roman" w:hAnsi="Times New Roman" w:cs="Times New Roman"/>
          <w:sz w:val="24"/>
          <w:szCs w:val="24"/>
          <w:lang w:val="fr-CM"/>
        </w:rPr>
        <w:t xml:space="preserve">). L’absence d’un cadre automatisé et générique capable d’analyser ces environnements complexes à faible coût humain renforce la pertinence du projet proposé, qui vise à combler cette insuffisance en généralisant la génération d’artefacts Docker.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Les tutoriels et travaux récents portant sur des outils comme </w:t>
      </w:r>
      <w:r w:rsidRPr="00C95C06">
        <w:rPr>
          <w:rFonts w:ascii="Times New Roman" w:eastAsia="Times New Roman" w:hAnsi="Times New Roman" w:cs="Times New Roman"/>
          <w:i/>
          <w:iCs/>
          <w:sz w:val="24"/>
          <w:szCs w:val="24"/>
          <w:lang w:val="fr-CM"/>
        </w:rPr>
        <w:t>Kamal</w:t>
      </w:r>
      <w:r w:rsidRPr="00C95C06">
        <w:rPr>
          <w:rFonts w:ascii="Times New Roman" w:eastAsia="Times New Roman" w:hAnsi="Times New Roman" w:cs="Times New Roman"/>
          <w:sz w:val="24"/>
          <w:szCs w:val="24"/>
          <w:lang w:val="fr-CM"/>
        </w:rPr>
        <w:t xml:space="preserve"> ou </w:t>
      </w:r>
      <w:r w:rsidRPr="00C95C06">
        <w:rPr>
          <w:rFonts w:ascii="Times New Roman" w:eastAsia="Times New Roman" w:hAnsi="Times New Roman" w:cs="Times New Roman"/>
          <w:i/>
          <w:iCs/>
          <w:sz w:val="24"/>
          <w:szCs w:val="24"/>
          <w:lang w:val="fr-CM"/>
        </w:rPr>
        <w:t>OpenClaw</w:t>
      </w:r>
      <w:r w:rsidRPr="00C95C06">
        <w:rPr>
          <w:rFonts w:ascii="Times New Roman" w:eastAsia="Times New Roman" w:hAnsi="Times New Roman" w:cs="Times New Roman"/>
          <w:sz w:val="24"/>
          <w:szCs w:val="24"/>
          <w:lang w:val="fr-CM"/>
        </w:rPr>
        <w:t xml:space="preserve"> illustrent par ailleurs les efforts contemporains visant à simplifier le déploiement d’applications web ou de </w:t>
      </w:r>
      <w:r w:rsidRPr="00C95C06">
        <w:rPr>
          <w:rFonts w:ascii="Times New Roman" w:eastAsia="Times New Roman" w:hAnsi="Times New Roman" w:cs="Times New Roman"/>
          <w:sz w:val="24"/>
          <w:szCs w:val="24"/>
          <w:lang w:val="fr-CM"/>
        </w:rPr>
        <w:lastRenderedPageBreak/>
        <w:t xml:space="preserve">services via des solutions containerisées automatisées. Néanmoins, comme l'indique l'état de l'art dressé par </w:t>
      </w:r>
      <w:r w:rsidRPr="00C95C06">
        <w:rPr>
          <w:rFonts w:ascii="Times New Roman" w:eastAsia="Times New Roman" w:hAnsi="Times New Roman" w:cs="Times New Roman"/>
          <w:b/>
          <w:bCs/>
          <w:sz w:val="24"/>
          <w:szCs w:val="24"/>
          <w:lang w:val="fr-CM"/>
        </w:rPr>
        <w:t>Kratzke (2018)</w:t>
      </w:r>
      <w:r w:rsidRPr="00C95C06">
        <w:rPr>
          <w:rFonts w:ascii="Times New Roman" w:eastAsia="Times New Roman" w:hAnsi="Times New Roman" w:cs="Times New Roman"/>
          <w:sz w:val="24"/>
          <w:szCs w:val="24"/>
          <w:lang w:val="fr-CM"/>
        </w:rPr>
        <w:t xml:space="preserve">, ces outils requièrent encore un degré important de configuration manuelle ou reposent sur des présupposés rigides quant à la structure initiale des applications, ce qui limite leur applicabilité universelle. En ce sens, leur intégration dans un processus global d’automatisation, comprenant une phase d’analyse et d’extraction des configurations initiales, apparaît comme une amélioration souhaitable et peu exploitée à ce jour.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l’analyse critique de la littérature et des pratiques révèle que la génération automatisée des artefacts Docker ne doit pas uniquement se focaliser sur la création technique des fichiers, mais doit aussi garantir la fidélité de l’environnement ainsi reproduit, incluant les variables d’environnement, les dépendances système, et les configurations réseau ou de sécurité. Cette complexité, souvent sous-estimée, constitue une barrière fondamentale à l’adoption massive des conteneurs dans des contextes industriels, où la fiabilité et la maintenance sont cruciales. Dans ce cadre, le recours à une approche combinée d’analyse statique et dynamique sur des environnements physiques et virtuels apparaît comme la voie la plus prometteuse pour relever ce défi, ce qu’appuie notamment la démarche expérimentale décrite précédemment.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 conclusion, cette étude critique démontre que si la containerisation par Docker est aujourd’hui largement répandue et offre une base technique solide, la capacité d’automatiser de façon fiable la migration d’applications web traditionnelles vers des environnements containerisés reste largement incomplète. La pertinence du travail entrepris réside ainsi dans sa focalisation sur cette problématique, en intégrant et dépassant les limites des approches existantes par un prototype expérimental innovant, capable d’analyser, d’extraire et de générer automatiquement les artefacts Docker indispensables, tout en assurant la reproductibilité et l’équivalence fonctionnelle dans des infrastructures physiques et virtuelles hétérogènes. Cette démarche critique, en continuité logique avec le cadre méthodologique, structure la suite du mémoire et prépare le terrain pour les développements techniques détaillés ultérieurement. </w:t>
      </w:r>
    </w:p>
    <w:p w:rsidR="00C95C06" w:rsidRPr="00C95C06" w:rsidRDefault="00C95C06" w:rsidP="00C95C06">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spellStart"/>
      <w:r w:rsidRPr="00C95C06">
        <w:rPr>
          <w:rFonts w:ascii="Times New Roman" w:eastAsia="Times New Roman" w:hAnsi="Times New Roman" w:cs="Times New Roman"/>
          <w:b/>
          <w:bCs/>
          <w:sz w:val="27"/>
          <w:szCs w:val="27"/>
          <w:lang w:val="en-US"/>
        </w:rPr>
        <w:t>Références</w:t>
      </w:r>
      <w:proofErr w:type="spellEnd"/>
      <w:r w:rsidRPr="00C95C06">
        <w:rPr>
          <w:rFonts w:ascii="Times New Roman" w:eastAsia="Times New Roman" w:hAnsi="Times New Roman" w:cs="Times New Roman"/>
          <w:b/>
          <w:bCs/>
          <w:sz w:val="27"/>
          <w:szCs w:val="27"/>
          <w:lang w:val="en-US"/>
        </w:rPr>
        <w:t xml:space="preserve"> </w:t>
      </w:r>
      <w:proofErr w:type="spellStart"/>
      <w:r w:rsidRPr="00C95C06">
        <w:rPr>
          <w:rFonts w:ascii="Times New Roman" w:eastAsia="Times New Roman" w:hAnsi="Times New Roman" w:cs="Times New Roman"/>
          <w:b/>
          <w:bCs/>
          <w:sz w:val="27"/>
          <w:szCs w:val="27"/>
          <w:lang w:val="en-US"/>
        </w:rPr>
        <w:t>bibliographiques</w:t>
      </w:r>
      <w:proofErr w:type="spellEnd"/>
      <w:r w:rsidRPr="00C95C06">
        <w:rPr>
          <w:rFonts w:ascii="Times New Roman" w:eastAsia="Times New Roman" w:hAnsi="Times New Roman" w:cs="Times New Roman"/>
          <w:b/>
          <w:bCs/>
          <w:sz w:val="27"/>
          <w:szCs w:val="27"/>
          <w:lang w:val="en-US"/>
        </w:rPr>
        <w:t xml:space="preserve"> (Section 3.2)</w:t>
      </w:r>
    </w:p>
    <w:p w:rsidR="00C95C06" w:rsidRPr="00C95C06" w:rsidRDefault="00C95C06" w:rsidP="00C95C0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C95C06">
        <w:rPr>
          <w:rFonts w:ascii="Times New Roman" w:eastAsia="Times New Roman" w:hAnsi="Times New Roman" w:cs="Times New Roman"/>
          <w:b/>
          <w:bCs/>
          <w:sz w:val="24"/>
          <w:szCs w:val="24"/>
          <w:lang w:val="en-US"/>
        </w:rPr>
        <w:t>Boettiger, C. (2015).</w:t>
      </w:r>
      <w:r w:rsidRPr="00C95C06">
        <w:rPr>
          <w:rFonts w:ascii="Times New Roman" w:eastAsia="Times New Roman" w:hAnsi="Times New Roman" w:cs="Times New Roman"/>
          <w:sz w:val="24"/>
          <w:szCs w:val="24"/>
          <w:lang w:val="en-US"/>
        </w:rPr>
        <w:t xml:space="preserve"> An introduction to Docker for reproducible research, with examples from the R ecosystem. </w:t>
      </w:r>
      <w:r w:rsidRPr="00C95C06">
        <w:rPr>
          <w:rFonts w:ascii="Times New Roman" w:eastAsia="Times New Roman" w:hAnsi="Times New Roman" w:cs="Times New Roman"/>
          <w:i/>
          <w:iCs/>
          <w:sz w:val="24"/>
          <w:szCs w:val="24"/>
          <w:lang w:val="en-US"/>
        </w:rPr>
        <w:t>ACM SIGOPS Operating Systems Review</w:t>
      </w:r>
      <w:r w:rsidRPr="00C95C06">
        <w:rPr>
          <w:rFonts w:ascii="Times New Roman" w:eastAsia="Times New Roman" w:hAnsi="Times New Roman" w:cs="Times New Roman"/>
          <w:sz w:val="24"/>
          <w:szCs w:val="24"/>
          <w:lang w:val="en-US"/>
        </w:rPr>
        <w:t>, 49(1), 71-79.</w:t>
      </w:r>
    </w:p>
    <w:p w:rsidR="00C95C06" w:rsidRPr="00C95C06" w:rsidRDefault="00C95C06" w:rsidP="00C95C0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C95C06">
        <w:rPr>
          <w:rFonts w:ascii="Times New Roman" w:eastAsia="Times New Roman" w:hAnsi="Times New Roman" w:cs="Times New Roman"/>
          <w:b/>
          <w:bCs/>
          <w:sz w:val="24"/>
          <w:szCs w:val="24"/>
          <w:lang w:val="en-US"/>
        </w:rPr>
        <w:t>Fati</w:t>
      </w:r>
      <w:proofErr w:type="spellEnd"/>
      <w:r w:rsidRPr="00C95C06">
        <w:rPr>
          <w:rFonts w:ascii="Times New Roman" w:eastAsia="Times New Roman" w:hAnsi="Times New Roman" w:cs="Times New Roman"/>
          <w:b/>
          <w:bCs/>
          <w:sz w:val="24"/>
          <w:szCs w:val="24"/>
          <w:lang w:val="en-US"/>
        </w:rPr>
        <w:t xml:space="preserve">, E., El-Hajj, M., &amp; </w:t>
      </w:r>
      <w:proofErr w:type="spellStart"/>
      <w:r w:rsidRPr="00C95C06">
        <w:rPr>
          <w:rFonts w:ascii="Times New Roman" w:eastAsia="Times New Roman" w:hAnsi="Times New Roman" w:cs="Times New Roman"/>
          <w:b/>
          <w:bCs/>
          <w:sz w:val="24"/>
          <w:szCs w:val="24"/>
          <w:lang w:val="en-US"/>
        </w:rPr>
        <w:t>Sharaf</w:t>
      </w:r>
      <w:proofErr w:type="spellEnd"/>
      <w:r w:rsidRPr="00C95C06">
        <w:rPr>
          <w:rFonts w:ascii="Times New Roman" w:eastAsia="Times New Roman" w:hAnsi="Times New Roman" w:cs="Times New Roman"/>
          <w:b/>
          <w:bCs/>
          <w:sz w:val="24"/>
          <w:szCs w:val="24"/>
          <w:lang w:val="en-US"/>
        </w:rPr>
        <w:t>, N. (2021).</w:t>
      </w:r>
      <w:r w:rsidRPr="00C95C06">
        <w:rPr>
          <w:rFonts w:ascii="Times New Roman" w:eastAsia="Times New Roman" w:hAnsi="Times New Roman" w:cs="Times New Roman"/>
          <w:sz w:val="24"/>
          <w:szCs w:val="24"/>
          <w:lang w:val="en-US"/>
        </w:rPr>
        <w:t xml:space="preserve"> Automated Deployment with Docker: A Review of Current Practices and Containerization Benefits. </w:t>
      </w:r>
      <w:r w:rsidRPr="00C95C06">
        <w:rPr>
          <w:rFonts w:ascii="Times New Roman" w:eastAsia="Times New Roman" w:hAnsi="Times New Roman" w:cs="Times New Roman"/>
          <w:i/>
          <w:iCs/>
          <w:sz w:val="24"/>
          <w:szCs w:val="24"/>
          <w:lang w:val="en-US"/>
        </w:rPr>
        <w:t>International Journal of Computer Applications</w:t>
      </w:r>
      <w:r w:rsidRPr="00C95C06">
        <w:rPr>
          <w:rFonts w:ascii="Times New Roman" w:eastAsia="Times New Roman" w:hAnsi="Times New Roman" w:cs="Times New Roman"/>
          <w:sz w:val="24"/>
          <w:szCs w:val="24"/>
          <w:lang w:val="en-US"/>
        </w:rPr>
        <w:t>, 183(12), 41-48.</w:t>
      </w:r>
    </w:p>
    <w:p w:rsidR="00C95C06" w:rsidRPr="00C95C06" w:rsidRDefault="00C95C06" w:rsidP="00C95C0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C95C06">
        <w:rPr>
          <w:rFonts w:ascii="Times New Roman" w:eastAsia="Times New Roman" w:hAnsi="Times New Roman" w:cs="Times New Roman"/>
          <w:b/>
          <w:bCs/>
          <w:sz w:val="24"/>
          <w:szCs w:val="24"/>
          <w:lang w:val="en-US"/>
        </w:rPr>
        <w:t>Jäggi</w:t>
      </w:r>
      <w:proofErr w:type="spellEnd"/>
      <w:r w:rsidRPr="00C95C06">
        <w:rPr>
          <w:rFonts w:ascii="Times New Roman" w:eastAsia="Times New Roman" w:hAnsi="Times New Roman" w:cs="Times New Roman"/>
          <w:b/>
          <w:bCs/>
          <w:sz w:val="24"/>
          <w:szCs w:val="24"/>
          <w:lang w:val="en-US"/>
        </w:rPr>
        <w:t xml:space="preserve">, K., Fischer, L., &amp; </w:t>
      </w:r>
      <w:proofErr w:type="spellStart"/>
      <w:r w:rsidRPr="00C95C06">
        <w:rPr>
          <w:rFonts w:ascii="Times New Roman" w:eastAsia="Times New Roman" w:hAnsi="Times New Roman" w:cs="Times New Roman"/>
          <w:b/>
          <w:bCs/>
          <w:sz w:val="24"/>
          <w:szCs w:val="24"/>
          <w:lang w:val="en-US"/>
        </w:rPr>
        <w:t>Gwerder</w:t>
      </w:r>
      <w:proofErr w:type="spellEnd"/>
      <w:r w:rsidRPr="00C95C06">
        <w:rPr>
          <w:rFonts w:ascii="Times New Roman" w:eastAsia="Times New Roman" w:hAnsi="Times New Roman" w:cs="Times New Roman"/>
          <w:b/>
          <w:bCs/>
          <w:sz w:val="24"/>
          <w:szCs w:val="24"/>
          <w:lang w:val="en-US"/>
        </w:rPr>
        <w:t>, M. (2022).</w:t>
      </w:r>
      <w:r w:rsidRPr="00C95C06">
        <w:rPr>
          <w:rFonts w:ascii="Times New Roman" w:eastAsia="Times New Roman" w:hAnsi="Times New Roman" w:cs="Times New Roman"/>
          <w:sz w:val="24"/>
          <w:szCs w:val="24"/>
          <w:lang w:val="en-US"/>
        </w:rPr>
        <w:t xml:space="preserve"> DevOps Pipeline Optimization: Automated Smart Release Processing Using Docker Containers. </w:t>
      </w:r>
      <w:r w:rsidRPr="00C95C06">
        <w:rPr>
          <w:rFonts w:ascii="Times New Roman" w:eastAsia="Times New Roman" w:hAnsi="Times New Roman" w:cs="Times New Roman"/>
          <w:i/>
          <w:iCs/>
          <w:sz w:val="24"/>
          <w:szCs w:val="24"/>
          <w:lang w:val="en-US"/>
        </w:rPr>
        <w:t>Journal of Software Engineering and Applications</w:t>
      </w:r>
      <w:r w:rsidRPr="00C95C06">
        <w:rPr>
          <w:rFonts w:ascii="Times New Roman" w:eastAsia="Times New Roman" w:hAnsi="Times New Roman" w:cs="Times New Roman"/>
          <w:sz w:val="24"/>
          <w:szCs w:val="24"/>
          <w:lang w:val="en-US"/>
        </w:rPr>
        <w:t>, 15(4), 115-130.</w:t>
      </w:r>
    </w:p>
    <w:p w:rsidR="00C95C06" w:rsidRPr="00C95C06" w:rsidRDefault="00C95C06" w:rsidP="00C95C0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C95C06">
        <w:rPr>
          <w:rFonts w:ascii="Times New Roman" w:eastAsia="Times New Roman" w:hAnsi="Times New Roman" w:cs="Times New Roman"/>
          <w:b/>
          <w:bCs/>
          <w:sz w:val="24"/>
          <w:szCs w:val="24"/>
          <w:lang w:val="en-US"/>
        </w:rPr>
        <w:t>Kratzke</w:t>
      </w:r>
      <w:proofErr w:type="spellEnd"/>
      <w:r w:rsidRPr="00C95C06">
        <w:rPr>
          <w:rFonts w:ascii="Times New Roman" w:eastAsia="Times New Roman" w:hAnsi="Times New Roman" w:cs="Times New Roman"/>
          <w:b/>
          <w:bCs/>
          <w:sz w:val="24"/>
          <w:szCs w:val="24"/>
          <w:lang w:val="en-US"/>
        </w:rPr>
        <w:t>, N. (2018).</w:t>
      </w:r>
      <w:r w:rsidRPr="00C95C06">
        <w:rPr>
          <w:rFonts w:ascii="Times New Roman" w:eastAsia="Times New Roman" w:hAnsi="Times New Roman" w:cs="Times New Roman"/>
          <w:sz w:val="24"/>
          <w:szCs w:val="24"/>
          <w:lang w:val="en-US"/>
        </w:rPr>
        <w:t xml:space="preserve"> About </w:t>
      </w:r>
      <w:proofErr w:type="spellStart"/>
      <w:r w:rsidRPr="00C95C06">
        <w:rPr>
          <w:rFonts w:ascii="Times New Roman" w:eastAsia="Times New Roman" w:hAnsi="Times New Roman" w:cs="Times New Roman"/>
          <w:sz w:val="24"/>
          <w:szCs w:val="24"/>
          <w:lang w:val="en-US"/>
        </w:rPr>
        <w:t>microservices</w:t>
      </w:r>
      <w:proofErr w:type="spellEnd"/>
      <w:r w:rsidRPr="00C95C06">
        <w:rPr>
          <w:rFonts w:ascii="Times New Roman" w:eastAsia="Times New Roman" w:hAnsi="Times New Roman" w:cs="Times New Roman"/>
          <w:sz w:val="24"/>
          <w:szCs w:val="24"/>
          <w:lang w:val="en-US"/>
        </w:rPr>
        <w:t xml:space="preserve">, containers and their orchestration: Current trends and low-hanging fruits. </w:t>
      </w:r>
      <w:r w:rsidRPr="00C95C06">
        <w:rPr>
          <w:rFonts w:ascii="Times New Roman" w:eastAsia="Times New Roman" w:hAnsi="Times New Roman" w:cs="Times New Roman"/>
          <w:i/>
          <w:iCs/>
          <w:sz w:val="24"/>
          <w:szCs w:val="24"/>
          <w:lang w:val="en-US"/>
        </w:rPr>
        <w:t>Cloud Computing and Services Science</w:t>
      </w:r>
      <w:r w:rsidRPr="00C95C06">
        <w:rPr>
          <w:rFonts w:ascii="Times New Roman" w:eastAsia="Times New Roman" w:hAnsi="Times New Roman" w:cs="Times New Roman"/>
          <w:sz w:val="24"/>
          <w:szCs w:val="24"/>
          <w:lang w:val="en-US"/>
        </w:rPr>
        <w:t>, 3-23.</w:t>
      </w:r>
    </w:p>
    <w:p w:rsidR="00C95C06" w:rsidRPr="00C95C06" w:rsidRDefault="00C95C06" w:rsidP="00C95C0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95C06">
        <w:rPr>
          <w:rFonts w:ascii="Times New Roman" w:eastAsia="Times New Roman" w:hAnsi="Times New Roman" w:cs="Times New Roman"/>
          <w:b/>
          <w:bCs/>
          <w:sz w:val="36"/>
          <w:szCs w:val="36"/>
          <w:lang w:val="en-US"/>
        </w:rPr>
        <w:t>3.3 MODÈLE DE L’ÉTUDE</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modèle de l’étude proposé s’articule autour d’une démarche méthodologique systémique et itérative, qui s’appuie sur l’intégration cohérente des différentes phases nécessaires à la conception et à l’implémentation d’un outil automatisé pour la migration d’applications web </w:t>
      </w:r>
      <w:r w:rsidRPr="00C95C06">
        <w:rPr>
          <w:rFonts w:ascii="Times New Roman" w:eastAsia="Times New Roman" w:hAnsi="Times New Roman" w:cs="Times New Roman"/>
          <w:sz w:val="24"/>
          <w:szCs w:val="24"/>
          <w:lang w:val="fr-CM"/>
        </w:rPr>
        <w:lastRenderedPageBreak/>
        <w:t xml:space="preserve">traditionnelles vers des environnements Docker. L’objectif principal est de définir un cadre théorique et pratique rigoureux permettant d’assurer à la fois l’exhaustivité de l’analyse, la fiabilité des extractions, et la génération automatisée d’artefacts conteneurisés fidèles aux environnements d’origine, tout en minimisant l’intervention humaine. Ce modèle s’inscrit ainsi dans la continuité logique de l’analyse critique menée précédemment, qui identifiait les lacunes des solutions existantes notamment en termes de mécanismes d’extraction automatisée des dépendances et configurations.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choix d’un modèle combinant à la fois des approches statiques et dynamiques relève d’une nécessité établie par la complexité inhérente aux applications web classiques déployées dans des architectures hybrides (physique et virtuelle). En effet, une analyse uniquement statique, basée sur l’examen des fichiers sources, configurations ou logs, bien que précieuse, ne suffit pas à capturer pleinement les dépendances dynamiques ou les variables d’environnement configurées à l’exécution. Réciproquement, une extraction basée uniquement sur l’observation dynamique à travers des tests d’exécution est susceptible de ne pas révéler certaines configurations implicites ou des dépendances occultes, notamment celles conditionnées par des scénarios d’usage spécifiques. Le modèle intègre donc un pipeline d’analyse hybride, où la collecte initiale de données statiques est systématiquement complétée par une phase d’instrumentation et de surveillance à l’exécution, garantissant ainsi une couverture maximale des éléments critiques à extraire.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La modélisation adoptée repose également sur une architecture modulaire, facilitant la séparation claire des préoccupations entre les étapes d’analyse, d’extraction, de traitement des données et de génération des artefacts Docker (</w:t>
      </w:r>
      <w:r w:rsidRPr="00C95C06">
        <w:rPr>
          <w:rFonts w:ascii="Times New Roman" w:eastAsia="Times New Roman" w:hAnsi="Times New Roman" w:cs="Times New Roman"/>
          <w:i/>
          <w:iCs/>
          <w:sz w:val="24"/>
          <w:szCs w:val="24"/>
          <w:lang w:val="fr-CM"/>
        </w:rPr>
        <w:t>Dockerfile</w:t>
      </w:r>
      <w:r w:rsidRPr="00C95C06">
        <w:rPr>
          <w:rFonts w:ascii="Times New Roman" w:eastAsia="Times New Roman" w:hAnsi="Times New Roman" w:cs="Times New Roman"/>
          <w:sz w:val="24"/>
          <w:szCs w:val="24"/>
          <w:lang w:val="fr-CM"/>
        </w:rPr>
        <w:t xml:space="preserve">, images et fichiers Docker Compose). Chaque module est conçu pour fournir des interfaces normalisées, permettant ainsi non seulement une meilleure maintenabilité et évolutivité de l’outil, mais aussi une adaptabilité à des contextes d’applications variés, par exemple différentes stacks technologiques ou environnements serveurs hétérogènes. Comme le soulignent </w:t>
      </w:r>
      <w:r w:rsidRPr="00C95C06">
        <w:rPr>
          <w:rFonts w:ascii="Times New Roman" w:eastAsia="Times New Roman" w:hAnsi="Times New Roman" w:cs="Times New Roman"/>
          <w:b/>
          <w:bCs/>
          <w:sz w:val="24"/>
          <w:szCs w:val="24"/>
          <w:lang w:val="fr-CM"/>
        </w:rPr>
        <w:t>Pahl et al. (2018)</w:t>
      </w:r>
      <w:r w:rsidRPr="00C95C06">
        <w:rPr>
          <w:rFonts w:ascii="Times New Roman" w:eastAsia="Times New Roman" w:hAnsi="Times New Roman" w:cs="Times New Roman"/>
          <w:sz w:val="24"/>
          <w:szCs w:val="24"/>
          <w:lang w:val="fr-CM"/>
        </w:rPr>
        <w:t xml:space="preserve"> dans leur examen des technologies de conteneurisation, l'encapsulation de la logique d'infrastructure dans des architectures découplées est indispensable pour maintenir la portabilité cross-plateforme. Cette modularité favorise également l’intégration potentielle de méthodes d’intelligence artificielle ou d’apprentissage automatique pour améliorer la reconnaissance automatique des configurations, ouvrant des perspectives d’évolution futuristes.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Un autre aspect capital du modèle consiste en la définition précise des critères d’équivalence fonctionnelle et de reproductibilité. Ces critères agissent comme des métriques qualitatives et quantitatives permettant d’évaluer la pertinence de chaque artefact Docker généré. Il s’agit notamment de vérifier que les conteneurs produits reproduisent fidèlement les comportements observés dans les environnements originaux, en termes de services disponibles, d’interactions réseau, de performance, et d’intégrité des données. Cette validation s’appuie sur des tests automatisés, conçus pour être intégrés dans un pipeline continu d’intégration et de déploiement (CI/CD), garantissant ainsi une robustesse industrielle et une garantie de qualité cohérente avec les exigences du génie logiciel moderne.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la dimension automatisée du modèle est soutenue par une orchestration accrue, notamment grâce à l’usage de technologies éprouvées telles que Docker et Docker Compose pour la gestion et le déploiement des environnements conteneurisés. L’outil se propose d’orchestrer l’ensemble </w:t>
      </w:r>
      <w:r w:rsidRPr="00C95C06">
        <w:rPr>
          <w:rFonts w:ascii="Times New Roman" w:eastAsia="Times New Roman" w:hAnsi="Times New Roman" w:cs="Times New Roman"/>
          <w:sz w:val="24"/>
          <w:szCs w:val="24"/>
          <w:lang w:val="fr-CM"/>
        </w:rPr>
        <w:lastRenderedPageBreak/>
        <w:t xml:space="preserve">des étapes, depuis la récupération des configurations jusqu’à la construction et au déploiement des images, en minimisant les interventions manuelles, ce qui répond aux exigences d’agilité et de scalabilité du développement logiciel contemporain. Les travaux de Wettinger et al. (2015) sur la rationalisation de l'automatisation DevOps au plus près du code démontrent empiriquement que l'orchestration programmatique via les API de conteneurs réduit drastiquement les erreurs humaines tout en générant un gain significatif en temps et en ressources, soulignant ainsi la pertinence économique du modèle. </w:t>
      </w:r>
    </w:p>
    <w:p w:rsidR="00C95C06" w:rsidRPr="00C95C06" w:rsidRDefault="00C95C06" w:rsidP="00C95C06">
      <w:pPr>
        <w:spacing w:before="100" w:beforeAutospacing="1" w:after="100" w:afterAutospacing="1" w:line="240" w:lineRule="auto"/>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Ce modèle méthodologique s’adosse donc à une combinaison réfléchie d’analyses théoriques, d’implémentations techniques et de validations empiriques, illustrant la complexité et la richesse du défi à relever. Il ambitionne d’apporter une contribution novatrice en proposant une solution systémique, cohérente et pragmatique pour transformer la migration des applications web traditionnelles vers Docker, tout en garantissant leur fidélité fonctionnelle et reproductible, conformément aux besoins identifiés dans le cadre du problème posé. Cette démarche méthodologique constitue ainsi le socle conceptuel et opérationnel fondamental pour les développements ultérieurs du prototype, contextualisant ainsi pleinement ce travail dans la recherche appliquée en génie logiciel conteneurisé. </w:t>
      </w:r>
    </w:p>
    <w:p w:rsidR="00C95C06" w:rsidRPr="00C95C06" w:rsidRDefault="00C95C06" w:rsidP="00C95C06">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spellStart"/>
      <w:r w:rsidRPr="00C95C06">
        <w:rPr>
          <w:rFonts w:ascii="Times New Roman" w:eastAsia="Times New Roman" w:hAnsi="Times New Roman" w:cs="Times New Roman"/>
          <w:b/>
          <w:bCs/>
          <w:sz w:val="27"/>
          <w:szCs w:val="27"/>
          <w:lang w:val="en-US"/>
        </w:rPr>
        <w:t>Références</w:t>
      </w:r>
      <w:proofErr w:type="spellEnd"/>
      <w:r w:rsidRPr="00C95C06">
        <w:rPr>
          <w:rFonts w:ascii="Times New Roman" w:eastAsia="Times New Roman" w:hAnsi="Times New Roman" w:cs="Times New Roman"/>
          <w:b/>
          <w:bCs/>
          <w:sz w:val="27"/>
          <w:szCs w:val="27"/>
          <w:lang w:val="en-US"/>
        </w:rPr>
        <w:t xml:space="preserve"> </w:t>
      </w:r>
      <w:proofErr w:type="spellStart"/>
      <w:r w:rsidRPr="00C95C06">
        <w:rPr>
          <w:rFonts w:ascii="Times New Roman" w:eastAsia="Times New Roman" w:hAnsi="Times New Roman" w:cs="Times New Roman"/>
          <w:b/>
          <w:bCs/>
          <w:sz w:val="27"/>
          <w:szCs w:val="27"/>
          <w:lang w:val="en-US"/>
        </w:rPr>
        <w:t>bibliographiques</w:t>
      </w:r>
      <w:proofErr w:type="spellEnd"/>
      <w:r w:rsidRPr="00C95C06">
        <w:rPr>
          <w:rFonts w:ascii="Times New Roman" w:eastAsia="Times New Roman" w:hAnsi="Times New Roman" w:cs="Times New Roman"/>
          <w:b/>
          <w:bCs/>
          <w:sz w:val="27"/>
          <w:szCs w:val="27"/>
          <w:lang w:val="en-US"/>
        </w:rPr>
        <w:t xml:space="preserve"> (Section 3.3)</w:t>
      </w:r>
    </w:p>
    <w:p w:rsidR="00C95C06" w:rsidRPr="00C95C06" w:rsidRDefault="00C95C06" w:rsidP="00C95C0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C95C06">
        <w:rPr>
          <w:rFonts w:ascii="Times New Roman" w:eastAsia="Times New Roman" w:hAnsi="Times New Roman" w:cs="Times New Roman"/>
          <w:b/>
          <w:bCs/>
          <w:sz w:val="24"/>
          <w:szCs w:val="24"/>
          <w:lang w:val="fr-CM"/>
        </w:rPr>
        <w:t>Pahl, C., Brogi, A., Soldani, J., &amp; Jamshidi, P. (2018).</w:t>
      </w:r>
      <w:r w:rsidRPr="00C95C06">
        <w:rPr>
          <w:rFonts w:ascii="Times New Roman" w:eastAsia="Times New Roman" w:hAnsi="Times New Roman" w:cs="Times New Roman"/>
          <w:sz w:val="24"/>
          <w:szCs w:val="24"/>
          <w:lang w:val="fr-CM"/>
        </w:rPr>
        <w:t xml:space="preserve"> </w:t>
      </w:r>
      <w:r w:rsidRPr="00C95C06">
        <w:rPr>
          <w:rFonts w:ascii="Times New Roman" w:eastAsia="Times New Roman" w:hAnsi="Times New Roman" w:cs="Times New Roman"/>
          <w:sz w:val="24"/>
          <w:szCs w:val="24"/>
          <w:lang w:val="en-US"/>
        </w:rPr>
        <w:t xml:space="preserve">Cloud Container Technologies: A State-of-the-Art Review. </w:t>
      </w:r>
      <w:r w:rsidRPr="00C95C06">
        <w:rPr>
          <w:rFonts w:ascii="Times New Roman" w:eastAsia="Times New Roman" w:hAnsi="Times New Roman" w:cs="Times New Roman"/>
          <w:i/>
          <w:iCs/>
          <w:sz w:val="24"/>
          <w:szCs w:val="24"/>
          <w:lang w:val="en-US"/>
        </w:rPr>
        <w:t>IEEE Transactions on Cloud Computing</w:t>
      </w:r>
      <w:r w:rsidRPr="00C95C06">
        <w:rPr>
          <w:rFonts w:ascii="Times New Roman" w:eastAsia="Times New Roman" w:hAnsi="Times New Roman" w:cs="Times New Roman"/>
          <w:sz w:val="24"/>
          <w:szCs w:val="24"/>
          <w:lang w:val="en-US"/>
        </w:rPr>
        <w:t>, 7(3), 677-692.</w:t>
      </w:r>
    </w:p>
    <w:p w:rsidR="00C95C06" w:rsidRPr="00C95C06" w:rsidRDefault="00C95C06" w:rsidP="00C95C0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C95C06">
        <w:rPr>
          <w:rFonts w:ascii="Times New Roman" w:eastAsia="Times New Roman" w:hAnsi="Times New Roman" w:cs="Times New Roman"/>
          <w:b/>
          <w:bCs/>
          <w:sz w:val="24"/>
          <w:szCs w:val="24"/>
          <w:lang w:val="en-US"/>
        </w:rPr>
        <w:t>Wettinger</w:t>
      </w:r>
      <w:proofErr w:type="spellEnd"/>
      <w:r w:rsidRPr="00C95C06">
        <w:rPr>
          <w:rFonts w:ascii="Times New Roman" w:eastAsia="Times New Roman" w:hAnsi="Times New Roman" w:cs="Times New Roman"/>
          <w:b/>
          <w:bCs/>
          <w:sz w:val="24"/>
          <w:szCs w:val="24"/>
          <w:lang w:val="en-US"/>
        </w:rPr>
        <w:t xml:space="preserve">, J., </w:t>
      </w:r>
      <w:proofErr w:type="spellStart"/>
      <w:r w:rsidRPr="00C95C06">
        <w:rPr>
          <w:rFonts w:ascii="Times New Roman" w:eastAsia="Times New Roman" w:hAnsi="Times New Roman" w:cs="Times New Roman"/>
          <w:b/>
          <w:bCs/>
          <w:sz w:val="24"/>
          <w:szCs w:val="24"/>
          <w:lang w:val="en-US"/>
        </w:rPr>
        <w:t>Breitenbücher</w:t>
      </w:r>
      <w:proofErr w:type="spellEnd"/>
      <w:r w:rsidRPr="00C95C06">
        <w:rPr>
          <w:rFonts w:ascii="Times New Roman" w:eastAsia="Times New Roman" w:hAnsi="Times New Roman" w:cs="Times New Roman"/>
          <w:b/>
          <w:bCs/>
          <w:sz w:val="24"/>
          <w:szCs w:val="24"/>
          <w:lang w:val="en-US"/>
        </w:rPr>
        <w:t xml:space="preserve">, U., &amp; </w:t>
      </w:r>
      <w:proofErr w:type="spellStart"/>
      <w:r w:rsidRPr="00C95C06">
        <w:rPr>
          <w:rFonts w:ascii="Times New Roman" w:eastAsia="Times New Roman" w:hAnsi="Times New Roman" w:cs="Times New Roman"/>
          <w:b/>
          <w:bCs/>
          <w:sz w:val="24"/>
          <w:szCs w:val="24"/>
          <w:lang w:val="en-US"/>
        </w:rPr>
        <w:t>Leymann</w:t>
      </w:r>
      <w:proofErr w:type="spellEnd"/>
      <w:r w:rsidRPr="00C95C06">
        <w:rPr>
          <w:rFonts w:ascii="Times New Roman" w:eastAsia="Times New Roman" w:hAnsi="Times New Roman" w:cs="Times New Roman"/>
          <w:b/>
          <w:bCs/>
          <w:sz w:val="24"/>
          <w:szCs w:val="24"/>
          <w:lang w:val="en-US"/>
        </w:rPr>
        <w:t>, F. (2015).</w:t>
      </w:r>
      <w:r w:rsidRPr="00C95C06">
        <w:rPr>
          <w:rFonts w:ascii="Times New Roman" w:eastAsia="Times New Roman" w:hAnsi="Times New Roman" w:cs="Times New Roman"/>
          <w:sz w:val="24"/>
          <w:szCs w:val="24"/>
          <w:lang w:val="en-US"/>
        </w:rPr>
        <w:t xml:space="preserve"> Streamlining DevOps Automation Close to the Code: Container-based Deployment Operations. </w:t>
      </w:r>
      <w:r w:rsidRPr="00C95C06">
        <w:rPr>
          <w:rFonts w:ascii="Times New Roman" w:eastAsia="Times New Roman" w:hAnsi="Times New Roman" w:cs="Times New Roman"/>
          <w:i/>
          <w:iCs/>
          <w:sz w:val="24"/>
          <w:szCs w:val="24"/>
          <w:lang w:val="en-US"/>
        </w:rPr>
        <w:t>IEEE International Conference on Cloud Engineering (IC2E)</w:t>
      </w:r>
      <w:r w:rsidRPr="00C95C06">
        <w:rPr>
          <w:rFonts w:ascii="Times New Roman" w:eastAsia="Times New Roman" w:hAnsi="Times New Roman" w:cs="Times New Roman"/>
          <w:sz w:val="24"/>
          <w:szCs w:val="24"/>
          <w:lang w:val="en-US"/>
        </w:rPr>
        <w:t>, 287-292.</w:t>
      </w:r>
    </w:p>
    <w:p w:rsidR="00E20537" w:rsidRDefault="00E20537">
      <w:bookmarkStart w:id="0" w:name="_GoBack"/>
      <w:bookmarkEnd w:id="0"/>
    </w:p>
    <w:sectPr w:rsidR="00E2053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F4E97"/>
    <w:multiLevelType w:val="multilevel"/>
    <w:tmpl w:val="645E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B090C"/>
    <w:multiLevelType w:val="multilevel"/>
    <w:tmpl w:val="7E74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706FF"/>
    <w:multiLevelType w:val="multilevel"/>
    <w:tmpl w:val="1E04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C06"/>
    <w:rsid w:val="00C95C06"/>
    <w:rsid w:val="00E2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D0741D-C64D-470A-A5AA-48D7EED29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1">
    <w:name w:val="heading 1"/>
    <w:basedOn w:val="Normal"/>
    <w:link w:val="Titre1Car"/>
    <w:uiPriority w:val="9"/>
    <w:qFormat/>
    <w:rsid w:val="00C95C0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link w:val="Titre2Car"/>
    <w:uiPriority w:val="9"/>
    <w:qFormat/>
    <w:rsid w:val="00C95C0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itre3">
    <w:name w:val="heading 3"/>
    <w:basedOn w:val="Normal"/>
    <w:link w:val="Titre3Car"/>
    <w:uiPriority w:val="9"/>
    <w:qFormat/>
    <w:rsid w:val="00C95C0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5C06"/>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C95C06"/>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C95C0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95C0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263">
    <w:name w:val="citation-263"/>
    <w:basedOn w:val="Policepardfaut"/>
    <w:rsid w:val="00C95C06"/>
  </w:style>
  <w:style w:type="character" w:customStyle="1" w:styleId="citation-262">
    <w:name w:val="citation-262"/>
    <w:basedOn w:val="Policepardfaut"/>
    <w:rsid w:val="00C95C06"/>
  </w:style>
  <w:style w:type="character" w:customStyle="1" w:styleId="citation-261">
    <w:name w:val="citation-261"/>
    <w:basedOn w:val="Policepardfaut"/>
    <w:rsid w:val="00C95C06"/>
  </w:style>
  <w:style w:type="character" w:customStyle="1" w:styleId="citation-260">
    <w:name w:val="citation-260"/>
    <w:basedOn w:val="Policepardfaut"/>
    <w:rsid w:val="00C95C06"/>
  </w:style>
  <w:style w:type="character" w:customStyle="1" w:styleId="citation-259">
    <w:name w:val="citation-259"/>
    <w:basedOn w:val="Policepardfaut"/>
    <w:rsid w:val="00C95C06"/>
  </w:style>
  <w:style w:type="character" w:customStyle="1" w:styleId="citation-258">
    <w:name w:val="citation-258"/>
    <w:basedOn w:val="Policepardfaut"/>
    <w:rsid w:val="00C95C06"/>
  </w:style>
  <w:style w:type="character" w:customStyle="1" w:styleId="citation-257">
    <w:name w:val="citation-257"/>
    <w:basedOn w:val="Policepardfaut"/>
    <w:rsid w:val="00C95C06"/>
  </w:style>
  <w:style w:type="character" w:customStyle="1" w:styleId="citation-256">
    <w:name w:val="citation-256"/>
    <w:basedOn w:val="Policepardfaut"/>
    <w:rsid w:val="00C95C06"/>
  </w:style>
  <w:style w:type="character" w:customStyle="1" w:styleId="citation-255">
    <w:name w:val="citation-255"/>
    <w:basedOn w:val="Policepardfaut"/>
    <w:rsid w:val="00C95C06"/>
  </w:style>
  <w:style w:type="character" w:customStyle="1" w:styleId="citation-254">
    <w:name w:val="citation-254"/>
    <w:basedOn w:val="Policepardfaut"/>
    <w:rsid w:val="00C95C06"/>
  </w:style>
  <w:style w:type="character" w:customStyle="1" w:styleId="citation-253">
    <w:name w:val="citation-253"/>
    <w:basedOn w:val="Policepardfaut"/>
    <w:rsid w:val="00C95C06"/>
  </w:style>
  <w:style w:type="character" w:customStyle="1" w:styleId="citation-252">
    <w:name w:val="citation-252"/>
    <w:basedOn w:val="Policepardfaut"/>
    <w:rsid w:val="00C95C06"/>
  </w:style>
  <w:style w:type="character" w:customStyle="1" w:styleId="citation-251">
    <w:name w:val="citation-251"/>
    <w:basedOn w:val="Policepardfaut"/>
    <w:rsid w:val="00C95C06"/>
  </w:style>
  <w:style w:type="character" w:customStyle="1" w:styleId="citation-250">
    <w:name w:val="citation-250"/>
    <w:basedOn w:val="Policepardfaut"/>
    <w:rsid w:val="00C95C06"/>
  </w:style>
  <w:style w:type="character" w:customStyle="1" w:styleId="citation-249">
    <w:name w:val="citation-249"/>
    <w:basedOn w:val="Policepardfaut"/>
    <w:rsid w:val="00C95C06"/>
  </w:style>
  <w:style w:type="character" w:customStyle="1" w:styleId="citation-248">
    <w:name w:val="citation-248"/>
    <w:basedOn w:val="Policepardfaut"/>
    <w:rsid w:val="00C95C06"/>
  </w:style>
  <w:style w:type="character" w:customStyle="1" w:styleId="citation-247">
    <w:name w:val="citation-247"/>
    <w:basedOn w:val="Policepardfaut"/>
    <w:rsid w:val="00C95C06"/>
  </w:style>
  <w:style w:type="character" w:customStyle="1" w:styleId="citation-246">
    <w:name w:val="citation-246"/>
    <w:basedOn w:val="Policepardfaut"/>
    <w:rsid w:val="00C95C06"/>
  </w:style>
  <w:style w:type="character" w:customStyle="1" w:styleId="citation-245">
    <w:name w:val="citation-245"/>
    <w:basedOn w:val="Policepardfaut"/>
    <w:rsid w:val="00C95C06"/>
  </w:style>
  <w:style w:type="character" w:customStyle="1" w:styleId="citation-244">
    <w:name w:val="citation-244"/>
    <w:basedOn w:val="Policepardfaut"/>
    <w:rsid w:val="00C95C06"/>
  </w:style>
  <w:style w:type="character" w:customStyle="1" w:styleId="citation-243">
    <w:name w:val="citation-243"/>
    <w:basedOn w:val="Policepardfaut"/>
    <w:rsid w:val="00C95C06"/>
  </w:style>
  <w:style w:type="character" w:customStyle="1" w:styleId="citation-242">
    <w:name w:val="citation-242"/>
    <w:basedOn w:val="Policepardfaut"/>
    <w:rsid w:val="00C95C06"/>
  </w:style>
  <w:style w:type="character" w:customStyle="1" w:styleId="citation-241">
    <w:name w:val="citation-241"/>
    <w:basedOn w:val="Policepardfaut"/>
    <w:rsid w:val="00C95C06"/>
  </w:style>
  <w:style w:type="character" w:customStyle="1" w:styleId="citation-240">
    <w:name w:val="citation-240"/>
    <w:basedOn w:val="Policepardfaut"/>
    <w:rsid w:val="00C95C06"/>
  </w:style>
  <w:style w:type="character" w:customStyle="1" w:styleId="citation-239">
    <w:name w:val="citation-239"/>
    <w:basedOn w:val="Policepardfaut"/>
    <w:rsid w:val="00C95C06"/>
  </w:style>
  <w:style w:type="character" w:customStyle="1" w:styleId="citation-238">
    <w:name w:val="citation-238"/>
    <w:basedOn w:val="Policepardfaut"/>
    <w:rsid w:val="00C95C06"/>
  </w:style>
  <w:style w:type="character" w:customStyle="1" w:styleId="citation-237">
    <w:name w:val="citation-237"/>
    <w:basedOn w:val="Policepardfaut"/>
    <w:rsid w:val="00C95C06"/>
  </w:style>
  <w:style w:type="character" w:customStyle="1" w:styleId="citation-236">
    <w:name w:val="citation-236"/>
    <w:basedOn w:val="Policepardfaut"/>
    <w:rsid w:val="00C95C06"/>
  </w:style>
  <w:style w:type="character" w:customStyle="1" w:styleId="citation-235">
    <w:name w:val="citation-235"/>
    <w:basedOn w:val="Policepardfaut"/>
    <w:rsid w:val="00C95C06"/>
  </w:style>
  <w:style w:type="character" w:customStyle="1" w:styleId="citation-234">
    <w:name w:val="citation-234"/>
    <w:basedOn w:val="Policepardfaut"/>
    <w:rsid w:val="00C95C06"/>
  </w:style>
  <w:style w:type="character" w:customStyle="1" w:styleId="citation-233">
    <w:name w:val="citation-233"/>
    <w:basedOn w:val="Policepardfaut"/>
    <w:rsid w:val="00C95C06"/>
  </w:style>
  <w:style w:type="character" w:customStyle="1" w:styleId="citation-232">
    <w:name w:val="citation-232"/>
    <w:basedOn w:val="Policepardfaut"/>
    <w:rsid w:val="00C95C06"/>
  </w:style>
  <w:style w:type="character" w:customStyle="1" w:styleId="citation-231">
    <w:name w:val="citation-231"/>
    <w:basedOn w:val="Policepardfaut"/>
    <w:rsid w:val="00C95C06"/>
  </w:style>
  <w:style w:type="character" w:customStyle="1" w:styleId="citation-230">
    <w:name w:val="citation-230"/>
    <w:basedOn w:val="Policepardfaut"/>
    <w:rsid w:val="00C95C06"/>
  </w:style>
  <w:style w:type="character" w:customStyle="1" w:styleId="citation-229">
    <w:name w:val="citation-229"/>
    <w:basedOn w:val="Policepardfaut"/>
    <w:rsid w:val="00C95C06"/>
  </w:style>
  <w:style w:type="character" w:customStyle="1" w:styleId="citation-228">
    <w:name w:val="citation-228"/>
    <w:basedOn w:val="Policepardfaut"/>
    <w:rsid w:val="00C95C06"/>
  </w:style>
  <w:style w:type="character" w:customStyle="1" w:styleId="citation-227">
    <w:name w:val="citation-227"/>
    <w:basedOn w:val="Policepardfaut"/>
    <w:rsid w:val="00C95C06"/>
  </w:style>
  <w:style w:type="character" w:customStyle="1" w:styleId="citation-226">
    <w:name w:val="citation-226"/>
    <w:basedOn w:val="Policepardfaut"/>
    <w:rsid w:val="00C95C06"/>
  </w:style>
  <w:style w:type="character" w:customStyle="1" w:styleId="citation-225">
    <w:name w:val="citation-225"/>
    <w:basedOn w:val="Policepardfaut"/>
    <w:rsid w:val="00C95C06"/>
  </w:style>
  <w:style w:type="character" w:customStyle="1" w:styleId="citation-224">
    <w:name w:val="citation-224"/>
    <w:basedOn w:val="Policepardfaut"/>
    <w:rsid w:val="00C95C06"/>
  </w:style>
  <w:style w:type="character" w:customStyle="1" w:styleId="citation-223">
    <w:name w:val="citation-223"/>
    <w:basedOn w:val="Policepardfaut"/>
    <w:rsid w:val="00C95C06"/>
  </w:style>
  <w:style w:type="character" w:customStyle="1" w:styleId="citation-222">
    <w:name w:val="citation-222"/>
    <w:basedOn w:val="Policepardfaut"/>
    <w:rsid w:val="00C95C06"/>
  </w:style>
  <w:style w:type="character" w:customStyle="1" w:styleId="citation-221">
    <w:name w:val="citation-221"/>
    <w:basedOn w:val="Policepardfaut"/>
    <w:rsid w:val="00C95C06"/>
  </w:style>
  <w:style w:type="character" w:customStyle="1" w:styleId="citation-220">
    <w:name w:val="citation-220"/>
    <w:basedOn w:val="Policepardfaut"/>
    <w:rsid w:val="00C95C06"/>
  </w:style>
  <w:style w:type="character" w:customStyle="1" w:styleId="citation-219">
    <w:name w:val="citation-219"/>
    <w:basedOn w:val="Policepardfaut"/>
    <w:rsid w:val="00C95C06"/>
  </w:style>
  <w:style w:type="character" w:customStyle="1" w:styleId="citation-218">
    <w:name w:val="citation-218"/>
    <w:basedOn w:val="Policepardfaut"/>
    <w:rsid w:val="00C95C06"/>
  </w:style>
  <w:style w:type="character" w:customStyle="1" w:styleId="citation-217">
    <w:name w:val="citation-217"/>
    <w:basedOn w:val="Policepardfaut"/>
    <w:rsid w:val="00C95C06"/>
  </w:style>
  <w:style w:type="character" w:customStyle="1" w:styleId="citation-216">
    <w:name w:val="citation-216"/>
    <w:basedOn w:val="Policepardfaut"/>
    <w:rsid w:val="00C95C06"/>
  </w:style>
  <w:style w:type="character" w:customStyle="1" w:styleId="citation-215">
    <w:name w:val="citation-215"/>
    <w:basedOn w:val="Policepardfaut"/>
    <w:rsid w:val="00C95C06"/>
  </w:style>
  <w:style w:type="character" w:customStyle="1" w:styleId="citation-214">
    <w:name w:val="citation-214"/>
    <w:basedOn w:val="Policepardfaut"/>
    <w:rsid w:val="00C95C06"/>
  </w:style>
  <w:style w:type="character" w:customStyle="1" w:styleId="citation-213">
    <w:name w:val="citation-213"/>
    <w:basedOn w:val="Policepardfaut"/>
    <w:rsid w:val="00C95C06"/>
  </w:style>
  <w:style w:type="character" w:customStyle="1" w:styleId="citation-212">
    <w:name w:val="citation-212"/>
    <w:basedOn w:val="Policepardfaut"/>
    <w:rsid w:val="00C95C06"/>
  </w:style>
  <w:style w:type="character" w:customStyle="1" w:styleId="citation-211">
    <w:name w:val="citation-211"/>
    <w:basedOn w:val="Policepardfaut"/>
    <w:rsid w:val="00C95C06"/>
  </w:style>
  <w:style w:type="character" w:customStyle="1" w:styleId="citation-210">
    <w:name w:val="citation-210"/>
    <w:basedOn w:val="Policepardfaut"/>
    <w:rsid w:val="00C95C06"/>
  </w:style>
  <w:style w:type="character" w:customStyle="1" w:styleId="citation-209">
    <w:name w:val="citation-209"/>
    <w:basedOn w:val="Policepardfaut"/>
    <w:rsid w:val="00C95C06"/>
  </w:style>
  <w:style w:type="character" w:customStyle="1" w:styleId="citation-208">
    <w:name w:val="citation-208"/>
    <w:basedOn w:val="Policepardfaut"/>
    <w:rsid w:val="00C95C06"/>
  </w:style>
  <w:style w:type="character" w:customStyle="1" w:styleId="citation-207">
    <w:name w:val="citation-207"/>
    <w:basedOn w:val="Policepardfaut"/>
    <w:rsid w:val="00C95C06"/>
  </w:style>
  <w:style w:type="character" w:customStyle="1" w:styleId="citation-206">
    <w:name w:val="citation-206"/>
    <w:basedOn w:val="Policepardfaut"/>
    <w:rsid w:val="00C95C06"/>
  </w:style>
  <w:style w:type="character" w:customStyle="1" w:styleId="citation-205">
    <w:name w:val="citation-205"/>
    <w:basedOn w:val="Policepardfaut"/>
    <w:rsid w:val="00C95C06"/>
  </w:style>
  <w:style w:type="character" w:customStyle="1" w:styleId="citation-204">
    <w:name w:val="citation-204"/>
    <w:basedOn w:val="Policepardfaut"/>
    <w:rsid w:val="00C95C06"/>
  </w:style>
  <w:style w:type="character" w:customStyle="1" w:styleId="citation-203">
    <w:name w:val="citation-203"/>
    <w:basedOn w:val="Policepardfaut"/>
    <w:rsid w:val="00C95C06"/>
  </w:style>
  <w:style w:type="character" w:customStyle="1" w:styleId="citation-202">
    <w:name w:val="citation-202"/>
    <w:basedOn w:val="Policepardfaut"/>
    <w:rsid w:val="00C95C06"/>
  </w:style>
  <w:style w:type="character" w:customStyle="1" w:styleId="citation-201">
    <w:name w:val="citation-201"/>
    <w:basedOn w:val="Policepardfaut"/>
    <w:rsid w:val="00C95C06"/>
  </w:style>
  <w:style w:type="character" w:customStyle="1" w:styleId="citation-200">
    <w:name w:val="citation-200"/>
    <w:basedOn w:val="Policepardfaut"/>
    <w:rsid w:val="00C95C06"/>
  </w:style>
  <w:style w:type="character" w:customStyle="1" w:styleId="citation-199">
    <w:name w:val="citation-199"/>
    <w:basedOn w:val="Policepardfaut"/>
    <w:rsid w:val="00C95C06"/>
  </w:style>
  <w:style w:type="character" w:customStyle="1" w:styleId="citation-198">
    <w:name w:val="citation-198"/>
    <w:basedOn w:val="Policepardfaut"/>
    <w:rsid w:val="00C95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426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2899</Words>
  <Characters>16530</Characters>
  <Application>Microsoft Office Word</Application>
  <DocSecurity>0</DocSecurity>
  <Lines>137</Lines>
  <Paragraphs>38</Paragraphs>
  <ScaleCrop>false</ScaleCrop>
  <Company/>
  <LinksUpToDate>false</LinksUpToDate>
  <CharactersWithSpaces>19391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1</cp:revision>
  <dcterms:created xsi:type="dcterms:W3CDTF">2026-06-02T23:14:00Z</dcterms:created>
  <dcterms:modified xsi:type="dcterms:W3CDTF">2026-06-02T23:14:00Z</dcterms:modified>
</cp:coreProperties>
</file>