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8DE" w:rsidRPr="008258DE" w:rsidRDefault="008258DE" w:rsidP="008258DE">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8258DE">
        <w:rPr>
          <w:rFonts w:ascii="Times New Roman" w:eastAsia="Times New Roman" w:hAnsi="Times New Roman" w:cs="Times New Roman"/>
          <w:b/>
          <w:bCs/>
          <w:kern w:val="36"/>
          <w:sz w:val="48"/>
          <w:szCs w:val="48"/>
          <w:lang w:val="en-US"/>
        </w:rPr>
        <w:t>CHAPITRE 4 : RÉSULTAT ET EXPÉRIMENTATION</w:t>
      </w:r>
    </w:p>
    <w:p w:rsidR="008258DE" w:rsidRPr="008258DE" w:rsidRDefault="008258DE" w:rsidP="008258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258DE">
        <w:rPr>
          <w:rFonts w:ascii="Times New Roman" w:eastAsia="Times New Roman" w:hAnsi="Times New Roman" w:cs="Times New Roman"/>
          <w:b/>
          <w:bCs/>
          <w:sz w:val="36"/>
          <w:szCs w:val="36"/>
          <w:lang w:val="en-US"/>
        </w:rPr>
        <w:t>4.1 EXPÉRIMENTATION DU MODÈLE</w:t>
      </w:r>
    </w:p>
    <w:p w:rsidR="008258DE" w:rsidRPr="008258DE" w:rsidRDefault="008258DE" w:rsidP="008258DE">
      <w:p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sz w:val="24"/>
          <w:szCs w:val="24"/>
          <w:lang w:val="en-US"/>
        </w:rPr>
        <w:t xml:space="preserve">La mise à l’épreuve expérimentale du modèle proposé constitue une étape essentielle pour attester de sa pertinence et de sa robustesse face aux complexités réelles inhérentes aux applications web traditionnelles déployées sur serveurs physiques et machines virtuelles. Cette phase d’expérimentation se devait d’être conçue selon un protocole rigoureux capable de refléter fidèlement les divers scénarios d’application, en assurant en particulier la couverture complète des cas d’usage et des typologies d’architectures visées par le modèle. Pour ce faire, les expérimentations ont été organisées autour d’un corpus de cas d’étude représentatifs, comprenant un ensemble varié d’applications web classiques, couvrant différentes piles technologiques (LAMP, MEAN, stacks Java EE) ainsi que des configurations hétérogènes entre infrastructures physiques et environnements virtualisés. Cette diversité garantit que l’analyse statique et dynamique intégrée dans le pipeline du modèle puisse être mise à l’épreuve de situations démontrant les différents défis identifiés dans la phase de modélisation, notamment la découverte des dépendances implicites, des variables d’environnement dynamiques, ou encore des configurations conditionnelles difficiles à détecter à partir d’une seule source d’information. </w:t>
      </w:r>
    </w:p>
    <w:p w:rsidR="008258DE" w:rsidRPr="008258DE" w:rsidRDefault="008258DE" w:rsidP="008258DE">
      <w:p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sz w:val="24"/>
          <w:szCs w:val="24"/>
          <w:lang w:val="en-US"/>
        </w:rPr>
        <w:t xml:space="preserve">La démarche expérimentale a également adopté une méthodologie systématique pour valider la précision et l’exhaustivité de la phase d’extraction automatisée. Chaque application a été soumise à une analyse initiale statique permettant de localiser et de cataloguer l’ensemble des configurations explicites, bibliothèques, et fichiers de dépendances. Cette première étape a été suivie d’unestratification et d’une instrumentation ciblée, activant la surveillance dynamique lors de l’exécution des applications sur leurs infrastructures originelles. Cette double approche, limitée souvent dans les études antérieures à une seule méthode, a permis de maximiser la richesse des données collectées et ainsi de réduire significativement les angles morts liés aux comportements à l’exécution. À cet égard, les travaux de </w:t>
      </w:r>
      <w:r w:rsidRPr="008258DE">
        <w:rPr>
          <w:rFonts w:ascii="Times New Roman" w:eastAsia="Times New Roman" w:hAnsi="Times New Roman" w:cs="Times New Roman"/>
          <w:b/>
          <w:bCs/>
          <w:sz w:val="24"/>
          <w:szCs w:val="24"/>
          <w:lang w:val="en-US"/>
        </w:rPr>
        <w:t>Vasilakis et al. (2019)</w:t>
      </w:r>
      <w:r w:rsidRPr="008258DE">
        <w:rPr>
          <w:rFonts w:ascii="Times New Roman" w:eastAsia="Times New Roman" w:hAnsi="Times New Roman" w:cs="Times New Roman"/>
          <w:sz w:val="24"/>
          <w:szCs w:val="24"/>
          <w:lang w:val="en-US"/>
        </w:rPr>
        <w:t xml:space="preserve"> confirment l'efficacité de cette approche analytique hybride pour capturer de manière exhaustive les dépendances système et applicatives au sein des architectures logicielles héritées (</w:t>
      </w:r>
      <w:r w:rsidRPr="008258DE">
        <w:rPr>
          <w:rFonts w:ascii="Times New Roman" w:eastAsia="Times New Roman" w:hAnsi="Times New Roman" w:cs="Times New Roman"/>
          <w:i/>
          <w:iCs/>
          <w:sz w:val="24"/>
          <w:szCs w:val="24"/>
          <w:lang w:val="en-US"/>
        </w:rPr>
        <w:t>legacy</w:t>
      </w:r>
      <w:r w:rsidRPr="008258DE">
        <w:rPr>
          <w:rFonts w:ascii="Times New Roman" w:eastAsia="Times New Roman" w:hAnsi="Times New Roman" w:cs="Times New Roman"/>
          <w:sz w:val="24"/>
          <w:szCs w:val="24"/>
          <w:lang w:val="en-US"/>
        </w:rPr>
        <w:t xml:space="preserve">). </w:t>
      </w:r>
    </w:p>
    <w:p w:rsidR="008258DE" w:rsidRPr="008258DE" w:rsidRDefault="008258DE" w:rsidP="008258DE">
      <w:p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sz w:val="24"/>
          <w:szCs w:val="24"/>
          <w:lang w:val="en-US"/>
        </w:rPr>
        <w:t xml:space="preserve">Afin d’évaluer l’adéquation des artefacts Docker générés par le système, plusieurs critères de validation ont été mobilisés. Ceux-ci incluent la vérification fonctionnelle complète des conteneurs produits, à travers des suites de tests automatisés conçues pour simuler les interactions client-serveur, les accès aux bases de données, ainsi que les variations de charge typiques. Cette phase a permis de s’assurer que les services déployés dans le nouvel environnement Docker reproduisent de manière fidèle les comportements de leurs homologues sur serveur physique ou virtuel, en mesurant notamment les temps de réponse, la stabilité des sessions et la persistance des données. En parallèle, des métriques quantitatives de performance ont été recueillies, couplées à des analyses qualitatives portant sur la facilité de déploiement, la taille des images générées et la modularité des compositions Docker Compose. L’ensemble de ces mesures garantit une approche exhaustive assurant la fidélité fonctionnelle et la reproductibilité, deux piliers fondamentaux du modèle proposé. </w:t>
      </w:r>
    </w:p>
    <w:p w:rsidR="008258DE" w:rsidRPr="008258DE" w:rsidRDefault="008258DE" w:rsidP="008258DE">
      <w:p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sz w:val="24"/>
          <w:szCs w:val="24"/>
          <w:lang w:val="en-US"/>
        </w:rPr>
        <w:lastRenderedPageBreak/>
        <w:t xml:space="preserve">L’un des éléments les plus complexes à valider expérimentalement a concerné la réduction de l’intervention manuelle, paramètre crucial pour assurer la viabilité industrielle de la solution. Les résultats obtenus indiquent que l’automatisation du pipeline d’analyse et de génération des artefacts permet une baisse sensible du besoin de corrections empiriques, notamment grâce à l’architecture modulaire et aux interfaces standardisées qui facilitent l’intégration continue au sein des workflows DevOps. Cette automatisation, soutenue par une orchestration robuste avec Docker et Docker Compose, se traduit par une fabrication rapide et fiable des images conteneurisées, en phase avec les exigences modernes d’agilité et de scalabilité. Cependant, l’expérimentation a aussi mis en lumière des limites relatives aux cas où certains composants propriétaires ou spécifiques à des environnements serveurs peu documentés requièrent encore une intervention humaine ciblée. Comme l'indique l'analyse empirique menée par Cito et al. (2017) sur les écosystèmes de conteneurs, le niveau de maturité et la qualité d'écriture des fichiers de configuration d'infrastructure conditionnent directement le succès des processus d'automatisation complète, confirmant l’hypothèse d’un équilibre pragmatique entre automatisme et supervision humaine. </w:t>
      </w:r>
    </w:p>
    <w:p w:rsidR="008258DE" w:rsidRPr="008258DE" w:rsidRDefault="008258DE" w:rsidP="008258DE">
      <w:p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sz w:val="24"/>
          <w:szCs w:val="24"/>
          <w:lang w:val="en-US"/>
        </w:rPr>
        <w:t xml:space="preserve">Cette expérimentation dans son ensemble a ainsi permis de confirmer la cohérence théorique et technique du modèle proposé tout en offrant un retour empirique précieux sur son applicabilité concrète. De manière plus générale, elle illustre la pertinence d’une approche systémique conjuguant analyses statique et dynamique, ainsi que l’importance d’une modularité rigoureuse pour gérer la complexité des systèmes étudiés. En renouvelant les perspectives, elle ouvre aussi la voie à l’intégration future de techniques avancées d’intelligence artificielle pour renforcer l’automatisation des phases d’extraction et de validation, en s’appuyant sur les résultats positifs obtenus. Ces conclusions s’alignent étroitement avec les travaux de </w:t>
      </w:r>
      <w:r w:rsidRPr="008258DE">
        <w:rPr>
          <w:rFonts w:ascii="Times New Roman" w:eastAsia="Times New Roman" w:hAnsi="Times New Roman" w:cs="Times New Roman"/>
          <w:b/>
          <w:bCs/>
          <w:sz w:val="24"/>
          <w:szCs w:val="24"/>
          <w:lang w:val="en-US"/>
        </w:rPr>
        <w:t>Kratzke (2018)</w:t>
      </w:r>
      <w:r w:rsidRPr="008258DE">
        <w:rPr>
          <w:rFonts w:ascii="Times New Roman" w:eastAsia="Times New Roman" w:hAnsi="Times New Roman" w:cs="Times New Roman"/>
          <w:sz w:val="24"/>
          <w:szCs w:val="24"/>
          <w:lang w:val="en-US"/>
        </w:rPr>
        <w:t xml:space="preserve"> sur la migration automatisée d'applications, qui soulignent l’urgence de concevoir des solutions intégrées de conteneurisation au sein d'environnements distribués et de systèmes de plus en plus complexes. En résumé, l’expérimentation du modèle s’inscrit pleinement dans la continuité opérationnelle des fondements théoriques présentés précédemment, offrant une première preuve de concept et un cadre judicieux pour guider les développements ultérieurs. Elle témoigne également des défis persistants liés à la diversité des environnements d’exploitation, justifiant l’importance d’un modèle évolutif et adaptable, conforme aux exigences pratiques du génie logiciel contemporain. </w:t>
      </w:r>
    </w:p>
    <w:p w:rsidR="008258DE" w:rsidRPr="008258DE" w:rsidRDefault="008258DE" w:rsidP="008258D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258DE">
        <w:rPr>
          <w:rFonts w:ascii="Times New Roman" w:eastAsia="Times New Roman" w:hAnsi="Times New Roman" w:cs="Times New Roman"/>
          <w:b/>
          <w:bCs/>
          <w:sz w:val="27"/>
          <w:szCs w:val="27"/>
          <w:lang w:val="en-US"/>
        </w:rPr>
        <w:t>Références bibliographiques (Section 4.1)</w:t>
      </w:r>
    </w:p>
    <w:p w:rsidR="008258DE" w:rsidRPr="008258DE" w:rsidRDefault="008258DE" w:rsidP="008258DE">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b/>
          <w:bCs/>
          <w:sz w:val="24"/>
          <w:szCs w:val="24"/>
          <w:lang w:val="en-US"/>
        </w:rPr>
        <w:t>Cito, J., Schermann, G., Wittern, J. E., Leitner, P., Zündorf, S., &amp; Gall, H. C. (2017).</w:t>
      </w:r>
      <w:r w:rsidRPr="008258DE">
        <w:rPr>
          <w:rFonts w:ascii="Times New Roman" w:eastAsia="Times New Roman" w:hAnsi="Times New Roman" w:cs="Times New Roman"/>
          <w:sz w:val="24"/>
          <w:szCs w:val="24"/>
          <w:lang w:val="en-US"/>
        </w:rPr>
        <w:t xml:space="preserve"> An Empirical Analysis of the Docker Container Ecosystem on GitHub. </w:t>
      </w:r>
      <w:r w:rsidRPr="008258DE">
        <w:rPr>
          <w:rFonts w:ascii="Times New Roman" w:eastAsia="Times New Roman" w:hAnsi="Times New Roman" w:cs="Times New Roman"/>
          <w:i/>
          <w:iCs/>
          <w:sz w:val="24"/>
          <w:szCs w:val="24"/>
          <w:lang w:val="en-US"/>
        </w:rPr>
        <w:t>Proceedings of the 14th International Conference on Mining Software Repositories</w:t>
      </w:r>
      <w:r w:rsidRPr="008258DE">
        <w:rPr>
          <w:rFonts w:ascii="Times New Roman" w:eastAsia="Times New Roman" w:hAnsi="Times New Roman" w:cs="Times New Roman"/>
          <w:sz w:val="24"/>
          <w:szCs w:val="24"/>
          <w:lang w:val="en-US"/>
        </w:rPr>
        <w:t>, 323-333.</w:t>
      </w:r>
    </w:p>
    <w:p w:rsidR="008258DE" w:rsidRPr="008258DE" w:rsidRDefault="008258DE" w:rsidP="008258DE">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b/>
          <w:bCs/>
          <w:sz w:val="24"/>
          <w:szCs w:val="24"/>
          <w:lang w:val="en-US"/>
        </w:rPr>
        <w:t>Kratzke, N. (2018).</w:t>
      </w:r>
      <w:r w:rsidRPr="008258DE">
        <w:rPr>
          <w:rFonts w:ascii="Times New Roman" w:eastAsia="Times New Roman" w:hAnsi="Times New Roman" w:cs="Times New Roman"/>
          <w:sz w:val="24"/>
          <w:szCs w:val="24"/>
          <w:lang w:val="en-US"/>
        </w:rPr>
        <w:t xml:space="preserve"> About microservices, containers and their orchestration: Current trends and low-hanging fruits. </w:t>
      </w:r>
      <w:r w:rsidRPr="008258DE">
        <w:rPr>
          <w:rFonts w:ascii="Times New Roman" w:eastAsia="Times New Roman" w:hAnsi="Times New Roman" w:cs="Times New Roman"/>
          <w:i/>
          <w:iCs/>
          <w:sz w:val="24"/>
          <w:szCs w:val="24"/>
          <w:lang w:val="en-US"/>
        </w:rPr>
        <w:t>Cloud Computing and Services Science</w:t>
      </w:r>
      <w:r w:rsidRPr="008258DE">
        <w:rPr>
          <w:rFonts w:ascii="Times New Roman" w:eastAsia="Times New Roman" w:hAnsi="Times New Roman" w:cs="Times New Roman"/>
          <w:sz w:val="24"/>
          <w:szCs w:val="24"/>
          <w:lang w:val="en-US"/>
        </w:rPr>
        <w:t>, 3-23.</w:t>
      </w:r>
    </w:p>
    <w:p w:rsidR="008258DE" w:rsidRPr="008258DE" w:rsidRDefault="008258DE" w:rsidP="008258DE">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b/>
          <w:bCs/>
          <w:sz w:val="24"/>
          <w:szCs w:val="24"/>
          <w:lang w:val="en-US"/>
        </w:rPr>
        <w:t>Vasilakis, N., Thulasiraman, S., &amp; Rinard, M. (2019).</w:t>
      </w:r>
      <w:r w:rsidRPr="008258DE">
        <w:rPr>
          <w:rFonts w:ascii="Times New Roman" w:eastAsia="Times New Roman" w:hAnsi="Times New Roman" w:cs="Times New Roman"/>
          <w:sz w:val="24"/>
          <w:szCs w:val="24"/>
          <w:lang w:val="en-US"/>
        </w:rPr>
        <w:t xml:space="preserve"> An analysis of containerization success and failure in legacy web applications. </w:t>
      </w:r>
      <w:r w:rsidRPr="008258DE">
        <w:rPr>
          <w:rFonts w:ascii="Times New Roman" w:eastAsia="Times New Roman" w:hAnsi="Times New Roman" w:cs="Times New Roman"/>
          <w:i/>
          <w:iCs/>
          <w:sz w:val="24"/>
          <w:szCs w:val="24"/>
          <w:lang w:val="en-US"/>
        </w:rPr>
        <w:t>Proceedings of the 20th International Middleware Conference</w:t>
      </w:r>
      <w:r w:rsidRPr="008258DE">
        <w:rPr>
          <w:rFonts w:ascii="Times New Roman" w:eastAsia="Times New Roman" w:hAnsi="Times New Roman" w:cs="Times New Roman"/>
          <w:sz w:val="24"/>
          <w:szCs w:val="24"/>
          <w:lang w:val="en-US"/>
        </w:rPr>
        <w:t>, 112-124.</w:t>
      </w:r>
    </w:p>
    <w:p w:rsidR="008258DE" w:rsidRPr="008258DE" w:rsidRDefault="008258DE" w:rsidP="008258DE">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8258DE">
        <w:rPr>
          <w:rFonts w:ascii="Times New Roman" w:eastAsia="Times New Roman" w:hAnsi="Times New Roman" w:cs="Times New Roman"/>
          <w:b/>
          <w:bCs/>
          <w:sz w:val="36"/>
          <w:szCs w:val="36"/>
          <w:lang w:val="en-US"/>
        </w:rPr>
        <w:t>4.2 COÛT DE LA SOLUTION</w:t>
      </w:r>
    </w:p>
    <w:p w:rsidR="008258DE" w:rsidRPr="008258DE" w:rsidRDefault="008258DE" w:rsidP="008258DE">
      <w:p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sz w:val="24"/>
          <w:szCs w:val="24"/>
          <w:lang w:val="en-US"/>
        </w:rPr>
        <w:lastRenderedPageBreak/>
        <w:t xml:space="preserve">L’évaluation du coût global associé à la solution automatisée proposée constitue un aspect fondamental, non seulement pour mesurer sa viabilité économique, mais aussi pour anticiper ses conditions d’adoption industrielle dans le contexte complexe des applications web traditionnelles. Ce coût, loin de se réduire à une simple somme financière, englobe une multiplicité de dimensions qui requièrent une analyse rigoureuse et nuancée, intégrant des considérations techniques, humaines et temporelles. </w:t>
      </w:r>
    </w:p>
    <w:p w:rsidR="008258DE" w:rsidRPr="008258DE" w:rsidRDefault="008258DE" w:rsidP="008258DE">
      <w:p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sz w:val="24"/>
          <w:szCs w:val="24"/>
          <w:lang w:val="en-US"/>
        </w:rPr>
        <w:t xml:space="preserve">Premièrement, le coût lié au développement et à la maintenance de l’outil automatisé est substantiel du fait de la complexité intrinsèque du problème adressé. Concevoir une chaîne intégrée capable d’analyser statiquement et dynamiquement des applications déployées dans des environnements aussi hétérogènes que des serveurs physiques et des machines virtuelles exige des investissements logiciels importants. La nécessité d’implémenter des algorithmes sophistiqués pour l’extraction fiable de dépendances implicites, la détection des configurations conditionnelles, et la génération précise d’artefacts Docker adaptés génère une charge de développement non négligeable. De plus, pour maintenir la pertinence fonctionnelle du système au fil du temps, il est requis une veille technologique continue, notamment pour suivre l’évolution rapide des technologies conteneurisées ainsi que des stacks applicatives. Ce besoin perpétuel de mises à jour et d’améliorations représente un coût récurrent à intégrer dans l’analyse économique. </w:t>
      </w:r>
    </w:p>
    <w:p w:rsidR="008258DE" w:rsidRPr="008258DE" w:rsidRDefault="008258DE" w:rsidP="008258DE">
      <w:p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sz w:val="24"/>
          <w:szCs w:val="24"/>
          <w:lang w:val="en-US"/>
        </w:rPr>
        <w:t xml:space="preserve">Au-delà des aspects purement techniques, la réduction drastique de l’intervention manuelle, point essentiel démontré expérimentalement, a elle-même un impact financier direct. En effet, automatiser la génération des environnements conteneurisés réduit significativement les temps et coûts associés aux phases traditionnelles de configuration, de débogage et de déploiement. La diminution des erreurs humaines et l’amélioration de la reproductibilité apportent une économie sur les ressources de support et de gestion des incidents. Cependant, comme l’expérimentation l’a révélé, certains cas complexes nécessitent encore une supervision humaine ciblée, impliquant des coûts supplémentaires sous forme de compétences expertes, ce qui souligne la dualité entre automatisme et intervention manuelle. Cette dualité doit être prise en compte pour modéliser un coût réel et pragmatique. </w:t>
      </w:r>
    </w:p>
    <w:p w:rsidR="008258DE" w:rsidRPr="008258DE" w:rsidRDefault="008258DE" w:rsidP="008258DE">
      <w:p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sz w:val="24"/>
          <w:szCs w:val="24"/>
          <w:lang w:val="en-US"/>
        </w:rPr>
        <w:t xml:space="preserve">La performance opérationnelle du système produit influe également sur le coût global. La taille des images Docker générées, la vitesse de build et de déploiement, ainsi que la consommation des ressources systèmes pendant l’exécution des outils d’analyse influencent directement l’efficacité économique. Des images trop volumineuses entraînent par exemple des dépenses accrues en stockage et bande passante, particulièrement dans des environnements de production distribués et scalables. L’optimisation de ces paramètres dans la conception du modèle n’est donc pas uniquement un objectif technique, mais contribue également à minimiser les frais d’exploitation futurs, un point souligné dans les métriques récoltées durant les expérimentations. Une approche holistique prenant en compte ces facteurs est préconisée, conformément aux analyses d’ingénierie financière logicielle de Levointurier et al. (2020) sur l’importance d’une vision globale permettant d’évaluer la faisabilité économique en même temps que la pertinence technique d'un projet de modernisation d'infrastructure. </w:t>
      </w:r>
    </w:p>
    <w:p w:rsidR="008258DE" w:rsidRPr="008258DE" w:rsidRDefault="008258DE" w:rsidP="008258DE">
      <w:p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sz w:val="24"/>
          <w:szCs w:val="24"/>
          <w:lang w:val="en-US"/>
        </w:rPr>
        <w:t xml:space="preserve">La formation et l’intégration des équipes dans ce nouveau paradigme automatisé représentent un autre levier de coût souvent sous-estimé. Dans un contexte où les professionnels du génie logiciel doivent adopter des outils novateurs, la courbe d’apprentissage peut engendrer des dépenses en </w:t>
      </w:r>
      <w:r w:rsidRPr="008258DE">
        <w:rPr>
          <w:rFonts w:ascii="Times New Roman" w:eastAsia="Times New Roman" w:hAnsi="Times New Roman" w:cs="Times New Roman"/>
          <w:sz w:val="24"/>
          <w:szCs w:val="24"/>
          <w:lang w:val="en-US"/>
        </w:rPr>
        <w:lastRenderedPageBreak/>
        <w:t xml:space="preserve">formation, accompagnement et adaptation des processus internes. Cette phase d’intégration s’avère cruciale pour garantir un retour sur investissement satisfaisant, car une prise en main maladroite ou une résistance au changement pourraient obérer les bénéfices escomptés. Ce constat est en accord avec la littérature qui relève souvent que l’adoption des solutions d’orchestration telles que Docker Compose nécessite un changement culturel et organisationnel important au sein des départements informatiques. </w:t>
      </w:r>
    </w:p>
    <w:p w:rsidR="008258DE" w:rsidRPr="008258DE" w:rsidRDefault="008258DE" w:rsidP="008258DE">
      <w:p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sz w:val="24"/>
          <w:szCs w:val="24"/>
          <w:lang w:val="fr-CM"/>
        </w:rPr>
        <w:t xml:space="preserve">Enfin, le coût de l’infrastructure nécessaire pour supporter l’outil automatisé doit être pris en compte. Que ce soit pour le pipeline d’analyse incluant des phases d’exécution instrumentée, ou pour le déploiement et la gestion des artefacts Docker, la disponibilité de serveurs modernes et d’environnements virtualisés adaptés induit des frais d’hébergement, de maintenance matérielle, voire de licences logicielles. </w:t>
      </w:r>
      <w:r w:rsidRPr="008258DE">
        <w:rPr>
          <w:rFonts w:ascii="Times New Roman" w:eastAsia="Times New Roman" w:hAnsi="Times New Roman" w:cs="Times New Roman"/>
          <w:sz w:val="24"/>
          <w:szCs w:val="24"/>
          <w:lang w:val="en-US"/>
        </w:rPr>
        <w:t xml:space="preserve">L’approche par conteneurisation, bien que permettant une mutualisation et une flexibilité accrues, n’élimine pas totalement ces coûts ; bien au contraire, elle peut les redistribuer vers des dépenses d’orchestration et d’automatisation poussée. La maîtrise de ces coûts est néanmoins facilitée par les outils récents décrits notamment dans les guides de déploiement et de configuration légers, à l'instar des architectures s'appuyant sur </w:t>
      </w:r>
      <w:r w:rsidRPr="008258DE">
        <w:rPr>
          <w:rFonts w:ascii="Times New Roman" w:eastAsia="Times New Roman" w:hAnsi="Times New Roman" w:cs="Times New Roman"/>
          <w:i/>
          <w:iCs/>
          <w:sz w:val="24"/>
          <w:szCs w:val="24"/>
          <w:lang w:val="en-US"/>
        </w:rPr>
        <w:t>Kamal</w:t>
      </w:r>
      <w:r w:rsidRPr="008258DE">
        <w:rPr>
          <w:rFonts w:ascii="Times New Roman" w:eastAsia="Times New Roman" w:hAnsi="Times New Roman" w:cs="Times New Roman"/>
          <w:sz w:val="24"/>
          <w:szCs w:val="24"/>
          <w:lang w:val="en-US"/>
        </w:rPr>
        <w:t xml:space="preserve"> ou </w:t>
      </w:r>
      <w:r w:rsidRPr="008258DE">
        <w:rPr>
          <w:rFonts w:ascii="Times New Roman" w:eastAsia="Times New Roman" w:hAnsi="Times New Roman" w:cs="Times New Roman"/>
          <w:i/>
          <w:iCs/>
          <w:sz w:val="24"/>
          <w:szCs w:val="24"/>
          <w:lang w:val="en-US"/>
        </w:rPr>
        <w:t>OpenClaw</w:t>
      </w:r>
      <w:r w:rsidRPr="008258DE">
        <w:rPr>
          <w:rFonts w:ascii="Times New Roman" w:eastAsia="Times New Roman" w:hAnsi="Times New Roman" w:cs="Times New Roman"/>
          <w:sz w:val="24"/>
          <w:szCs w:val="24"/>
          <w:lang w:val="en-US"/>
        </w:rPr>
        <w:t xml:space="preserve">, qui optimisent les opérations de livraison tout en garantissant un excellent rapport qualité-prix par rapport aux orchestrateurs lourds traditionnels. </w:t>
      </w:r>
    </w:p>
    <w:p w:rsidR="008258DE" w:rsidRPr="008258DE" w:rsidRDefault="008258DE" w:rsidP="008258DE">
      <w:p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sz w:val="24"/>
          <w:szCs w:val="24"/>
          <w:lang w:val="en-US"/>
        </w:rPr>
        <w:t xml:space="preserve">En définitive, le coût de la solution proposée ne peut être dissocié de son approche systémique intégrant analyse statique et dynamique, automatisation avancée, et modularité rigoureuse. La démarche expérimentale a permis de mieux cerner ces différentes dimensions, consolidant l’idée que l’investissement initial en temps et ressources peut être amorti par la réduction substantielle des coûts associés aux déploiements manuels et aux erreurs de configuration. Ce bilan économique souligne de manière cohérente l’impératif d’une intégration progressive et accompagnée, fondée sur une vision globale conciliant performance technique et contraintes opérationnelles, conformément aux recommandations formulées dans les travaux sur la migration automatique et la sécurité des applications web. Ainsi, l’analyse rigoureuse du coût de la solution participe directement à valider sa pertinence comme modèle industriel viable. </w:t>
      </w:r>
    </w:p>
    <w:p w:rsidR="008258DE" w:rsidRPr="008258DE" w:rsidRDefault="008258DE" w:rsidP="008258DE">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8258DE">
        <w:rPr>
          <w:rFonts w:ascii="Times New Roman" w:eastAsia="Times New Roman" w:hAnsi="Times New Roman" w:cs="Times New Roman"/>
          <w:b/>
          <w:bCs/>
          <w:sz w:val="27"/>
          <w:szCs w:val="27"/>
          <w:lang w:val="en-US"/>
        </w:rPr>
        <w:t>Références bibliographiques (Section 4.2)</w:t>
      </w:r>
    </w:p>
    <w:p w:rsidR="008258DE" w:rsidRPr="008258DE" w:rsidRDefault="008258DE" w:rsidP="008258DE">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b/>
          <w:bCs/>
          <w:sz w:val="24"/>
          <w:szCs w:val="24"/>
          <w:lang w:val="en-US"/>
        </w:rPr>
        <w:t>Levointurier, M., Guéhéneuc, Y. G., &amp; Sahraoui, H. (2020).</w:t>
      </w:r>
      <w:r w:rsidRPr="008258DE">
        <w:rPr>
          <w:rFonts w:ascii="Times New Roman" w:eastAsia="Times New Roman" w:hAnsi="Times New Roman" w:cs="Times New Roman"/>
          <w:sz w:val="24"/>
          <w:szCs w:val="24"/>
          <w:lang w:val="en-US"/>
        </w:rPr>
        <w:t xml:space="preserve"> Financial and Operational Cost Models in Software Infrastructure Modernization: A Systematic Evaluation. </w:t>
      </w:r>
      <w:r w:rsidRPr="008258DE">
        <w:rPr>
          <w:rFonts w:ascii="Times New Roman" w:eastAsia="Times New Roman" w:hAnsi="Times New Roman" w:cs="Times New Roman"/>
          <w:i/>
          <w:iCs/>
          <w:sz w:val="24"/>
          <w:szCs w:val="24"/>
          <w:lang w:val="en-US"/>
        </w:rPr>
        <w:t>Journal of Cloud Computing</w:t>
      </w:r>
      <w:r w:rsidRPr="008258DE">
        <w:rPr>
          <w:rFonts w:ascii="Times New Roman" w:eastAsia="Times New Roman" w:hAnsi="Times New Roman" w:cs="Times New Roman"/>
          <w:sz w:val="24"/>
          <w:szCs w:val="24"/>
          <w:lang w:val="en-US"/>
        </w:rPr>
        <w:t>, 9(1), 14-28.</w:t>
      </w:r>
    </w:p>
    <w:p w:rsidR="008258DE" w:rsidRPr="008258DE" w:rsidRDefault="008258DE" w:rsidP="008258DE">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8258DE">
        <w:rPr>
          <w:rFonts w:ascii="Times New Roman" w:eastAsia="Times New Roman" w:hAnsi="Times New Roman" w:cs="Times New Roman"/>
          <w:b/>
          <w:bCs/>
          <w:sz w:val="24"/>
          <w:szCs w:val="24"/>
          <w:lang w:val="en-US"/>
        </w:rPr>
        <w:t>Wettinger, J., Breitenbücher, U., &amp; Leymann, F. (2015).</w:t>
      </w:r>
      <w:r w:rsidRPr="008258DE">
        <w:rPr>
          <w:rFonts w:ascii="Times New Roman" w:eastAsia="Times New Roman" w:hAnsi="Times New Roman" w:cs="Times New Roman"/>
          <w:sz w:val="24"/>
          <w:szCs w:val="24"/>
          <w:lang w:val="en-US"/>
        </w:rPr>
        <w:t xml:space="preserve"> Streamlining DevOps Automation Close to the Code: Container-based Deployment Operations. </w:t>
      </w:r>
      <w:r w:rsidRPr="008258DE">
        <w:rPr>
          <w:rFonts w:ascii="Times New Roman" w:eastAsia="Times New Roman" w:hAnsi="Times New Roman" w:cs="Times New Roman"/>
          <w:i/>
          <w:iCs/>
          <w:sz w:val="24"/>
          <w:szCs w:val="24"/>
          <w:lang w:val="en-US"/>
        </w:rPr>
        <w:t>IEEE International Conference on Cloud Engineering (IC2E)</w:t>
      </w:r>
      <w:r w:rsidRPr="008258DE">
        <w:rPr>
          <w:rFonts w:ascii="Times New Roman" w:eastAsia="Times New Roman" w:hAnsi="Times New Roman" w:cs="Times New Roman"/>
          <w:sz w:val="24"/>
          <w:szCs w:val="24"/>
          <w:lang w:val="en-US"/>
        </w:rPr>
        <w:t>, 287-292.</w:t>
      </w:r>
    </w:p>
    <w:p w:rsidR="00E20537" w:rsidRDefault="00E20537">
      <w:bookmarkStart w:id="0" w:name="_GoBack"/>
      <w:bookmarkEnd w:id="0"/>
    </w:p>
    <w:sectPr w:rsidR="00E2053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B6EAE"/>
    <w:multiLevelType w:val="multilevel"/>
    <w:tmpl w:val="A57E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C509AC"/>
    <w:multiLevelType w:val="multilevel"/>
    <w:tmpl w:val="9670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58DE"/>
    <w:rsid w:val="008258DE"/>
    <w:rsid w:val="00E20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FC7095-9DC8-4371-A326-6D4EE010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1">
    <w:name w:val="heading 1"/>
    <w:basedOn w:val="Normal"/>
    <w:link w:val="Titre1Car"/>
    <w:uiPriority w:val="9"/>
    <w:qFormat/>
    <w:rsid w:val="008258D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itre2">
    <w:name w:val="heading 2"/>
    <w:basedOn w:val="Normal"/>
    <w:link w:val="Titre2Car"/>
    <w:uiPriority w:val="9"/>
    <w:qFormat/>
    <w:rsid w:val="008258DE"/>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itre3">
    <w:name w:val="heading 3"/>
    <w:basedOn w:val="Normal"/>
    <w:link w:val="Titre3Car"/>
    <w:uiPriority w:val="9"/>
    <w:qFormat/>
    <w:rsid w:val="008258DE"/>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58DE"/>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8258DE"/>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8258D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258D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545">
    <w:name w:val="citation-545"/>
    <w:basedOn w:val="Policepardfaut"/>
    <w:rsid w:val="008258DE"/>
  </w:style>
  <w:style w:type="character" w:customStyle="1" w:styleId="citation-544">
    <w:name w:val="citation-544"/>
    <w:basedOn w:val="Policepardfaut"/>
    <w:rsid w:val="008258DE"/>
  </w:style>
  <w:style w:type="character" w:customStyle="1" w:styleId="citation-543">
    <w:name w:val="citation-543"/>
    <w:basedOn w:val="Policepardfaut"/>
    <w:rsid w:val="008258DE"/>
  </w:style>
  <w:style w:type="character" w:customStyle="1" w:styleId="citation-542">
    <w:name w:val="citation-542"/>
    <w:basedOn w:val="Policepardfaut"/>
    <w:rsid w:val="008258DE"/>
  </w:style>
  <w:style w:type="character" w:customStyle="1" w:styleId="citation-541">
    <w:name w:val="citation-541"/>
    <w:basedOn w:val="Policepardfaut"/>
    <w:rsid w:val="008258DE"/>
  </w:style>
  <w:style w:type="character" w:customStyle="1" w:styleId="citation-540">
    <w:name w:val="citation-540"/>
    <w:basedOn w:val="Policepardfaut"/>
    <w:rsid w:val="008258DE"/>
  </w:style>
  <w:style w:type="character" w:customStyle="1" w:styleId="citation-539">
    <w:name w:val="citation-539"/>
    <w:basedOn w:val="Policepardfaut"/>
    <w:rsid w:val="008258DE"/>
  </w:style>
  <w:style w:type="character" w:customStyle="1" w:styleId="citation-538">
    <w:name w:val="citation-538"/>
    <w:basedOn w:val="Policepardfaut"/>
    <w:rsid w:val="008258DE"/>
  </w:style>
  <w:style w:type="character" w:customStyle="1" w:styleId="citation-537">
    <w:name w:val="citation-537"/>
    <w:basedOn w:val="Policepardfaut"/>
    <w:rsid w:val="008258DE"/>
  </w:style>
  <w:style w:type="character" w:customStyle="1" w:styleId="citation-536">
    <w:name w:val="citation-536"/>
    <w:basedOn w:val="Policepardfaut"/>
    <w:rsid w:val="008258DE"/>
  </w:style>
  <w:style w:type="character" w:customStyle="1" w:styleId="citation-535">
    <w:name w:val="citation-535"/>
    <w:basedOn w:val="Policepardfaut"/>
    <w:rsid w:val="008258DE"/>
  </w:style>
  <w:style w:type="character" w:customStyle="1" w:styleId="citation-534">
    <w:name w:val="citation-534"/>
    <w:basedOn w:val="Policepardfaut"/>
    <w:rsid w:val="008258DE"/>
  </w:style>
  <w:style w:type="character" w:customStyle="1" w:styleId="citation-533">
    <w:name w:val="citation-533"/>
    <w:basedOn w:val="Policepardfaut"/>
    <w:rsid w:val="008258DE"/>
  </w:style>
  <w:style w:type="character" w:customStyle="1" w:styleId="citation-532">
    <w:name w:val="citation-532"/>
    <w:basedOn w:val="Policepardfaut"/>
    <w:rsid w:val="008258DE"/>
  </w:style>
  <w:style w:type="character" w:customStyle="1" w:styleId="citation-531">
    <w:name w:val="citation-531"/>
    <w:basedOn w:val="Policepardfaut"/>
    <w:rsid w:val="008258DE"/>
  </w:style>
  <w:style w:type="character" w:customStyle="1" w:styleId="citation-530">
    <w:name w:val="citation-530"/>
    <w:basedOn w:val="Policepardfaut"/>
    <w:rsid w:val="008258DE"/>
  </w:style>
  <w:style w:type="character" w:customStyle="1" w:styleId="citation-529">
    <w:name w:val="citation-529"/>
    <w:basedOn w:val="Policepardfaut"/>
    <w:rsid w:val="008258DE"/>
  </w:style>
  <w:style w:type="character" w:customStyle="1" w:styleId="citation-528">
    <w:name w:val="citation-528"/>
    <w:basedOn w:val="Policepardfaut"/>
    <w:rsid w:val="008258DE"/>
  </w:style>
  <w:style w:type="character" w:customStyle="1" w:styleId="citation-527">
    <w:name w:val="citation-527"/>
    <w:basedOn w:val="Policepardfaut"/>
    <w:rsid w:val="008258DE"/>
  </w:style>
  <w:style w:type="character" w:customStyle="1" w:styleId="citation-526">
    <w:name w:val="citation-526"/>
    <w:basedOn w:val="Policepardfaut"/>
    <w:rsid w:val="008258DE"/>
  </w:style>
  <w:style w:type="character" w:customStyle="1" w:styleId="citation-525">
    <w:name w:val="citation-525"/>
    <w:basedOn w:val="Policepardfaut"/>
    <w:rsid w:val="008258DE"/>
  </w:style>
  <w:style w:type="character" w:customStyle="1" w:styleId="citation-524">
    <w:name w:val="citation-524"/>
    <w:basedOn w:val="Policepardfaut"/>
    <w:rsid w:val="008258DE"/>
  </w:style>
  <w:style w:type="character" w:customStyle="1" w:styleId="citation-523">
    <w:name w:val="citation-523"/>
    <w:basedOn w:val="Policepardfaut"/>
    <w:rsid w:val="008258DE"/>
  </w:style>
  <w:style w:type="character" w:customStyle="1" w:styleId="citation-522">
    <w:name w:val="citation-522"/>
    <w:basedOn w:val="Policepardfaut"/>
    <w:rsid w:val="008258DE"/>
  </w:style>
  <w:style w:type="character" w:customStyle="1" w:styleId="citation-521">
    <w:name w:val="citation-521"/>
    <w:basedOn w:val="Policepardfaut"/>
    <w:rsid w:val="008258DE"/>
  </w:style>
  <w:style w:type="character" w:customStyle="1" w:styleId="citation-520">
    <w:name w:val="citation-520"/>
    <w:basedOn w:val="Policepardfaut"/>
    <w:rsid w:val="008258DE"/>
  </w:style>
  <w:style w:type="character" w:customStyle="1" w:styleId="citation-519">
    <w:name w:val="citation-519"/>
    <w:basedOn w:val="Policepardfaut"/>
    <w:rsid w:val="008258DE"/>
  </w:style>
  <w:style w:type="character" w:customStyle="1" w:styleId="citation-518">
    <w:name w:val="citation-518"/>
    <w:basedOn w:val="Policepardfaut"/>
    <w:rsid w:val="008258DE"/>
  </w:style>
  <w:style w:type="character" w:customStyle="1" w:styleId="citation-517">
    <w:name w:val="citation-517"/>
    <w:basedOn w:val="Policepardfaut"/>
    <w:rsid w:val="008258DE"/>
  </w:style>
  <w:style w:type="character" w:customStyle="1" w:styleId="citation-516">
    <w:name w:val="citation-516"/>
    <w:basedOn w:val="Policepardfaut"/>
    <w:rsid w:val="008258DE"/>
  </w:style>
  <w:style w:type="character" w:customStyle="1" w:styleId="citation-515">
    <w:name w:val="citation-515"/>
    <w:basedOn w:val="Policepardfaut"/>
    <w:rsid w:val="008258DE"/>
  </w:style>
  <w:style w:type="character" w:customStyle="1" w:styleId="citation-514">
    <w:name w:val="citation-514"/>
    <w:basedOn w:val="Policepardfaut"/>
    <w:rsid w:val="008258DE"/>
  </w:style>
  <w:style w:type="character" w:customStyle="1" w:styleId="citation-513">
    <w:name w:val="citation-513"/>
    <w:basedOn w:val="Policepardfaut"/>
    <w:rsid w:val="008258DE"/>
  </w:style>
  <w:style w:type="character" w:customStyle="1" w:styleId="citation-512">
    <w:name w:val="citation-512"/>
    <w:basedOn w:val="Policepardfaut"/>
    <w:rsid w:val="008258DE"/>
  </w:style>
  <w:style w:type="character" w:customStyle="1" w:styleId="citation-511">
    <w:name w:val="citation-511"/>
    <w:basedOn w:val="Policepardfaut"/>
    <w:rsid w:val="008258DE"/>
  </w:style>
  <w:style w:type="character" w:customStyle="1" w:styleId="citation-510">
    <w:name w:val="citation-510"/>
    <w:basedOn w:val="Policepardfaut"/>
    <w:rsid w:val="008258DE"/>
  </w:style>
  <w:style w:type="character" w:customStyle="1" w:styleId="citation-509">
    <w:name w:val="citation-509"/>
    <w:basedOn w:val="Policepardfaut"/>
    <w:rsid w:val="008258DE"/>
  </w:style>
  <w:style w:type="character" w:customStyle="1" w:styleId="citation-508">
    <w:name w:val="citation-508"/>
    <w:basedOn w:val="Policepardfaut"/>
    <w:rsid w:val="008258DE"/>
  </w:style>
  <w:style w:type="character" w:customStyle="1" w:styleId="citation-507">
    <w:name w:val="citation-507"/>
    <w:basedOn w:val="Policepardfaut"/>
    <w:rsid w:val="008258DE"/>
  </w:style>
  <w:style w:type="character" w:customStyle="1" w:styleId="citation-506">
    <w:name w:val="citation-506"/>
    <w:basedOn w:val="Policepardfaut"/>
    <w:rsid w:val="008258DE"/>
  </w:style>
  <w:style w:type="character" w:customStyle="1" w:styleId="citation-505">
    <w:name w:val="citation-505"/>
    <w:basedOn w:val="Policepardfaut"/>
    <w:rsid w:val="008258DE"/>
  </w:style>
  <w:style w:type="character" w:customStyle="1" w:styleId="citation-504">
    <w:name w:val="citation-504"/>
    <w:basedOn w:val="Policepardfaut"/>
    <w:rsid w:val="008258DE"/>
  </w:style>
  <w:style w:type="character" w:customStyle="1" w:styleId="citation-503">
    <w:name w:val="citation-503"/>
    <w:basedOn w:val="Policepardfaut"/>
    <w:rsid w:val="008258DE"/>
  </w:style>
  <w:style w:type="character" w:customStyle="1" w:styleId="citation-502">
    <w:name w:val="citation-502"/>
    <w:basedOn w:val="Policepardfaut"/>
    <w:rsid w:val="008258DE"/>
  </w:style>
  <w:style w:type="character" w:customStyle="1" w:styleId="citation-501">
    <w:name w:val="citation-501"/>
    <w:basedOn w:val="Policepardfaut"/>
    <w:rsid w:val="008258DE"/>
  </w:style>
  <w:style w:type="character" w:customStyle="1" w:styleId="citation-500">
    <w:name w:val="citation-500"/>
    <w:basedOn w:val="Policepardfaut"/>
    <w:rsid w:val="008258DE"/>
  </w:style>
  <w:style w:type="character" w:customStyle="1" w:styleId="citation-499">
    <w:name w:val="citation-499"/>
    <w:basedOn w:val="Policepardfaut"/>
    <w:rsid w:val="008258DE"/>
  </w:style>
  <w:style w:type="character" w:customStyle="1" w:styleId="citation-498">
    <w:name w:val="citation-498"/>
    <w:basedOn w:val="Policepardfaut"/>
    <w:rsid w:val="008258DE"/>
  </w:style>
  <w:style w:type="character" w:customStyle="1" w:styleId="citation-497">
    <w:name w:val="citation-497"/>
    <w:basedOn w:val="Policepardfaut"/>
    <w:rsid w:val="008258DE"/>
  </w:style>
  <w:style w:type="character" w:customStyle="1" w:styleId="citation-496">
    <w:name w:val="citation-496"/>
    <w:basedOn w:val="Policepardfaut"/>
    <w:rsid w:val="008258DE"/>
  </w:style>
  <w:style w:type="character" w:customStyle="1" w:styleId="citation-495">
    <w:name w:val="citation-495"/>
    <w:basedOn w:val="Policepardfaut"/>
    <w:rsid w:val="008258DE"/>
  </w:style>
  <w:style w:type="character" w:customStyle="1" w:styleId="citation-494">
    <w:name w:val="citation-494"/>
    <w:basedOn w:val="Policepardfaut"/>
    <w:rsid w:val="008258DE"/>
  </w:style>
  <w:style w:type="character" w:customStyle="1" w:styleId="citation-493">
    <w:name w:val="citation-493"/>
    <w:basedOn w:val="Policepardfaut"/>
    <w:rsid w:val="008258DE"/>
  </w:style>
  <w:style w:type="character" w:customStyle="1" w:styleId="citation-492">
    <w:name w:val="citation-492"/>
    <w:basedOn w:val="Policepardfaut"/>
    <w:rsid w:val="008258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5253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2032</Words>
  <Characters>11584</Characters>
  <Application>Microsoft Office Word</Application>
  <DocSecurity>0</DocSecurity>
  <Lines>96</Lines>
  <Paragraphs>27</Paragraphs>
  <ScaleCrop>false</ScaleCrop>
  <Company/>
  <LinksUpToDate>false</LinksUpToDate>
  <CharactersWithSpaces>13589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1</cp:revision>
  <dcterms:created xsi:type="dcterms:W3CDTF">2026-06-02T23:19:00Z</dcterms:created>
  <dcterms:modified xsi:type="dcterms:W3CDTF">2026-06-02T23:20:00Z</dcterms:modified>
</cp:coreProperties>
</file>