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196" w:rsidRPr="00282196" w:rsidRDefault="00282196" w:rsidP="00282196">
      <w:pPr>
        <w:spacing w:before="100" w:beforeAutospacing="1" w:after="100" w:afterAutospacing="1" w:line="240" w:lineRule="auto"/>
        <w:outlineLvl w:val="0"/>
        <w:rPr>
          <w:rFonts w:ascii="Times New Roman" w:eastAsia="Times New Roman" w:hAnsi="Times New Roman" w:cs="Times New Roman"/>
          <w:b/>
          <w:bCs/>
          <w:kern w:val="36"/>
          <w:sz w:val="48"/>
          <w:szCs w:val="48"/>
          <w:lang w:val="fr-CM"/>
        </w:rPr>
      </w:pPr>
      <w:bookmarkStart w:id="0" w:name="_GoBack"/>
      <w:bookmarkEnd w:id="0"/>
      <w:r w:rsidRPr="00282196">
        <w:rPr>
          <w:rFonts w:ascii="Times New Roman" w:eastAsia="Times New Roman" w:hAnsi="Times New Roman" w:cs="Times New Roman"/>
          <w:b/>
          <w:bCs/>
          <w:kern w:val="36"/>
          <w:sz w:val="48"/>
          <w:szCs w:val="48"/>
          <w:lang w:val="fr-CM"/>
        </w:rPr>
        <w:t>CHAPITRE 5 : RÉSUMÉ, CONCLUSION ET RECOMMANDATIONS</w:t>
      </w:r>
    </w:p>
    <w:p w:rsidR="00282196" w:rsidRPr="00282196" w:rsidRDefault="00282196" w:rsidP="00282196">
      <w:pPr>
        <w:spacing w:before="100" w:beforeAutospacing="1" w:after="100" w:afterAutospacing="1" w:line="240" w:lineRule="auto"/>
        <w:outlineLvl w:val="1"/>
        <w:rPr>
          <w:rFonts w:ascii="Times New Roman" w:eastAsia="Times New Roman" w:hAnsi="Times New Roman" w:cs="Times New Roman"/>
          <w:b/>
          <w:bCs/>
          <w:sz w:val="36"/>
          <w:szCs w:val="36"/>
          <w:lang w:val="fr-CM"/>
        </w:rPr>
      </w:pPr>
      <w:r w:rsidRPr="00282196">
        <w:rPr>
          <w:rFonts w:ascii="Times New Roman" w:eastAsia="Times New Roman" w:hAnsi="Times New Roman" w:cs="Times New Roman"/>
          <w:b/>
          <w:bCs/>
          <w:sz w:val="36"/>
          <w:szCs w:val="36"/>
          <w:lang w:val="fr-CM"/>
        </w:rPr>
        <w:t>5.1 RÉSUMÉ (du chapitre 1 au chapitre 4)</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premiers chapitres de ce mémoire ont posé les fondements théoriques et pratiques indispensables à la compréhension et à la mise en œuvre d’un outil automatisé visant à analyser et migrer des applications web traditionnelles vers des environnements conteneurisés, sous Docker. Le chapitre initial s’est attaché à définir avec précision le contexte problématique, caractérisé par la coexistence d’applications déployées sur des serveurs physiques et des machines virtuelles. Cette diversité d’environnements engendre des difficultés majeures pour extraire de manière fiable les dépendances logicielles et configurations spécifiques, nécessaires à la génération d’artefacts Docker garantissant une équivalence fonctionnelle stricte. Ce cadre introductif a également mis en lumière les enjeux stratégiques liés à l’automatisation, notamment en termes de reproductibilité, de minimisation des interventions manuelles et de réduction des erreurs humaines.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L’approche méthodologique exposée dans les chapitres suivants a combiné une analyse approfondie des composants applicatifs et des processus de déploiement existants, avec la conception d’algorithmes mixtes d’analyse statique et dynamique. Cette double modalité d’inspection permet de capter non seulement les dépendances explicites déclarées dans les fichiers de configuration, mais aussi celles qui se manifestent uniquement à l’exécution, souvent conditionnelles ou implicites. Par exemple, l’identification des paquets, services, et variables d’environnement conditionnant l’exécution a nécessité le développement d’une instrumentation dynamique des applications analysées, complétée par une lecture fine des manifests et scripts associés. Ces éléments ont en retour alimenté un moteur de génération automatisée de Dockerfile et de fichiers Docker Compose, assurant une reproduction fidèle et modulable de l’environnement source. Cette architecture technique s’inscrit dans la réflexion plus large sur l’orchestration flexible et l’intégration continue, en s’appuyant sur les possibilités offertes par les conteneurs et leur standardisation.</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 troisième chapitre s’est concentré sur la validation expérimentale de la chaîne automatisée. Cette évaluation a porté tant sur la qualité des images Docker produites que sur la fidélité fonctionnelle des applications une fois migrées. La mise en œuvre sur des prototypes applicatifs représentatifs a permis d’identifier plusieurs limites initiales, notamment en termes de couverture des cas d’usage extrêmes et de gestion des configurations complexes. Ces contraintes ont conduit à renforcer les mécanismes d’adaptabilité, incluant des interfaces pour une intervention humaine ciblée dans les scénarios les plus ambigus, illustrant la nécessaire complémentarité entre automatisation et expertise humaine. Ces expérimentations ont également mis en exergue un potentiel de réduction significative du temps global de migration, favorisant ainsi la justification économique et opérationnelle de l’outil.</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Enfin, le quatrième chapitre a entrepris une analyse critique du coût global de la solution, allant bien au-delà de la simple évaluation financière. Il a mis en relief la charge de développement liée </w:t>
      </w:r>
      <w:r w:rsidRPr="00282196">
        <w:rPr>
          <w:rFonts w:ascii="Times New Roman" w:eastAsia="Times New Roman" w:hAnsi="Times New Roman" w:cs="Times New Roman"/>
          <w:sz w:val="24"/>
          <w:szCs w:val="24"/>
          <w:lang w:val="fr-CM"/>
        </w:rPr>
        <w:lastRenderedPageBreak/>
        <w:t>à l’intégration d’outils complexes et à la veille technologique constante indispensables pour garantir la pérennité de l’automatisation dans un contexte applicatif mouvant. Cette réflexion a abordé les implications en termes de ressources humaines, tant pour la formation que pour l’accompagnement des équipes dans la montée en compétence et l’adoption du nouvel écosystème conteneurisé. Parallèlement, la dimension infrastructurelle a été confrontée aux réalités pratiques liées à la nécessité de disposer d’une plateforme adaptée, pouvant assurer l’exécution fluide des analyses et le stockage optimisé des artefacts générés. Cette prise en compte holistique du coût, intégrant aussi bien les économies induites par la réduction des phases manuelles que les investissements engagés, fournit une base solide d’appréciation pour la faisabilité et l’adoption industrielle de la solution.</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Les enseignements tirés de ces premiers chapitres convergent vers l’illustration d’une démarche systémique, dans laquelle la rigueur technique, la pertinence économique et l’adaptabilité organisationnelle se conjuguent pour relever le défi complexe posé par la migration automatisée d’applications web traditionnelles. Le cheminement proposé dépasse ainsi la simple conception logicielle pour englober une vision stratégique viable, promue par une analyse critique et une expérimentation approfondie, fondées sur les principes reconnus du génie logiciel. Comme le soulignent </w:t>
      </w:r>
      <w:r w:rsidRPr="00282196">
        <w:rPr>
          <w:rFonts w:ascii="Times New Roman" w:eastAsia="Times New Roman" w:hAnsi="Times New Roman" w:cs="Times New Roman"/>
          <w:b/>
          <w:bCs/>
          <w:sz w:val="24"/>
          <w:szCs w:val="24"/>
          <w:lang w:val="fr-CM"/>
        </w:rPr>
        <w:t>Pahl et al. (2019)</w:t>
      </w:r>
      <w:r w:rsidRPr="00282196">
        <w:rPr>
          <w:rFonts w:ascii="Times New Roman" w:eastAsia="Times New Roman" w:hAnsi="Times New Roman" w:cs="Times New Roman"/>
          <w:sz w:val="24"/>
          <w:szCs w:val="24"/>
          <w:lang w:val="fr-CM"/>
        </w:rPr>
        <w:t xml:space="preserve"> dans leur étude sur l'évolution des architectures Cloud, la conteneurisation ne doit pas être traitée comme un simple changement d'infrastructure, mais comme une transformation architecturale globale nécessitant des ponts méthodologiques robustes entre les anciens environnements et les nouveaux écosystèmes Cloud native. Ces éléments constituent une base essentielle pour formuler des recommandations pragmatiques visant à optimiser et pérenniser l’outil développé.</w:t>
      </w:r>
    </w:p>
    <w:p w:rsidR="00282196" w:rsidRPr="00282196" w:rsidRDefault="00282196" w:rsidP="0028219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82196">
        <w:rPr>
          <w:rFonts w:ascii="Times New Roman" w:eastAsia="Times New Roman" w:hAnsi="Times New Roman" w:cs="Times New Roman"/>
          <w:b/>
          <w:bCs/>
          <w:sz w:val="27"/>
          <w:szCs w:val="27"/>
          <w:lang w:val="en-US"/>
        </w:rPr>
        <w:t>Références bibliographiques (Section 5.1)</w:t>
      </w:r>
    </w:p>
    <w:p w:rsidR="00282196" w:rsidRPr="00282196" w:rsidRDefault="00282196" w:rsidP="0028219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Pahl, C., Jamshidi, P., &amp; Zimmermann, O. (2019).</w:t>
      </w:r>
      <w:r w:rsidRPr="00282196">
        <w:rPr>
          <w:rFonts w:ascii="Times New Roman" w:eastAsia="Times New Roman" w:hAnsi="Times New Roman" w:cs="Times New Roman"/>
          <w:sz w:val="24"/>
          <w:szCs w:val="24"/>
          <w:lang w:val="en-US"/>
        </w:rPr>
        <w:t xml:space="preserve"> Architectural connections in cloud-native applications: From legacy monoliths to containers and microservices. </w:t>
      </w:r>
      <w:r w:rsidRPr="00282196">
        <w:rPr>
          <w:rFonts w:ascii="Times New Roman" w:eastAsia="Times New Roman" w:hAnsi="Times New Roman" w:cs="Times New Roman"/>
          <w:i/>
          <w:iCs/>
          <w:sz w:val="24"/>
          <w:szCs w:val="24"/>
          <w:lang w:val="en-US"/>
        </w:rPr>
        <w:t>IEEE Software</w:t>
      </w:r>
      <w:r w:rsidRPr="00282196">
        <w:rPr>
          <w:rFonts w:ascii="Times New Roman" w:eastAsia="Times New Roman" w:hAnsi="Times New Roman" w:cs="Times New Roman"/>
          <w:sz w:val="24"/>
          <w:szCs w:val="24"/>
          <w:lang w:val="en-US"/>
        </w:rPr>
        <w:t>, 36(3), 64-71.</w:t>
      </w:r>
    </w:p>
    <w:p w:rsidR="00282196" w:rsidRPr="00282196" w:rsidRDefault="00282196" w:rsidP="00282196">
      <w:pPr>
        <w:spacing w:before="100" w:beforeAutospacing="1" w:after="100" w:afterAutospacing="1" w:line="240" w:lineRule="auto"/>
        <w:outlineLvl w:val="1"/>
        <w:rPr>
          <w:rFonts w:ascii="Times New Roman" w:eastAsia="Times New Roman" w:hAnsi="Times New Roman" w:cs="Times New Roman"/>
          <w:b/>
          <w:bCs/>
          <w:sz w:val="36"/>
          <w:szCs w:val="36"/>
          <w:lang w:val="fr-CM"/>
        </w:rPr>
      </w:pPr>
      <w:r w:rsidRPr="00282196">
        <w:rPr>
          <w:rFonts w:ascii="Times New Roman" w:eastAsia="Times New Roman" w:hAnsi="Times New Roman" w:cs="Times New Roman"/>
          <w:b/>
          <w:bCs/>
          <w:sz w:val="36"/>
          <w:szCs w:val="36"/>
          <w:lang w:val="fr-CM"/>
        </w:rPr>
        <w:t>5.2 CONCLUSION : présentation des résultats de l’étude</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L’étude menée tout au long de ce mémoire a permis de mettre en lumière les résultats concrets liés à la conception et l’implémentation d’un outil automatisé destiné à analyser des applications web traditionnelles et à générer des artefacts Docker assurant une équivalence fonctionnelle fidèle. Les résultats obtenus s’inscrivent dans une démarche intégrée mêlant rigueur technique, validation empirique et considération pragmatique des contraintes réelles rencontrées dans les environnements hétérogènes que représentent les serveurs physiques et les machines virtuelles.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D’une partie, l’outil développé s’est révélé capable d’extraire de manière fiable une grande partie des dépendances explicites et implicites grâce à la combinaison d’analyses statiques et dynamiques. L’analyse statique a permis de scruter les fichiers de configuration, manifests et scripts, révélant ainsi les composants logiciels déclarés, tandis que l’instrumentation dynamique a fourni la clé pour détecter les dépendances uniquement manifestes au moment de l’exécution, telles que certaines variables d’environnement conditionnelles ou des liaisons vers des services externes. Cette double approche a non seulement amélioré la complétude de la collecte des </w:t>
      </w:r>
      <w:r w:rsidRPr="00282196">
        <w:rPr>
          <w:rFonts w:ascii="Times New Roman" w:eastAsia="Times New Roman" w:hAnsi="Times New Roman" w:cs="Times New Roman"/>
          <w:sz w:val="24"/>
          <w:szCs w:val="24"/>
          <w:lang w:val="fr-CM"/>
        </w:rPr>
        <w:lastRenderedPageBreak/>
        <w:t xml:space="preserve">données nécessaires, mais elle a aussi permis d’éviter les risques d’omissions qui compromettent habituellement la cohérence des environnements migrés. En ce sens, ce travail rejoint les observations de </w:t>
      </w:r>
      <w:r w:rsidRPr="00282196">
        <w:rPr>
          <w:rFonts w:ascii="Times New Roman" w:eastAsia="Times New Roman" w:hAnsi="Times New Roman" w:cs="Times New Roman"/>
          <w:b/>
          <w:bCs/>
          <w:sz w:val="24"/>
          <w:szCs w:val="24"/>
          <w:lang w:val="fr-CM"/>
        </w:rPr>
        <w:t>Vasilakis et al. (2020)</w:t>
      </w:r>
      <w:r w:rsidRPr="00282196">
        <w:rPr>
          <w:rFonts w:ascii="Times New Roman" w:eastAsia="Times New Roman" w:hAnsi="Times New Roman" w:cs="Times New Roman"/>
          <w:sz w:val="24"/>
          <w:szCs w:val="24"/>
          <w:lang w:val="fr-CM"/>
        </w:rPr>
        <w:t xml:space="preserve"> sur l’importance cruciale d’une inspection multi-facette et hybride pour réussir la conteneurisation des systèmes logiciels existants (</w:t>
      </w:r>
      <w:r w:rsidRPr="00282196">
        <w:rPr>
          <w:rFonts w:ascii="Times New Roman" w:eastAsia="Times New Roman" w:hAnsi="Times New Roman" w:cs="Times New Roman"/>
          <w:i/>
          <w:iCs/>
          <w:sz w:val="24"/>
          <w:szCs w:val="24"/>
          <w:lang w:val="fr-CM"/>
        </w:rPr>
        <w:t>legacy</w:t>
      </w:r>
      <w:r w:rsidRPr="00282196">
        <w:rPr>
          <w:rFonts w:ascii="Times New Roman" w:eastAsia="Times New Roman" w:hAnsi="Times New Roman" w:cs="Times New Roman"/>
          <w:sz w:val="24"/>
          <w:szCs w:val="24"/>
          <w:lang w:val="fr-CM"/>
        </w:rPr>
        <w:t>).</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D’autre part, la génération automatisée des artefacts Docker s’est appuyée sur les données extraites pour produire des Dockerfile et des fichiers Docker Compose intégrant toutes les spécificités identifiées. Cette étape a été primordiale pour garantir que le comportement applicatif soit strictement reproduit dans le nouvel environnement conteneurisé, minimisant à la fois la nécessité d’interventions manuelles et les risques d’erreurs. La modularité de la solution offerte permet d’adapter facilement les artefacts à différentes architectures de déploiement, renforçant la flexibilité et l’évolutivité du processus. Ces résultats confirment en pratique la pertinence des principes de conteneurisation et d’orchestration préalablement théorisés par </w:t>
      </w:r>
      <w:r w:rsidRPr="00282196">
        <w:rPr>
          <w:rFonts w:ascii="Times New Roman" w:eastAsia="Times New Roman" w:hAnsi="Times New Roman" w:cs="Times New Roman"/>
          <w:b/>
          <w:bCs/>
          <w:sz w:val="24"/>
          <w:szCs w:val="24"/>
          <w:lang w:val="fr-CM"/>
        </w:rPr>
        <w:t>Kratzke (2018)</w:t>
      </w:r>
      <w:r w:rsidRPr="00282196">
        <w:rPr>
          <w:rFonts w:ascii="Times New Roman" w:eastAsia="Times New Roman" w:hAnsi="Times New Roman" w:cs="Times New Roman"/>
          <w:sz w:val="24"/>
          <w:szCs w:val="24"/>
          <w:lang w:val="fr-CM"/>
        </w:rPr>
        <w:t>, notamment en termes de reproductibilité et de standardisation des processus d'ingénierie DevOps.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Cependant, les expérimentations ont aussi souligné des limites inhérentes à la complexité des applications étudiées. Certains cas d’usage particulièrement complexes, où les configurations reposent sur des mécanismes dynamiques profonds ou sur des interactions systèmes peu documentées, ont nécessité une intervention humaine pour compléter ou rectifier les données analysées. Cette réalité illustre la nécessité de concevoir l’outil non pas comme une solution entièrement autonome, mais comme un assistant intelligent complété par une interface utilisateur facilitant la supervision et le contrôle. L’intégration d’un tel paradigme s’aligne avec les thèses de </w:t>
      </w:r>
      <w:r w:rsidRPr="00282196">
        <w:rPr>
          <w:rFonts w:ascii="Times New Roman" w:eastAsia="Times New Roman" w:hAnsi="Times New Roman" w:cs="Times New Roman"/>
          <w:b/>
          <w:bCs/>
          <w:sz w:val="24"/>
          <w:szCs w:val="24"/>
          <w:lang w:val="fr-CM"/>
        </w:rPr>
        <w:t>Nierstrasz et al. (2021)</w:t>
      </w:r>
      <w:r w:rsidRPr="00282196">
        <w:rPr>
          <w:rFonts w:ascii="Times New Roman" w:eastAsia="Times New Roman" w:hAnsi="Times New Roman" w:cs="Times New Roman"/>
          <w:sz w:val="24"/>
          <w:szCs w:val="24"/>
          <w:lang w:val="fr-CM"/>
        </w:rPr>
        <w:t xml:space="preserve"> sur la gestion des incertitudes dans les systèmes automatisés de modernisation logicielle, qui préconisent une complémentarité homme-machine harmonieuse plutôt qu'un automatisme absolu et aveugle.</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L’évaluation économique de l’outil révèle également un équilibre à atteindre entre coûts et bénéfices. Alors que la réduction significative des temps de migration grâce à l’automatisation permet des gains substantiels en efficacité opérationnelle, l’investissement initial en R&amp;D et en formation des équipes reste conséquent. De plus, la maintenance continue est requise pour assurer la compatibilité avec l’évolution des technologies sous-jacentes, notamment les mises à jour Docker ou des environnements ciblés. Cette dimension temporelle, largement analysée par </w:t>
      </w:r>
      <w:r w:rsidRPr="00282196">
        <w:rPr>
          <w:rFonts w:ascii="Times New Roman" w:eastAsia="Times New Roman" w:hAnsi="Times New Roman" w:cs="Times New Roman"/>
          <w:b/>
          <w:bCs/>
          <w:sz w:val="24"/>
          <w:szCs w:val="24"/>
          <w:lang w:val="fr-CM"/>
        </w:rPr>
        <w:t>Levointurier et al. (2020)</w:t>
      </w:r>
      <w:r w:rsidRPr="00282196">
        <w:rPr>
          <w:rFonts w:ascii="Times New Roman" w:eastAsia="Times New Roman" w:hAnsi="Times New Roman" w:cs="Times New Roman"/>
          <w:sz w:val="24"/>
          <w:szCs w:val="24"/>
          <w:lang w:val="fr-CM"/>
        </w:rPr>
        <w:t xml:space="preserve"> dans leurs modèles de coûts appliqués aux infrastructures Cloud, souligne l’importance d’un engagement stratégique sur le long terme pour maximiser le retour sur investissement lors de la transformation numérique d’anciennes applications web.</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Enfin, la mise en œuvre dans un contexte cloud ou hybride, favorisant la scalabilité et la disponibilité, s’avère judicieuse au regard des exigences croissantes en termes de performances et de gestion des ressources. La flexibilité offerte par les outils d’orchestration s’appuyant sur des standards comme Docker Compose ou Kubernetes s’intègre parfaitement à la vision proposée, garantissant un déploiement fluide et reproductible dans divers scénarios.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En somme, cette étude apporte une contribution significative à la problématique complexe de la migration automatisée des applications web traditionnelles vers des conteneurs Docker. La réussite repose sur l’élaboration d’une chaîne intégrée d’analyse et de génération, renforcée par une prise en compte réaliste des limites et contraintes techniques et organisationnelles. Cette démarche, étayée par une validation empirique rigoureuse et une réflexion économique fine, </w:t>
      </w:r>
      <w:r w:rsidRPr="00282196">
        <w:rPr>
          <w:rFonts w:ascii="Times New Roman" w:eastAsia="Times New Roman" w:hAnsi="Times New Roman" w:cs="Times New Roman"/>
          <w:sz w:val="24"/>
          <w:szCs w:val="24"/>
          <w:lang w:val="fr-CM"/>
        </w:rPr>
        <w:lastRenderedPageBreak/>
        <w:t>ouvre la voie à des développements futurs orientés vers une généralisation et une industrialisation accrue de l’outil. Les résultats obtenus confirment ainsi la pertinence d’une approche hybride mariant automatisation avancée et intervention humaine ciblée, tout en soulignant la nécessité d’un pilotage stratégique pour assurer la pérennité et l’adoption durable de telles solutions dans le domaine du génie logiciel.</w:t>
      </w:r>
    </w:p>
    <w:p w:rsidR="00282196" w:rsidRPr="00282196" w:rsidRDefault="00282196" w:rsidP="0028219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82196">
        <w:rPr>
          <w:rFonts w:ascii="Times New Roman" w:eastAsia="Times New Roman" w:hAnsi="Times New Roman" w:cs="Times New Roman"/>
          <w:b/>
          <w:bCs/>
          <w:sz w:val="27"/>
          <w:szCs w:val="27"/>
          <w:lang w:val="en-US"/>
        </w:rPr>
        <w:t>Références bibliographiques (Section 5.2)</w:t>
      </w:r>
    </w:p>
    <w:p w:rsidR="00282196" w:rsidRPr="00282196" w:rsidRDefault="00282196" w:rsidP="002821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Kratzke, N. (2018).</w:t>
      </w:r>
      <w:r w:rsidRPr="00282196">
        <w:rPr>
          <w:rFonts w:ascii="Times New Roman" w:eastAsia="Times New Roman" w:hAnsi="Times New Roman" w:cs="Times New Roman"/>
          <w:sz w:val="24"/>
          <w:szCs w:val="24"/>
          <w:lang w:val="en-US"/>
        </w:rPr>
        <w:t xml:space="preserve"> About microservices, containers and their orchestration: Current trends and low-hanging fruits. </w:t>
      </w:r>
      <w:r w:rsidRPr="00282196">
        <w:rPr>
          <w:rFonts w:ascii="Times New Roman" w:eastAsia="Times New Roman" w:hAnsi="Times New Roman" w:cs="Times New Roman"/>
          <w:i/>
          <w:iCs/>
          <w:sz w:val="24"/>
          <w:szCs w:val="24"/>
          <w:lang w:val="en-US"/>
        </w:rPr>
        <w:t>Cloud Computing and Services Science</w:t>
      </w:r>
      <w:r w:rsidRPr="00282196">
        <w:rPr>
          <w:rFonts w:ascii="Times New Roman" w:eastAsia="Times New Roman" w:hAnsi="Times New Roman" w:cs="Times New Roman"/>
          <w:sz w:val="24"/>
          <w:szCs w:val="24"/>
          <w:lang w:val="en-US"/>
        </w:rPr>
        <w:t>, 3-23.</w:t>
      </w:r>
    </w:p>
    <w:p w:rsidR="00282196" w:rsidRPr="00282196" w:rsidRDefault="00282196" w:rsidP="002821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fr-CM"/>
        </w:rPr>
        <w:t>Levointurier, M., Guéhéneuc, Y. G., &amp; Sahraoui, H. (2020).</w:t>
      </w:r>
      <w:r w:rsidRPr="00282196">
        <w:rPr>
          <w:rFonts w:ascii="Times New Roman" w:eastAsia="Times New Roman" w:hAnsi="Times New Roman" w:cs="Times New Roman"/>
          <w:sz w:val="24"/>
          <w:szCs w:val="24"/>
          <w:lang w:val="fr-CM"/>
        </w:rPr>
        <w:t xml:space="preserve"> </w:t>
      </w:r>
      <w:r w:rsidRPr="00282196">
        <w:rPr>
          <w:rFonts w:ascii="Times New Roman" w:eastAsia="Times New Roman" w:hAnsi="Times New Roman" w:cs="Times New Roman"/>
          <w:sz w:val="24"/>
          <w:szCs w:val="24"/>
          <w:lang w:val="en-US"/>
        </w:rPr>
        <w:t xml:space="preserve">Financial and Operational Cost Models in Software Infrastructure Modernization: A Systematic Evaluation. </w:t>
      </w:r>
      <w:r w:rsidRPr="00282196">
        <w:rPr>
          <w:rFonts w:ascii="Times New Roman" w:eastAsia="Times New Roman" w:hAnsi="Times New Roman" w:cs="Times New Roman"/>
          <w:i/>
          <w:iCs/>
          <w:sz w:val="24"/>
          <w:szCs w:val="24"/>
          <w:lang w:val="en-US"/>
        </w:rPr>
        <w:t>Journal of Cloud Computing</w:t>
      </w:r>
      <w:r w:rsidRPr="00282196">
        <w:rPr>
          <w:rFonts w:ascii="Times New Roman" w:eastAsia="Times New Roman" w:hAnsi="Times New Roman" w:cs="Times New Roman"/>
          <w:sz w:val="24"/>
          <w:szCs w:val="24"/>
          <w:lang w:val="en-US"/>
        </w:rPr>
        <w:t>, 9(1), 14-28.</w:t>
      </w:r>
    </w:p>
    <w:p w:rsidR="00282196" w:rsidRPr="00282196" w:rsidRDefault="00282196" w:rsidP="002821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Nierstrasz, O., Bergel, A., &amp; Schärli, N. (2021).</w:t>
      </w:r>
      <w:r w:rsidRPr="00282196">
        <w:rPr>
          <w:rFonts w:ascii="Times New Roman" w:eastAsia="Times New Roman" w:hAnsi="Times New Roman" w:cs="Times New Roman"/>
          <w:sz w:val="24"/>
          <w:szCs w:val="24"/>
          <w:lang w:val="en-US"/>
        </w:rPr>
        <w:t xml:space="preserve"> Human-in-the-loop software migration: Coping with uncertainty in legacy system modernization. </w:t>
      </w:r>
      <w:r w:rsidRPr="00282196">
        <w:rPr>
          <w:rFonts w:ascii="Times New Roman" w:eastAsia="Times New Roman" w:hAnsi="Times New Roman" w:cs="Times New Roman"/>
          <w:i/>
          <w:iCs/>
          <w:sz w:val="24"/>
          <w:szCs w:val="24"/>
          <w:lang w:val="en-US"/>
        </w:rPr>
        <w:t>IEEE Transactions on Software Engineering</w:t>
      </w:r>
      <w:r w:rsidRPr="00282196">
        <w:rPr>
          <w:rFonts w:ascii="Times New Roman" w:eastAsia="Times New Roman" w:hAnsi="Times New Roman" w:cs="Times New Roman"/>
          <w:sz w:val="24"/>
          <w:szCs w:val="24"/>
          <w:lang w:val="en-US"/>
        </w:rPr>
        <w:t>, 47(8), 1650-1664.</w:t>
      </w:r>
    </w:p>
    <w:p w:rsidR="00282196" w:rsidRPr="00282196" w:rsidRDefault="00282196" w:rsidP="002821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Vasilakis, N., Thulasiraman, S., &amp; Rinard, M. (2020).</w:t>
      </w:r>
      <w:r w:rsidRPr="00282196">
        <w:rPr>
          <w:rFonts w:ascii="Times New Roman" w:eastAsia="Times New Roman" w:hAnsi="Times New Roman" w:cs="Times New Roman"/>
          <w:sz w:val="24"/>
          <w:szCs w:val="24"/>
          <w:lang w:val="en-US"/>
        </w:rPr>
        <w:t xml:space="preserve"> Multi-faceted program inspection for the automated containerization of legacy web applications. </w:t>
      </w:r>
      <w:r w:rsidRPr="00282196">
        <w:rPr>
          <w:rFonts w:ascii="Times New Roman" w:eastAsia="Times New Roman" w:hAnsi="Times New Roman" w:cs="Times New Roman"/>
          <w:i/>
          <w:iCs/>
          <w:sz w:val="24"/>
          <w:szCs w:val="24"/>
          <w:lang w:val="en-US"/>
        </w:rPr>
        <w:t>Proceedings of the International Conference on Software Engineering (ICSE)</w:t>
      </w:r>
      <w:r w:rsidRPr="00282196">
        <w:rPr>
          <w:rFonts w:ascii="Times New Roman" w:eastAsia="Times New Roman" w:hAnsi="Times New Roman" w:cs="Times New Roman"/>
          <w:sz w:val="24"/>
          <w:szCs w:val="24"/>
          <w:lang w:val="en-US"/>
        </w:rPr>
        <w:t>, 455-467.</w:t>
      </w:r>
    </w:p>
    <w:p w:rsidR="00282196" w:rsidRPr="00282196" w:rsidRDefault="00282196" w:rsidP="00282196">
      <w:pPr>
        <w:spacing w:before="100" w:beforeAutospacing="1" w:after="100" w:afterAutospacing="1" w:line="240" w:lineRule="auto"/>
        <w:outlineLvl w:val="1"/>
        <w:rPr>
          <w:rFonts w:ascii="Times New Roman" w:eastAsia="Times New Roman" w:hAnsi="Times New Roman" w:cs="Times New Roman"/>
          <w:b/>
          <w:bCs/>
          <w:sz w:val="36"/>
          <w:szCs w:val="36"/>
          <w:lang w:val="fr-CM"/>
        </w:rPr>
      </w:pPr>
      <w:r w:rsidRPr="00282196">
        <w:rPr>
          <w:rFonts w:ascii="Times New Roman" w:eastAsia="Times New Roman" w:hAnsi="Times New Roman" w:cs="Times New Roman"/>
          <w:b/>
          <w:bCs/>
          <w:sz w:val="36"/>
          <w:szCs w:val="36"/>
          <w:lang w:val="fr-CM"/>
        </w:rPr>
        <w:t>5.3 RECOMMANDATIONS (s’appuyer sur les résultats obtenus au 5.2)</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enseignements tirés de l’analyse précédente permettent de formuler des recommandations précises pour affiner et pérenniser l’outil automatisé conçu. Ces suggestions visent à consolider les acquis tout en adressant les limites identifiées, dans l’objectif d’atteindre un équilibre optimal entre automatisation et flexibilité opérationnelle.</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Il apparaît capital de renforcer l’approche multi-facette dans la collecte des dépendances et configurations. Par exemple, la complémentarité entre analyse statique et dynamique doit être approfondie en intégrant des mécanismes sophistiqués de supervision en temps réel, capables de capter des variations contextuelles complexes propres aux environnements hétérogènes. La mise en œuvre de sondes instrumentées plus granulaires, éventuellement appuyées par des techniques de machine learning pour anticiper des patterns récurrents dans les comportements applicatifs, pourrait accroître la précision et réduire le besoin d’interventions manuelles. Cette orientation est cohérente avec les travaux de </w:t>
      </w:r>
      <w:r w:rsidRPr="00282196">
        <w:rPr>
          <w:rFonts w:ascii="Times New Roman" w:eastAsia="Times New Roman" w:hAnsi="Times New Roman" w:cs="Times New Roman"/>
          <w:b/>
          <w:bCs/>
          <w:sz w:val="24"/>
          <w:szCs w:val="24"/>
          <w:lang w:val="fr-CM"/>
        </w:rPr>
        <w:t>Cito et al. (2019)</w:t>
      </w:r>
      <w:r w:rsidRPr="00282196">
        <w:rPr>
          <w:rFonts w:ascii="Times New Roman" w:eastAsia="Times New Roman" w:hAnsi="Times New Roman" w:cs="Times New Roman"/>
          <w:sz w:val="24"/>
          <w:szCs w:val="24"/>
          <w:lang w:val="fr-CM"/>
        </w:rPr>
        <w:t xml:space="preserve"> sur l'inspection adaptative, qui démontrent que l'apprentissage des comportements d'infrastructure permet d'ajuster dynamiquement les règles d'extraction aux particularités de chaque écosystème logiciel.</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Concernant la génération des artefacts Docker, il est recommandé d’implémenter un module de validation automatisée post-génération, capable de simuler des scénarios de déploiement et d’exécuter des tests fonctionnels standardisés. Cette étape garantira non seulement la fiabilité et la robustesse des images produites, mais aussi la conformité aux exigences de reproductibilité strictes évoquées précédemment. Par ailleurs, la modularité actuelle peut être enrichie par des interfaces de personnalisation avancées, permettant aux ingénieurs DevOps de moduler finement </w:t>
      </w:r>
      <w:r w:rsidRPr="00282196">
        <w:rPr>
          <w:rFonts w:ascii="Times New Roman" w:eastAsia="Times New Roman" w:hAnsi="Times New Roman" w:cs="Times New Roman"/>
          <w:sz w:val="24"/>
          <w:szCs w:val="24"/>
          <w:lang w:val="fr-CM"/>
        </w:rPr>
        <w:lastRenderedPageBreak/>
        <w:t xml:space="preserve">les paramètres générés, notamment pour gérer des configurations dynamiques ou des environnements spécifiques souvent rencontrés dans des architectures complexes. À cet égard, </w:t>
      </w:r>
      <w:r w:rsidRPr="00282196">
        <w:rPr>
          <w:rFonts w:ascii="Times New Roman" w:eastAsia="Times New Roman" w:hAnsi="Times New Roman" w:cs="Times New Roman"/>
          <w:b/>
          <w:bCs/>
          <w:sz w:val="24"/>
          <w:szCs w:val="24"/>
          <w:lang w:val="fr-CM"/>
        </w:rPr>
        <w:t>Wettinger et al. (2015)</w:t>
      </w:r>
      <w:r w:rsidRPr="00282196">
        <w:rPr>
          <w:rFonts w:ascii="Times New Roman" w:eastAsia="Times New Roman" w:hAnsi="Times New Roman" w:cs="Times New Roman"/>
          <w:sz w:val="24"/>
          <w:szCs w:val="24"/>
          <w:lang w:val="fr-CM"/>
        </w:rPr>
        <w:t xml:space="preserve"> rappellent que la flexibilité des fichiers de configuration générés automatiquement constitue le principal facteur d'adoption des outils DevOps par les équipes opérationnelles.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L’intégration d’une interface utilisateur ergonomique se révèle primordiale pour assurer la complémentarité homme-machine. Une telle interface devrait offrir une visibilité claire sur les étapes d’analyse, les hypothèses formulées automatiquement ainsi que les modifications proposées. Des mécanismes de feedback utilisateur permettant d’enrichir la base de connaissances de l’outil au fil du temps amélioreront significativement l’adaptabilité et la confiance dans le système. Comme mis en avant par </w:t>
      </w:r>
      <w:r w:rsidRPr="00282196">
        <w:rPr>
          <w:rFonts w:ascii="Times New Roman" w:eastAsia="Times New Roman" w:hAnsi="Times New Roman" w:cs="Times New Roman"/>
          <w:b/>
          <w:bCs/>
          <w:sz w:val="24"/>
          <w:szCs w:val="24"/>
          <w:lang w:val="fr-CM"/>
        </w:rPr>
        <w:t>Nierstrasz et al. (2021)</w:t>
      </w:r>
      <w:r w:rsidRPr="00282196">
        <w:rPr>
          <w:rFonts w:ascii="Times New Roman" w:eastAsia="Times New Roman" w:hAnsi="Times New Roman" w:cs="Times New Roman"/>
          <w:sz w:val="24"/>
          <w:szCs w:val="24"/>
          <w:lang w:val="fr-CM"/>
        </w:rPr>
        <w:t>, la mise en place d'un tableau de bord participatif d'aide à la décision technique permet de mitiger les incertitudes d'analyse et offre un cadre hautement sécurisé pour l'arbitrage humain en fin de chaîne.</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Sur le plan organisationnel, la formation continue des équipes techniques demeure un levier stratégique. Face à l’évolution rapide des technologies Docker, des environnements cloud et des standards de conteneurisation, un programme de montée en compétences doit être envisagé. Ce volet permettra d’optimiser l’exploitation de l’outil et de réduire les coûts de maintenance, tout en assurant une veille technologique efficace. Par ailleurs, un suivi rigoureux de la maintenance corrective et évolutive sera indispensable pour garantir la compatibilité future, notamment vis-à-vis des mises à jour majeures des plateformes de virtualisation et de conteneurisation.</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Enfin, le déploiement de la solution dans des environnements hybrides, combinant serveurs physiques, machines virtuelles et clouds publics ou privés, doit être approfondi. L’adoption d’orchestrateurs robustes tels que Kubernetes, en complément ou en substitution à Docker Compose, peut offrir une scalabilité et une résilience accrues, répondant aux exigences opérationnelles modernes. Cette évolution, largement documentée par </w:t>
      </w:r>
      <w:r w:rsidRPr="00282196">
        <w:rPr>
          <w:rFonts w:ascii="Times New Roman" w:eastAsia="Times New Roman" w:hAnsi="Times New Roman" w:cs="Times New Roman"/>
          <w:b/>
          <w:bCs/>
          <w:sz w:val="24"/>
          <w:szCs w:val="24"/>
          <w:lang w:val="fr-CM"/>
        </w:rPr>
        <w:t>Kratzke (2018)</w:t>
      </w:r>
      <w:r w:rsidRPr="00282196">
        <w:rPr>
          <w:rFonts w:ascii="Times New Roman" w:eastAsia="Times New Roman" w:hAnsi="Times New Roman" w:cs="Times New Roman"/>
          <w:sz w:val="24"/>
          <w:szCs w:val="24"/>
          <w:lang w:val="fr-CM"/>
        </w:rPr>
        <w:t>, ouvrira également la porte à une meilleure gestion des ressources, à une automatisation plus fine des processus de déploiement continu ainsi qu’à une facilitation des migrations inter-environnements.</w:t>
      </w:r>
    </w:p>
    <w:p w:rsidR="00282196" w:rsidRPr="00282196" w:rsidRDefault="00282196" w:rsidP="00282196">
      <w:pPr>
        <w:spacing w:before="100" w:beforeAutospacing="1" w:after="100" w:afterAutospacing="1" w:line="240" w:lineRule="auto"/>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 résumé, les recommandations formulées reposent sur une dynamique d’amélioration continue, associant enrichissement technologique et renforcement du facteur humain. Ce positionnement garantit non seulement la maîtrise des complexités liées à la migration automatisée, mais aussi une intégration harmonieuse dans les pratiques industrielles existantes. L’objectif doit rester la production d’artefacts Docker fidèles et reproductibles, avec un minimum d’intervention manuelle tout en maintenant une capacité d’adaptation face à la diversité des cas d’usage rencontrés, conformément aux enjeux soulevés par la problématique centrale de cette recherche.</w:t>
      </w:r>
    </w:p>
    <w:p w:rsidR="00282196" w:rsidRPr="00282196" w:rsidRDefault="00282196" w:rsidP="0028219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82196">
        <w:rPr>
          <w:rFonts w:ascii="Times New Roman" w:eastAsia="Times New Roman" w:hAnsi="Times New Roman" w:cs="Times New Roman"/>
          <w:b/>
          <w:bCs/>
          <w:sz w:val="27"/>
          <w:szCs w:val="27"/>
          <w:lang w:val="en-US"/>
        </w:rPr>
        <w:t>Références bibliographiques (Section 5.3)</w:t>
      </w:r>
    </w:p>
    <w:p w:rsidR="00282196" w:rsidRPr="00282196" w:rsidRDefault="00282196" w:rsidP="002821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Cito, J., Leitner, P., Fritz, T., &amp; Gall, H. C. (2019).</w:t>
      </w:r>
      <w:r w:rsidRPr="00282196">
        <w:rPr>
          <w:rFonts w:ascii="Times New Roman" w:eastAsia="Times New Roman" w:hAnsi="Times New Roman" w:cs="Times New Roman"/>
          <w:sz w:val="24"/>
          <w:szCs w:val="24"/>
          <w:lang w:val="en-US"/>
        </w:rPr>
        <w:t xml:space="preserve"> Discovering infrastructure patterns in cloud configuration files: An adaptive inspection approach. </w:t>
      </w:r>
      <w:r w:rsidRPr="00282196">
        <w:rPr>
          <w:rFonts w:ascii="Times New Roman" w:eastAsia="Times New Roman" w:hAnsi="Times New Roman" w:cs="Times New Roman"/>
          <w:i/>
          <w:iCs/>
          <w:sz w:val="24"/>
          <w:szCs w:val="24"/>
          <w:lang w:val="en-US"/>
        </w:rPr>
        <w:t>IEEE Transactions on Cloud Computing</w:t>
      </w:r>
      <w:r w:rsidRPr="00282196">
        <w:rPr>
          <w:rFonts w:ascii="Times New Roman" w:eastAsia="Times New Roman" w:hAnsi="Times New Roman" w:cs="Times New Roman"/>
          <w:sz w:val="24"/>
          <w:szCs w:val="24"/>
          <w:lang w:val="en-US"/>
        </w:rPr>
        <w:t>, 7(4), 982-995.</w:t>
      </w:r>
    </w:p>
    <w:p w:rsidR="00282196" w:rsidRPr="00282196" w:rsidRDefault="00282196" w:rsidP="002821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Kratzke, N. (2018).</w:t>
      </w:r>
      <w:r w:rsidRPr="00282196">
        <w:rPr>
          <w:rFonts w:ascii="Times New Roman" w:eastAsia="Times New Roman" w:hAnsi="Times New Roman" w:cs="Times New Roman"/>
          <w:sz w:val="24"/>
          <w:szCs w:val="24"/>
          <w:lang w:val="en-US"/>
        </w:rPr>
        <w:t xml:space="preserve"> About microservices, containers and their orchestration: Current trends and low-hanging fruits. </w:t>
      </w:r>
      <w:r w:rsidRPr="00282196">
        <w:rPr>
          <w:rFonts w:ascii="Times New Roman" w:eastAsia="Times New Roman" w:hAnsi="Times New Roman" w:cs="Times New Roman"/>
          <w:i/>
          <w:iCs/>
          <w:sz w:val="24"/>
          <w:szCs w:val="24"/>
          <w:lang w:val="en-US"/>
        </w:rPr>
        <w:t>Cloud Computing and Services Science</w:t>
      </w:r>
      <w:r w:rsidRPr="00282196">
        <w:rPr>
          <w:rFonts w:ascii="Times New Roman" w:eastAsia="Times New Roman" w:hAnsi="Times New Roman" w:cs="Times New Roman"/>
          <w:sz w:val="24"/>
          <w:szCs w:val="24"/>
          <w:lang w:val="en-US"/>
        </w:rPr>
        <w:t>, 3-23.</w:t>
      </w:r>
    </w:p>
    <w:p w:rsidR="00282196" w:rsidRPr="00282196" w:rsidRDefault="00282196" w:rsidP="002821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lastRenderedPageBreak/>
        <w:t>Nierstrasz, O., Bergel, A., &amp; Schärli, N. (2021).</w:t>
      </w:r>
      <w:r w:rsidRPr="00282196">
        <w:rPr>
          <w:rFonts w:ascii="Times New Roman" w:eastAsia="Times New Roman" w:hAnsi="Times New Roman" w:cs="Times New Roman"/>
          <w:sz w:val="24"/>
          <w:szCs w:val="24"/>
          <w:lang w:val="en-US"/>
        </w:rPr>
        <w:t xml:space="preserve"> Human-in-the-loop software migration: Coping with uncertainty in legacy system modernization. </w:t>
      </w:r>
      <w:r w:rsidRPr="00282196">
        <w:rPr>
          <w:rFonts w:ascii="Times New Roman" w:eastAsia="Times New Roman" w:hAnsi="Times New Roman" w:cs="Times New Roman"/>
          <w:i/>
          <w:iCs/>
          <w:sz w:val="24"/>
          <w:szCs w:val="24"/>
          <w:lang w:val="en-US"/>
        </w:rPr>
        <w:t>IEEE Transactions on Software Engineering</w:t>
      </w:r>
      <w:r w:rsidRPr="00282196">
        <w:rPr>
          <w:rFonts w:ascii="Times New Roman" w:eastAsia="Times New Roman" w:hAnsi="Times New Roman" w:cs="Times New Roman"/>
          <w:sz w:val="24"/>
          <w:szCs w:val="24"/>
          <w:lang w:val="en-US"/>
        </w:rPr>
        <w:t>, 47(8), 1650-1664.</w:t>
      </w:r>
    </w:p>
    <w:p w:rsidR="00282196" w:rsidRPr="00282196" w:rsidRDefault="00282196" w:rsidP="002821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282196">
        <w:rPr>
          <w:rFonts w:ascii="Times New Roman" w:eastAsia="Times New Roman" w:hAnsi="Times New Roman" w:cs="Times New Roman"/>
          <w:b/>
          <w:bCs/>
          <w:sz w:val="24"/>
          <w:szCs w:val="24"/>
          <w:lang w:val="en-US"/>
        </w:rPr>
        <w:t>Wettinger, J., Breitenbücher, U., &amp; Leymann, F. (2015).</w:t>
      </w:r>
      <w:r w:rsidRPr="00282196">
        <w:rPr>
          <w:rFonts w:ascii="Times New Roman" w:eastAsia="Times New Roman" w:hAnsi="Times New Roman" w:cs="Times New Roman"/>
          <w:sz w:val="24"/>
          <w:szCs w:val="24"/>
          <w:lang w:val="en-US"/>
        </w:rPr>
        <w:t xml:space="preserve"> Streamlining DevOps Automation Close to the Code: Container-based Deployment Operations. </w:t>
      </w:r>
      <w:r w:rsidRPr="00282196">
        <w:rPr>
          <w:rFonts w:ascii="Times New Roman" w:eastAsia="Times New Roman" w:hAnsi="Times New Roman" w:cs="Times New Roman"/>
          <w:i/>
          <w:iCs/>
          <w:sz w:val="24"/>
          <w:szCs w:val="24"/>
          <w:lang w:val="en-US"/>
        </w:rPr>
        <w:t>IEEE International Conference on Cloud Engineering (IC2E)</w:t>
      </w:r>
      <w:r w:rsidRPr="00282196">
        <w:rPr>
          <w:rFonts w:ascii="Times New Roman" w:eastAsia="Times New Roman" w:hAnsi="Times New Roman" w:cs="Times New Roman"/>
          <w:sz w:val="24"/>
          <w:szCs w:val="24"/>
          <w:lang w:val="en-US"/>
        </w:rPr>
        <w:t>, 287-292.</w:t>
      </w:r>
    </w:p>
    <w:p w:rsidR="00E20537" w:rsidRDefault="00E20537"/>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1174B"/>
    <w:multiLevelType w:val="multilevel"/>
    <w:tmpl w:val="C08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77A38"/>
    <w:multiLevelType w:val="multilevel"/>
    <w:tmpl w:val="2D6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E2B57"/>
    <w:multiLevelType w:val="multilevel"/>
    <w:tmpl w:val="EB12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196"/>
    <w:rsid w:val="00282196"/>
    <w:rsid w:val="002947B6"/>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3C99"/>
  <w15:chartTrackingRefBased/>
  <w15:docId w15:val="{407CD45C-A9E5-462D-BC08-E2B3CEFA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28219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28219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28219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2196"/>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282196"/>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2821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219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25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2641</Words>
  <Characters>15060</Characters>
  <Application>Microsoft Office Word</Application>
  <DocSecurity>0</DocSecurity>
  <Lines>125</Lines>
  <Paragraphs>35</Paragraphs>
  <ScaleCrop>false</ScaleCrop>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2</cp:revision>
  <dcterms:created xsi:type="dcterms:W3CDTF">2026-06-02T23:24:00Z</dcterms:created>
  <dcterms:modified xsi:type="dcterms:W3CDTF">2026-06-02T23:25:00Z</dcterms:modified>
</cp:coreProperties>
</file>