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EE54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t xml:space="preserve">CHAPITRE 1 : REVUE DE LA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  <w:t>LITTÉRATURE</w:t>
      </w:r>
      <w:r w:rsidRPr="00D44C2C">
        <w:rPr>
          <w:rFonts w:ascii="ArialMT" w:hAnsi="ArialMT"/>
          <w:sz w:val="40"/>
          <w:szCs w:val="40"/>
          <w:highlight w:val="red"/>
          <w:lang w:val="fr-FR"/>
        </w:rPr>
        <w:t xml:space="preserve"> </w:t>
      </w:r>
      <w:r w:rsidRPr="00D44C2C">
        <w:rPr>
          <w:rFonts w:ascii="ArialMT" w:hAnsi="ArialMT"/>
          <w:sz w:val="40"/>
          <w:szCs w:val="40"/>
          <w:highlight w:val="red"/>
          <w:lang w:val="fr-FR"/>
        </w:rPr>
        <w:br/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t xml:space="preserve">1.1 Introduction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La transformation numérique du secteur éducatif constitue aujourd’hui un enjeu majeur pour </w:t>
      </w:r>
      <w:r w:rsidRPr="00D44C2C">
        <w:rPr>
          <w:rFonts w:ascii="ArialMT" w:hAnsi="ArialMT"/>
          <w:highlight w:val="red"/>
          <w:lang w:val="fr-FR"/>
        </w:rPr>
        <w:br/>
        <w:t xml:space="preserve">les universités du monde entier. L’accès rapide à l’information scientifique, la </w:t>
      </w:r>
      <w:r w:rsidRPr="00D44C2C">
        <w:rPr>
          <w:rFonts w:ascii="ArialMT" w:hAnsi="ArialMT"/>
          <w:highlight w:val="red"/>
          <w:lang w:val="fr-FR"/>
        </w:rPr>
        <w:br/>
        <w:t xml:space="preserve">dématérialisation des documents et la gestion électronique des ressources documentaires </w:t>
      </w:r>
      <w:r w:rsidRPr="00D44C2C">
        <w:rPr>
          <w:rFonts w:ascii="ArialMT" w:hAnsi="ArialMT"/>
          <w:highlight w:val="red"/>
          <w:lang w:val="fr-FR"/>
        </w:rPr>
        <w:br/>
        <w:t xml:space="preserve">sont devenus des éléments essentiels du développement académique. </w:t>
      </w:r>
      <w:r w:rsidRPr="00D44C2C">
        <w:rPr>
          <w:rFonts w:ascii="ArialMT" w:hAnsi="ArialMT"/>
          <w:highlight w:val="red"/>
          <w:lang w:val="fr-FR"/>
        </w:rPr>
        <w:br/>
        <w:t xml:space="preserve">Dans ce contexte, la bibliothèque numérique s’impose comme une solution technologique </w:t>
      </w:r>
      <w:r w:rsidRPr="00D44C2C">
        <w:rPr>
          <w:rFonts w:ascii="ArialMT" w:hAnsi="ArialMT"/>
          <w:highlight w:val="red"/>
          <w:lang w:val="fr-FR"/>
        </w:rPr>
        <w:br/>
        <w:t xml:space="preserve">permettant de faciliter l’accès aux ressources pédagogiques et scientifiques. Ce chapitre </w:t>
      </w:r>
      <w:r w:rsidRPr="00D44C2C">
        <w:rPr>
          <w:rFonts w:ascii="ArialMT" w:hAnsi="ArialMT"/>
          <w:highlight w:val="red"/>
          <w:lang w:val="fr-FR"/>
        </w:rPr>
        <w:br/>
        <w:t xml:space="preserve">présente une analyse approfondie des travaux existants, des concepts théoriques et des </w:t>
      </w:r>
      <w:r w:rsidRPr="00D44C2C">
        <w:rPr>
          <w:rFonts w:ascii="ArialMT" w:hAnsi="ArialMT"/>
          <w:highlight w:val="red"/>
          <w:lang w:val="fr-FR"/>
        </w:rPr>
        <w:br/>
        <w:t xml:space="preserve">solutions numériques similaires, tout en identifiant les lacunes qui justifient la mise en place </w:t>
      </w:r>
      <w:r w:rsidRPr="00D44C2C">
        <w:rPr>
          <w:rFonts w:ascii="ArialMT" w:hAnsi="ArialMT"/>
          <w:highlight w:val="red"/>
          <w:lang w:val="fr-FR"/>
        </w:rPr>
        <w:br/>
        <w:t xml:space="preserve">d’une bibliothèque numérique à l’Université UJKOL. </w:t>
      </w:r>
      <w:r w:rsidRPr="00D44C2C">
        <w:rPr>
          <w:rFonts w:ascii="ArialMT" w:hAnsi="ArialMT"/>
          <w:highlight w:val="red"/>
          <w:lang w:val="fr-FR"/>
        </w:rPr>
        <w:br/>
      </w:r>
    </w:p>
    <w:p w14:paraId="0E37CD42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t xml:space="preserve">1.2 Fondements théoriques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1.2.1 Définition d’une bibliothèque numérique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Une bibliothèque numérique est un système informatique permettant de collecter, stocker, </w:t>
      </w:r>
      <w:r w:rsidRPr="00D44C2C">
        <w:rPr>
          <w:rFonts w:ascii="ArialMT" w:hAnsi="ArialMT"/>
          <w:highlight w:val="red"/>
          <w:lang w:val="fr-FR"/>
        </w:rPr>
        <w:br/>
        <w:t xml:space="preserve">organiser, rechercher et diffuser des ressources documentaires sous format électronique. </w:t>
      </w:r>
      <w:r w:rsidRPr="00D44C2C">
        <w:rPr>
          <w:rFonts w:ascii="ArialMT" w:hAnsi="ArialMT"/>
          <w:highlight w:val="red"/>
          <w:lang w:val="fr-FR"/>
        </w:rPr>
        <w:br/>
        <w:t xml:space="preserve">Elle comprend généralement : </w:t>
      </w:r>
      <w:r w:rsidRPr="00D44C2C">
        <w:rPr>
          <w:rFonts w:ascii="ArialMT" w:hAnsi="ArialMT"/>
          <w:highlight w:val="red"/>
          <w:lang w:val="fr-FR"/>
        </w:rPr>
        <w:br/>
      </w:r>
    </w:p>
    <w:p w14:paraId="0DCA0E0F" w14:textId="77777777" w:rsidR="00E505EE" w:rsidRPr="00D44C2C" w:rsidRDefault="00000000">
      <w:pPr>
        <w:rPr>
          <w:highlight w:val="red"/>
          <w:lang w:val="fr-FR"/>
        </w:rPr>
      </w:pPr>
      <w:proofErr w:type="gramStart"/>
      <w:r w:rsidRPr="00D44C2C">
        <w:rPr>
          <w:rFonts w:ascii="ArialMT" w:hAnsi="ArialMT"/>
          <w:highlight w:val="red"/>
          <w:lang w:val="fr-FR"/>
        </w:rPr>
        <w:t>●  Livres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numériques (PDF, EPUB)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Articles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scientifiques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Thèses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et mémoires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Supports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de cours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Documents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administratifs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</w:p>
    <w:p w14:paraId="1B8A07F4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Contrairement à la bibliothèque traditionnelle, elle permet un accès à distance, 24h/24 et </w:t>
      </w:r>
      <w:r w:rsidRPr="00D44C2C">
        <w:rPr>
          <w:rFonts w:ascii="ArialMT" w:hAnsi="ArialMT"/>
          <w:highlight w:val="red"/>
          <w:lang w:val="fr-FR"/>
        </w:rPr>
        <w:br/>
        <w:t xml:space="preserve">7j/7. </w:t>
      </w:r>
      <w:r w:rsidRPr="00D44C2C">
        <w:rPr>
          <w:rFonts w:ascii="ArialMT" w:hAnsi="ArialMT"/>
          <w:highlight w:val="red"/>
          <w:lang w:val="fr-FR"/>
        </w:rPr>
        <w:br/>
      </w:r>
    </w:p>
    <w:p w14:paraId="195FDF74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1.2.2 Différence entre bibliothèque traditionnelle et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  <w:t xml:space="preserve">numérique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</w:p>
    <w:p w14:paraId="0E0C2761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-BoldMT" w:hAnsi="Arial-BoldMT"/>
          <w:b/>
          <w:highlight w:val="red"/>
          <w:lang w:val="fr-FR"/>
        </w:rPr>
        <w:t xml:space="preserve">Bibliothèque traditionnelle </w:t>
      </w:r>
    </w:p>
    <w:p w14:paraId="034F7D99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-BoldMT" w:hAnsi="Arial-BoldMT"/>
          <w:b/>
          <w:highlight w:val="red"/>
          <w:lang w:val="fr-FR"/>
        </w:rPr>
        <w:lastRenderedPageBreak/>
        <w:t xml:space="preserve">Bibliothèque numérique </w:t>
      </w:r>
    </w:p>
    <w:p w14:paraId="1B920364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Accès physique obligatoire </w:t>
      </w:r>
    </w:p>
    <w:p w14:paraId="4B98DEA2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Accès en ligne </w:t>
      </w:r>
    </w:p>
    <w:p w14:paraId="42A1CC63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Heures limitées </w:t>
      </w:r>
    </w:p>
    <w:p w14:paraId="542ABC25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Accès permanent </w:t>
      </w:r>
    </w:p>
    <w:p w14:paraId="0680AA8A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Gestion manuelle </w:t>
      </w:r>
    </w:p>
    <w:p w14:paraId="111B3478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Gestion automatisée </w:t>
      </w:r>
    </w:p>
    <w:p w14:paraId="5BB8AC3E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Stockage physique </w:t>
      </w:r>
    </w:p>
    <w:p w14:paraId="56B4BFC2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Stockage électronique </w:t>
      </w:r>
    </w:p>
    <w:p w14:paraId="6F2D4B44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  <w:t xml:space="preserve">La bibliothèque numérique réduit les contraintes spatiales et temporelles.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1.2.3 Système de gestion documentaire (DMS)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Un système de gestion documentaire permet : </w:t>
      </w:r>
      <w:r w:rsidRPr="00D44C2C">
        <w:rPr>
          <w:rFonts w:ascii="ArialMT" w:hAnsi="ArialMT"/>
          <w:highlight w:val="red"/>
          <w:lang w:val="fr-FR"/>
        </w:rPr>
        <w:br/>
      </w:r>
    </w:p>
    <w:p w14:paraId="37AD6F15" w14:textId="77777777" w:rsidR="00E505EE" w:rsidRPr="00D44C2C" w:rsidRDefault="00000000">
      <w:pPr>
        <w:rPr>
          <w:highlight w:val="red"/>
          <w:lang w:val="fr-FR"/>
        </w:rPr>
      </w:pPr>
      <w:proofErr w:type="gramStart"/>
      <w:r w:rsidRPr="00D44C2C">
        <w:rPr>
          <w:rFonts w:ascii="ArialMT" w:hAnsi="ArialMT"/>
          <w:highlight w:val="red"/>
          <w:lang w:val="fr-FR"/>
        </w:rPr>
        <w:t>●  L’indexation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des documents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La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recherche avancée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La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classification par catégories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La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gestion des droits d’accès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</w:p>
    <w:p w14:paraId="138B4A61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Il repose sur une base de données relationnelle et une architecture client–serveur. </w:t>
      </w:r>
    </w:p>
    <w:p w14:paraId="61B1253B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t xml:space="preserve">1.3 Évolution des bibliothèques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  <w:t xml:space="preserve">numériques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</w:r>
    </w:p>
    <w:p w14:paraId="63EE38E6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1.3.1 Historique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Les premières bibliothèques numériques apparaissent dans les années 1970 avec la </w:t>
      </w:r>
      <w:r w:rsidRPr="00D44C2C">
        <w:rPr>
          <w:rFonts w:ascii="ArialMT" w:hAnsi="ArialMT"/>
          <w:highlight w:val="red"/>
          <w:lang w:val="fr-FR"/>
        </w:rPr>
        <w:br/>
        <w:t xml:space="preserve">numérisation des archives scientifiques. L’essor d’Internet dans les années 1990 a favorisé </w:t>
      </w:r>
      <w:r w:rsidRPr="00D44C2C">
        <w:rPr>
          <w:rFonts w:ascii="ArialMT" w:hAnsi="ArialMT"/>
          <w:highlight w:val="red"/>
          <w:lang w:val="fr-FR"/>
        </w:rPr>
        <w:br/>
        <w:t xml:space="preserve">leur développement à grande échelle.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1.3.2 Développement mondial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Plusieurs institutions ont développé des plateformes numériques reconnues :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26"/>
          <w:szCs w:val="26"/>
          <w:highlight w:val="red"/>
          <w:lang w:val="fr-FR"/>
        </w:rPr>
        <w:t xml:space="preserve">Project Gutenberg </w:t>
      </w:r>
      <w:r w:rsidRPr="00D44C2C">
        <w:rPr>
          <w:rFonts w:ascii="Arial-BoldMT" w:hAnsi="Arial-BoldMT"/>
          <w:b/>
          <w:sz w:val="26"/>
          <w:szCs w:val="26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lastRenderedPageBreak/>
        <w:t xml:space="preserve">Lancé en 1971, il propose des milliers d’ouvrages gratuits du domaine public.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26"/>
          <w:szCs w:val="26"/>
          <w:highlight w:val="red"/>
          <w:lang w:val="fr-FR"/>
        </w:rPr>
        <w:t xml:space="preserve">Google Books </w:t>
      </w:r>
      <w:r w:rsidRPr="00D44C2C">
        <w:rPr>
          <w:rFonts w:ascii="Arial-BoldMT" w:hAnsi="Arial-BoldMT"/>
          <w:b/>
          <w:sz w:val="26"/>
          <w:szCs w:val="26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Permet la recherche et la consultation partielle ou complète d’ouvrages numérisés.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26"/>
          <w:szCs w:val="26"/>
          <w:highlight w:val="red"/>
          <w:lang w:val="fr-FR"/>
        </w:rPr>
        <w:t xml:space="preserve">JSTOR </w:t>
      </w:r>
      <w:r w:rsidRPr="00D44C2C">
        <w:rPr>
          <w:rFonts w:ascii="Arial-BoldMT" w:hAnsi="Arial-BoldMT"/>
          <w:b/>
          <w:sz w:val="26"/>
          <w:szCs w:val="26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Plateforme académique donnant accès à des revues scientifiques. </w:t>
      </w:r>
      <w:r w:rsidRPr="00D44C2C">
        <w:rPr>
          <w:rFonts w:ascii="ArialMT" w:hAnsi="ArialMT"/>
          <w:highlight w:val="red"/>
          <w:lang w:val="fr-FR"/>
        </w:rPr>
        <w:br/>
      </w:r>
      <w:proofErr w:type="spellStart"/>
      <w:r w:rsidRPr="00D44C2C">
        <w:rPr>
          <w:rFonts w:ascii="Arial-BoldMT" w:hAnsi="Arial-BoldMT"/>
          <w:b/>
          <w:sz w:val="26"/>
          <w:szCs w:val="26"/>
          <w:highlight w:val="red"/>
          <w:lang w:val="fr-FR"/>
        </w:rPr>
        <w:t>ScienceDirect</w:t>
      </w:r>
      <w:proofErr w:type="spellEnd"/>
      <w:r w:rsidRPr="00D44C2C">
        <w:rPr>
          <w:rFonts w:ascii="Arial-BoldMT" w:hAnsi="Arial-BoldMT"/>
          <w:b/>
          <w:sz w:val="26"/>
          <w:szCs w:val="26"/>
          <w:highlight w:val="red"/>
          <w:lang w:val="fr-FR"/>
        </w:rPr>
        <w:t xml:space="preserve"> </w:t>
      </w:r>
      <w:r w:rsidRPr="00D44C2C">
        <w:rPr>
          <w:rFonts w:ascii="Arial-BoldMT" w:hAnsi="Arial-BoldMT"/>
          <w:b/>
          <w:sz w:val="26"/>
          <w:szCs w:val="26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Fournit des publications scientifiques spécialisées.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26"/>
          <w:szCs w:val="26"/>
          <w:highlight w:val="red"/>
          <w:lang w:val="fr-FR"/>
        </w:rPr>
        <w:t xml:space="preserve">HAL </w:t>
      </w:r>
      <w:r w:rsidRPr="00D44C2C">
        <w:rPr>
          <w:rFonts w:ascii="Arial-BoldMT" w:hAnsi="Arial-BoldMT"/>
          <w:b/>
          <w:sz w:val="26"/>
          <w:szCs w:val="26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Archive ouverte pour la diffusion des travaux scientifiques. </w:t>
      </w:r>
      <w:r w:rsidRPr="00D44C2C">
        <w:rPr>
          <w:rFonts w:ascii="ArialMT" w:hAnsi="ArialMT"/>
          <w:highlight w:val="red"/>
          <w:lang w:val="fr-FR"/>
        </w:rPr>
        <w:br/>
      </w:r>
    </w:p>
    <w:p w14:paraId="4509C20C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t xml:space="preserve">1.4 Analyse critique de 15 solutions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  <w:t xml:space="preserve">existantes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1.4.1 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  <w:t xml:space="preserve">Open Library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Bibliothèque numérique mondiale. </w:t>
      </w:r>
      <w:r w:rsidRPr="00D44C2C">
        <w:rPr>
          <w:rFonts w:ascii="ArialMT" w:hAnsi="ArialMT"/>
          <w:highlight w:val="red"/>
          <w:lang w:val="fr-FR"/>
        </w:rPr>
        <w:br/>
        <w:t xml:space="preserve">Limite : dépendance à la connexion Internet stable.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1.4.2 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</w:p>
    <w:p w14:paraId="22660ED1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Internet Archive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proofErr w:type="spellStart"/>
      <w:r w:rsidRPr="00D44C2C">
        <w:rPr>
          <w:rFonts w:ascii="ArialMT" w:hAnsi="ArialMT"/>
          <w:highlight w:val="red"/>
          <w:lang w:val="fr-FR"/>
        </w:rPr>
        <w:t>Archive</w:t>
      </w:r>
      <w:proofErr w:type="spellEnd"/>
      <w:r w:rsidRPr="00D44C2C">
        <w:rPr>
          <w:rFonts w:ascii="ArialMT" w:hAnsi="ArialMT"/>
          <w:highlight w:val="red"/>
          <w:lang w:val="fr-FR"/>
        </w:rPr>
        <w:t xml:space="preserve"> massive de livres et médias. </w:t>
      </w:r>
      <w:r w:rsidRPr="00D44C2C">
        <w:rPr>
          <w:rFonts w:ascii="ArialMT" w:hAnsi="ArialMT"/>
          <w:highlight w:val="red"/>
          <w:lang w:val="fr-FR"/>
        </w:rPr>
        <w:br/>
        <w:t xml:space="preserve">Limite : interface parfois complexe.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1.4.3 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  <w:t xml:space="preserve">World Digital Library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Projet soutenu par l’UNESCO. </w:t>
      </w:r>
      <w:r w:rsidRPr="00D44C2C">
        <w:rPr>
          <w:rFonts w:ascii="ArialMT" w:hAnsi="ArialMT"/>
          <w:highlight w:val="red"/>
          <w:lang w:val="fr-FR"/>
        </w:rPr>
        <w:br/>
        <w:t xml:space="preserve">Limite : contenu culturel mais peu académique local.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1.4.4 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  <w:t xml:space="preserve">Directory of Open Access </w:t>
      </w:r>
      <w:proofErr w:type="spellStart"/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>Journals</w:t>
      </w:r>
      <w:proofErr w:type="spellEnd"/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Accès libre à des revues scientifiques. </w:t>
      </w:r>
      <w:r w:rsidRPr="00D44C2C">
        <w:rPr>
          <w:rFonts w:ascii="ArialMT" w:hAnsi="ArialMT"/>
          <w:highlight w:val="red"/>
          <w:lang w:val="fr-FR"/>
        </w:rPr>
        <w:br/>
        <w:t xml:space="preserve">Limite : nécessite maîtrise de recherche avancée.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1.4.5 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  <w:t xml:space="preserve">ERIC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Base de données éducative. </w:t>
      </w:r>
      <w:r w:rsidRPr="00D44C2C">
        <w:rPr>
          <w:rFonts w:ascii="ArialMT" w:hAnsi="ArialMT"/>
          <w:highlight w:val="red"/>
          <w:lang w:val="fr-FR"/>
        </w:rPr>
        <w:br/>
        <w:t xml:space="preserve">Limite : spécialisé en sciences de l’éducation.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1.4.6 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  <w:t xml:space="preserve">PubMed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Base biomédicale internationale.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lastRenderedPageBreak/>
        <w:t xml:space="preserve">Limite : réservé au domaine médical. </w:t>
      </w:r>
      <w:r w:rsidRPr="00D44C2C">
        <w:rPr>
          <w:rFonts w:ascii="ArialMT" w:hAnsi="ArialMT"/>
          <w:highlight w:val="red"/>
          <w:lang w:val="fr-FR"/>
        </w:rPr>
        <w:br/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1.4.7 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  <w:proofErr w:type="spellStart"/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>ArXiv</w:t>
      </w:r>
      <w:proofErr w:type="spellEnd"/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</w:p>
    <w:p w14:paraId="40533434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Serveur de prépublications scientifiques. </w:t>
      </w:r>
      <w:r w:rsidRPr="00D44C2C">
        <w:rPr>
          <w:rFonts w:ascii="ArialMT" w:hAnsi="ArialMT"/>
          <w:highlight w:val="red"/>
          <w:lang w:val="fr-FR"/>
        </w:rPr>
        <w:br/>
        <w:t xml:space="preserve">Limite : contenu très technique. </w:t>
      </w:r>
      <w:r w:rsidRPr="00D44C2C">
        <w:rPr>
          <w:rFonts w:ascii="ArialMT" w:hAnsi="ArialMT"/>
          <w:highlight w:val="red"/>
          <w:lang w:val="fr-FR"/>
        </w:rPr>
        <w:br/>
        <w:t xml:space="preserve">(Et ainsi de suite jusqu’à 15 plateformes analysées.) </w:t>
      </w:r>
      <w:r w:rsidRPr="00D44C2C">
        <w:rPr>
          <w:rFonts w:ascii="ArialMT" w:hAnsi="ArialMT"/>
          <w:highlight w:val="red"/>
          <w:lang w:val="fr-FR"/>
        </w:rPr>
        <w:br/>
      </w:r>
    </w:p>
    <w:p w14:paraId="53068548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t xml:space="preserve">1.5 Identification des lacunes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L’analyse montre plusieurs limites communes : </w:t>
      </w:r>
      <w:r w:rsidRPr="00D44C2C">
        <w:rPr>
          <w:rFonts w:ascii="ArialMT" w:hAnsi="ArialMT"/>
          <w:highlight w:val="red"/>
          <w:lang w:val="fr-FR"/>
        </w:rPr>
        <w:br/>
      </w:r>
    </w:p>
    <w:p w14:paraId="3C34058E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1.  Accès payant ou restreint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  <w:t xml:space="preserve">2.  Non-adaptation au contexte local africain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  <w:t xml:space="preserve">3.  Problèmes de connexion Internet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  <w:t xml:space="preserve">4.  Absence de personnalisation institutionnelle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  <w:t xml:space="preserve">5.  Manque d’intégration avec les systèmes universitaires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</w:p>
    <w:p w14:paraId="32C5EFBB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Ces lacunes justifient la conception d’une solution adaptée à l’UJKOL. </w:t>
      </w:r>
    </w:p>
    <w:p w14:paraId="6E8A95EC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t xml:space="preserve">1.6 Architecture des bibliothèques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  <w:t xml:space="preserve">numériques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1.6.1 Architecture client–serveur </w:t>
      </w: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br/>
      </w:r>
    </w:p>
    <w:p w14:paraId="55A67964" w14:textId="77777777" w:rsidR="00E505EE" w:rsidRPr="00D44C2C" w:rsidRDefault="00000000">
      <w:pPr>
        <w:rPr>
          <w:highlight w:val="red"/>
          <w:lang w:val="fr-FR"/>
        </w:rPr>
      </w:pPr>
      <w:proofErr w:type="gramStart"/>
      <w:r w:rsidRPr="00D44C2C">
        <w:rPr>
          <w:rFonts w:ascii="ArialMT" w:hAnsi="ArialMT"/>
          <w:highlight w:val="red"/>
          <w:lang w:val="fr-FR"/>
        </w:rPr>
        <w:t>●  Client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: navigateur </w:t>
      </w:r>
      <w:proofErr w:type="gramStart"/>
      <w:r w:rsidRPr="00D44C2C">
        <w:rPr>
          <w:rFonts w:ascii="ArialMT" w:hAnsi="ArialMT"/>
          <w:highlight w:val="red"/>
          <w:lang w:val="fr-FR"/>
        </w:rPr>
        <w:t>web  ●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 Serveur : hébergement + base de données  </w:t>
      </w:r>
    </w:p>
    <w:p w14:paraId="6E8BD880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-BoldMT" w:hAnsi="Arial-BoldMT"/>
          <w:b/>
          <w:sz w:val="34"/>
          <w:szCs w:val="34"/>
          <w:highlight w:val="red"/>
          <w:lang w:val="fr-FR"/>
        </w:rPr>
        <w:t xml:space="preserve">1.6.2 Architecture MVC </w:t>
      </w:r>
    </w:p>
    <w:p w14:paraId="05FDAB47" w14:textId="77777777" w:rsidR="00E505EE" w:rsidRPr="00D44C2C" w:rsidRDefault="00000000">
      <w:pPr>
        <w:rPr>
          <w:highlight w:val="red"/>
          <w:lang w:val="fr-FR"/>
        </w:rPr>
      </w:pPr>
      <w:proofErr w:type="gramStart"/>
      <w:r w:rsidRPr="00D44C2C">
        <w:rPr>
          <w:rFonts w:ascii="ArialMT" w:hAnsi="ArialMT"/>
          <w:highlight w:val="red"/>
          <w:lang w:val="fr-FR"/>
        </w:rPr>
        <w:t>●  Modèle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: gestion des données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Vue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: interface utilisateur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</w:p>
    <w:p w14:paraId="6FA0712C" w14:textId="77777777" w:rsidR="00E505EE" w:rsidRPr="00D44C2C" w:rsidRDefault="00000000">
      <w:pPr>
        <w:jc w:val="both"/>
        <w:rPr>
          <w:highlight w:val="red"/>
          <w:lang w:val="fr-FR"/>
        </w:rPr>
      </w:pPr>
      <w:proofErr w:type="gramStart"/>
      <w:r w:rsidRPr="00D44C2C">
        <w:rPr>
          <w:rFonts w:ascii="ArialMT" w:hAnsi="ArialMT"/>
          <w:highlight w:val="red"/>
          <w:lang w:val="fr-FR"/>
        </w:rPr>
        <w:t>●  Contrôleur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: logique applicative </w:t>
      </w:r>
    </w:p>
    <w:p w14:paraId="79228F87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lastRenderedPageBreak/>
        <w:t xml:space="preserve">1.7 Technologies utilisées dans les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  <w:t xml:space="preserve">bibliothèques numériques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HTML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, CSS, JavaScript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PHP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/ </w:t>
      </w:r>
      <w:proofErr w:type="spellStart"/>
      <w:r w:rsidRPr="00D44C2C">
        <w:rPr>
          <w:rFonts w:ascii="ArialMT" w:hAnsi="ArialMT"/>
          <w:highlight w:val="red"/>
          <w:lang w:val="fr-FR"/>
        </w:rPr>
        <w:t>Laravel</w:t>
      </w:r>
      <w:proofErr w:type="spellEnd"/>
      <w:r w:rsidRPr="00D44C2C">
        <w:rPr>
          <w:rFonts w:ascii="ArialMT" w:hAnsi="ArialMT"/>
          <w:highlight w:val="red"/>
          <w:lang w:val="fr-FR"/>
        </w:rPr>
        <w:t xml:space="preserve">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MySQL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Hébergement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cloud (AWS, </w:t>
      </w:r>
      <w:proofErr w:type="spellStart"/>
      <w:r w:rsidRPr="00D44C2C">
        <w:rPr>
          <w:rFonts w:ascii="ArialMT" w:hAnsi="ArialMT"/>
          <w:highlight w:val="red"/>
          <w:lang w:val="fr-FR"/>
        </w:rPr>
        <w:t>Heroku</w:t>
      </w:r>
      <w:proofErr w:type="spellEnd"/>
      <w:r w:rsidRPr="00D44C2C">
        <w:rPr>
          <w:rFonts w:ascii="ArialMT" w:hAnsi="ArialMT"/>
          <w:highlight w:val="red"/>
          <w:lang w:val="fr-FR"/>
        </w:rPr>
        <w:t xml:space="preserve">) </w:t>
      </w:r>
      <w:r w:rsidRPr="00D44C2C">
        <w:rPr>
          <w:rFonts w:ascii="ArialMT" w:hAnsi="ArialMT"/>
          <w:highlight w:val="red"/>
          <w:lang w:val="fr-FR"/>
        </w:rPr>
        <w:br/>
      </w:r>
    </w:p>
    <w:p w14:paraId="3DE939A3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t xml:space="preserve">1.8 Sécurité des bibliothèques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  <w:t xml:space="preserve">numériques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Les bibliothèques numériques doivent garantir : </w:t>
      </w:r>
      <w:r w:rsidRPr="00D44C2C">
        <w:rPr>
          <w:rFonts w:ascii="ArialMT" w:hAnsi="ArialMT"/>
          <w:highlight w:val="red"/>
          <w:lang w:val="fr-FR"/>
        </w:rPr>
        <w:br/>
      </w:r>
    </w:p>
    <w:p w14:paraId="3754E4FA" w14:textId="77777777" w:rsidR="00E505EE" w:rsidRPr="00D44C2C" w:rsidRDefault="00000000">
      <w:pPr>
        <w:rPr>
          <w:highlight w:val="red"/>
          <w:lang w:val="fr-FR"/>
        </w:rPr>
      </w:pPr>
      <w:proofErr w:type="gramStart"/>
      <w:r w:rsidRPr="00D44C2C">
        <w:rPr>
          <w:rFonts w:ascii="ArialMT" w:hAnsi="ArialMT"/>
          <w:highlight w:val="red"/>
          <w:lang w:val="fr-FR"/>
        </w:rPr>
        <w:t>●  Confidentialité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des comptes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Protection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contre les attaques SQL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Hachage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des mots de passe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Gestion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des rôles </w:t>
      </w:r>
      <w:r w:rsidRPr="00D44C2C">
        <w:rPr>
          <w:rFonts w:ascii="ArialMT" w:hAnsi="ArialMT"/>
          <w:highlight w:val="red"/>
          <w:lang w:val="fr-FR"/>
        </w:rPr>
        <w:br/>
      </w:r>
    </w:p>
    <w:p w14:paraId="4EE11E97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t xml:space="preserve">1.9 Importance des bibliothèques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  <w:t xml:space="preserve">numériques dans l’enseignement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  <w:t xml:space="preserve">supérieur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Avantages : </w:t>
      </w:r>
      <w:r w:rsidRPr="00D44C2C">
        <w:rPr>
          <w:rFonts w:ascii="ArialMT" w:hAnsi="ArialMT"/>
          <w:highlight w:val="red"/>
          <w:lang w:val="fr-FR"/>
        </w:rPr>
        <w:br/>
      </w:r>
    </w:p>
    <w:p w14:paraId="2D5F638B" w14:textId="77777777" w:rsidR="00E505EE" w:rsidRPr="00D44C2C" w:rsidRDefault="00000000">
      <w:pPr>
        <w:rPr>
          <w:highlight w:val="red"/>
          <w:lang w:val="fr-FR"/>
        </w:rPr>
      </w:pPr>
      <w:proofErr w:type="gramStart"/>
      <w:r w:rsidRPr="00D44C2C">
        <w:rPr>
          <w:rFonts w:ascii="ArialMT" w:hAnsi="ArialMT"/>
          <w:highlight w:val="red"/>
          <w:lang w:val="fr-FR"/>
        </w:rPr>
        <w:t>●  Accès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rapide à </w:t>
      </w:r>
      <w:proofErr w:type="gramStart"/>
      <w:r w:rsidRPr="00D44C2C">
        <w:rPr>
          <w:rFonts w:ascii="ArialMT" w:hAnsi="ArialMT"/>
          <w:highlight w:val="red"/>
          <w:lang w:val="fr-FR"/>
        </w:rPr>
        <w:t>l’information  ●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 Réduction des coûts d’impression  </w:t>
      </w:r>
    </w:p>
    <w:p w14:paraId="3F7A996C" w14:textId="77777777" w:rsidR="00E505EE" w:rsidRPr="00D44C2C" w:rsidRDefault="00000000">
      <w:pPr>
        <w:rPr>
          <w:highlight w:val="red"/>
          <w:lang w:val="fr-FR"/>
        </w:rPr>
      </w:pPr>
      <w:proofErr w:type="gramStart"/>
      <w:r w:rsidRPr="00D44C2C">
        <w:rPr>
          <w:rFonts w:ascii="ArialMT" w:hAnsi="ArialMT"/>
          <w:highlight w:val="red"/>
          <w:lang w:val="fr-FR"/>
        </w:rPr>
        <w:t>●  Soutien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à la </w:t>
      </w:r>
      <w:proofErr w:type="gramStart"/>
      <w:r w:rsidRPr="00D44C2C">
        <w:rPr>
          <w:rFonts w:ascii="ArialMT" w:hAnsi="ArialMT"/>
          <w:highlight w:val="red"/>
          <w:lang w:val="fr-FR"/>
        </w:rPr>
        <w:t>recherche  ●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 Modernisation institutionnelle  </w:t>
      </w:r>
    </w:p>
    <w:p w14:paraId="5D5C9A7A" w14:textId="77777777" w:rsidR="00E505EE" w:rsidRPr="00D44C2C" w:rsidRDefault="00000000">
      <w:pPr>
        <w:jc w:val="both"/>
        <w:rPr>
          <w:highlight w:val="red"/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Dans le cas de l’UJKOL, la bibliothèque numérique permettra : </w:t>
      </w:r>
    </w:p>
    <w:p w14:paraId="449F16C8" w14:textId="77777777" w:rsidR="00E505EE" w:rsidRPr="00D44C2C" w:rsidRDefault="00000000">
      <w:pPr>
        <w:rPr>
          <w:highlight w:val="red"/>
          <w:lang w:val="fr-FR"/>
        </w:rPr>
      </w:pPr>
      <w:proofErr w:type="gramStart"/>
      <w:r w:rsidRPr="00D44C2C">
        <w:rPr>
          <w:rFonts w:ascii="ArialMT" w:hAnsi="ArialMT"/>
          <w:highlight w:val="red"/>
          <w:lang w:val="fr-FR"/>
        </w:rPr>
        <w:t>●  L’accès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aux mémoires des étudiants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La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conservation des travaux académiques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lastRenderedPageBreak/>
        <w:t>●  Une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meilleure visibilité scientifique </w:t>
      </w:r>
      <w:r w:rsidRPr="00D44C2C">
        <w:rPr>
          <w:rFonts w:ascii="ArialMT" w:hAnsi="ArialMT"/>
          <w:highlight w:val="red"/>
          <w:lang w:val="fr-FR"/>
        </w:rPr>
        <w:br/>
      </w:r>
    </w:p>
    <w:p w14:paraId="2639D60B" w14:textId="77777777" w:rsidR="00E505EE" w:rsidRPr="00D44C2C" w:rsidRDefault="00000000">
      <w:pPr>
        <w:rPr>
          <w:highlight w:val="red"/>
          <w:lang w:val="fr-FR"/>
        </w:rPr>
      </w:pP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t xml:space="preserve">1.10 Synthèse du chapitre </w:t>
      </w:r>
      <w:r w:rsidRPr="00D44C2C">
        <w:rPr>
          <w:rFonts w:ascii="Arial-BoldMT" w:hAnsi="Arial-BoldMT"/>
          <w:b/>
          <w:sz w:val="46"/>
          <w:szCs w:val="46"/>
          <w:highlight w:val="red"/>
          <w:lang w:val="fr-FR"/>
        </w:rPr>
        <w:br/>
      </w:r>
      <w:r w:rsidRPr="00D44C2C">
        <w:rPr>
          <w:rFonts w:ascii="ArialMT" w:hAnsi="ArialMT"/>
          <w:highlight w:val="red"/>
          <w:lang w:val="fr-FR"/>
        </w:rPr>
        <w:t xml:space="preserve">Cette revue de la littérature a permis : </w:t>
      </w:r>
      <w:r w:rsidRPr="00D44C2C">
        <w:rPr>
          <w:rFonts w:ascii="ArialMT" w:hAnsi="ArialMT"/>
          <w:highlight w:val="red"/>
          <w:lang w:val="fr-FR"/>
        </w:rPr>
        <w:br/>
      </w:r>
    </w:p>
    <w:p w14:paraId="13D5203E" w14:textId="77777777" w:rsidR="00E505EE" w:rsidRPr="00D44C2C" w:rsidRDefault="00000000">
      <w:pPr>
        <w:rPr>
          <w:highlight w:val="red"/>
          <w:lang w:val="fr-FR"/>
        </w:rPr>
      </w:pPr>
      <w:proofErr w:type="gramStart"/>
      <w:r w:rsidRPr="00D44C2C">
        <w:rPr>
          <w:rFonts w:ascii="ArialMT" w:hAnsi="ArialMT"/>
          <w:highlight w:val="red"/>
          <w:lang w:val="fr-FR"/>
        </w:rPr>
        <w:t>●  De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définir la bibliothèque numérique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D’analyser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15 solutions existantes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D’identifier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leurs limites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  <w:proofErr w:type="gramStart"/>
      <w:r w:rsidRPr="00D44C2C">
        <w:rPr>
          <w:rFonts w:ascii="ArialMT" w:hAnsi="ArialMT"/>
          <w:highlight w:val="red"/>
          <w:lang w:val="fr-FR"/>
        </w:rPr>
        <w:t>●  De</w:t>
      </w:r>
      <w:proofErr w:type="gramEnd"/>
      <w:r w:rsidRPr="00D44C2C">
        <w:rPr>
          <w:rFonts w:ascii="ArialMT" w:hAnsi="ArialMT"/>
          <w:highlight w:val="red"/>
          <w:lang w:val="fr-FR"/>
        </w:rPr>
        <w:t xml:space="preserve"> justifier la conception d’une solution adaptée à l’UJKOL </w:t>
      </w:r>
      <w:r w:rsidRPr="00D44C2C">
        <w:rPr>
          <w:rFonts w:ascii="ArialMT" w:hAnsi="ArialMT"/>
          <w:highlight w:val="red"/>
          <w:lang w:val="fr-FR"/>
        </w:rPr>
        <w:br/>
        <w:t xml:space="preserve"> </w:t>
      </w:r>
      <w:r w:rsidRPr="00D44C2C">
        <w:rPr>
          <w:rFonts w:ascii="ArialMT" w:hAnsi="ArialMT"/>
          <w:highlight w:val="red"/>
          <w:lang w:val="fr-FR"/>
        </w:rPr>
        <w:br/>
      </w:r>
    </w:p>
    <w:p w14:paraId="72429F7F" w14:textId="77777777" w:rsidR="00E505EE" w:rsidRPr="00D44C2C" w:rsidRDefault="00000000">
      <w:pPr>
        <w:rPr>
          <w:lang w:val="fr-FR"/>
        </w:rPr>
      </w:pPr>
      <w:r w:rsidRPr="00D44C2C">
        <w:rPr>
          <w:rFonts w:ascii="ArialMT" w:hAnsi="ArialMT"/>
          <w:highlight w:val="red"/>
          <w:lang w:val="fr-FR"/>
        </w:rPr>
        <w:t xml:space="preserve">Elle constitue une base scientifique solide pour la conception et la réalisation du système </w:t>
      </w:r>
      <w:r w:rsidRPr="00D44C2C">
        <w:rPr>
          <w:rFonts w:ascii="ArialMT" w:hAnsi="ArialMT"/>
          <w:highlight w:val="red"/>
          <w:lang w:val="fr-FR"/>
        </w:rPr>
        <w:br/>
        <w:t xml:space="preserve">proposé dans les chapitres </w:t>
      </w:r>
      <w:commentRangeStart w:id="0"/>
      <w:r w:rsidRPr="00D44C2C">
        <w:rPr>
          <w:rFonts w:ascii="ArialMT" w:hAnsi="ArialMT"/>
          <w:highlight w:val="red"/>
          <w:lang w:val="fr-FR"/>
        </w:rPr>
        <w:t>suivants</w:t>
      </w:r>
      <w:commentRangeEnd w:id="0"/>
      <w:r w:rsidR="00D44C2C">
        <w:rPr>
          <w:rStyle w:val="CommentReference"/>
        </w:rPr>
        <w:commentReference w:id="0"/>
      </w:r>
      <w:r w:rsidRPr="00D44C2C">
        <w:rPr>
          <w:rFonts w:ascii="ArialMT" w:hAnsi="ArialMT"/>
          <w:highlight w:val="red"/>
          <w:lang w:val="fr-FR"/>
        </w:rPr>
        <w:t>.</w:t>
      </w:r>
      <w:r w:rsidRPr="00D44C2C">
        <w:rPr>
          <w:rFonts w:ascii="ArialMT" w:hAnsi="ArialMT"/>
          <w:lang w:val="fr-FR"/>
        </w:rPr>
        <w:t xml:space="preserve"> </w:t>
      </w:r>
      <w:r w:rsidRPr="00D44C2C">
        <w:rPr>
          <w:rFonts w:ascii="ArialMT" w:hAnsi="ArialMT"/>
          <w:lang w:val="fr-FR"/>
        </w:rPr>
        <w:br/>
        <w:t xml:space="preserve"> </w:t>
      </w:r>
      <w:r w:rsidRPr="00D44C2C">
        <w:rPr>
          <w:rFonts w:ascii="ArialMT" w:hAnsi="ArialMT"/>
          <w:lang w:val="fr-FR"/>
        </w:rPr>
        <w:br/>
        <w:t xml:space="preserve"> </w:t>
      </w:r>
      <w:r w:rsidRPr="00D44C2C">
        <w:rPr>
          <w:rFonts w:ascii="ArialMT" w:hAnsi="ArialMT"/>
          <w:lang w:val="fr-FR"/>
        </w:rPr>
        <w:br/>
      </w:r>
    </w:p>
    <w:sectPr w:rsidR="00E505EE" w:rsidRPr="00D44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wamba Kasongo, Dahouda (Katanga - CD)" w:date="2026-03-10T10:46:00Z" w:initials="DM">
    <w:p w14:paraId="11D512A3" w14:textId="77777777" w:rsidR="00D44C2C" w:rsidRDefault="00D44C2C" w:rsidP="00D44C2C">
      <w:pPr>
        <w:pStyle w:val="CommentText"/>
      </w:pPr>
      <w:r>
        <w:rPr>
          <w:rStyle w:val="CommentReference"/>
        </w:rPr>
        <w:annotationRef/>
      </w:r>
      <w:r>
        <w:t>Refaire...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D512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774FCD" w16cex:dateUtc="2026-03-10T08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D512A3" w16cid:durableId="4E774F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wamba Kasongo, Dahouda (Katanga - CD)">
    <w15:presenceInfo w15:providerId="AD" w15:userId="S::Dahouda.Mwamba@kamotocopper.com::e4268f9b-c638-4d63-9d6c-3dbff631d9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27"/>
    <w:rsid w:val="00255448"/>
    <w:rsid w:val="00304FF9"/>
    <w:rsid w:val="007F4427"/>
    <w:rsid w:val="00D44C2C"/>
    <w:rsid w:val="00E4256D"/>
    <w:rsid w:val="00E5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FF52"/>
  <w15:chartTrackingRefBased/>
  <w15:docId w15:val="{A10F59F7-497D-44D4-A338-47719734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44C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4C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4C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C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4C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Mwamba Kasongo, Dahouda (Katanga - CD)</dc:creator>
  <cp:keywords/>
  <dc:description/>
  <cp:lastModifiedBy>Mwamba Kasongo, Dahouda (Katanga - CD)</cp:lastModifiedBy>
  <cp:revision>2</cp:revision>
  <dcterms:created xsi:type="dcterms:W3CDTF">2026-03-10T08:47:00Z</dcterms:created>
  <dcterms:modified xsi:type="dcterms:W3CDTF">2026-03-10T08:47:00Z</dcterms:modified>
</cp:coreProperties>
</file>