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80"/>
          <w:sz w:val="40"/>
          <w:szCs w:val="40"/>
        </w:rPr>
        <w:t xml:space="preserve">준 비 서 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사건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2024가단123456  임대차보증금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홍 길 동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</w:t>
            </w:r>
          </w:p>
        </w:tc>
      </w:tr>
    </w:tbl>
    <w:p>
      <w:r>
        <w:t xml:space="preserve"/>
      </w:r>
    </w:p>
    <w:p>
      <w:pPr>
        <w:ind w:left="0"/>
        <w:jc w:val="both"/>
      </w:pPr>
      <w:r>
        <w:t xml:space="preserve">위 사건에 관하여 원고는 다음과 같이 변론을 준비합니다.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다 음</w:t>
      </w:r>
    </w:p>
    <w:p>
      <w:pPr>
        <w:tabs>
          <w:tab w:val="left" w:pos="460"/>
        </w:tabs>
        <w:ind w:left="460" w:hanging="460"/>
        <w:jc w:val="both"/>
      </w:pPr>
      <w:r>
        <w:t xml:space="preserve">1.	피고 주장의 요지</w:t>
      </w:r>
    </w:p>
    <w:p>
      <w:pPr>
        <w:ind w:left="460"/>
        <w:jc w:val="both"/>
      </w:pPr>
      <w:r>
        <w:t xml:space="preserve">피고는 2026. 6. 30.자 답변서에서, 원고가 이 사건 주택을 원상으로 회복하지 않아 도배·장판 교체비 1,200,000원이 들었으므로 이를 보증금에서 빼야 한다고 주장합니다.</w:t>
      </w:r>
    </w:p>
    <w:p>
      <w:pPr>
        <w:tabs>
          <w:tab w:val="left" w:pos="460"/>
        </w:tabs>
        <w:ind w:left="460" w:hanging="460"/>
        <w:jc w:val="both"/>
      </w:pPr>
      <w:r>
        <w:t xml:space="preserve">2.	통상의 손모는 원상회복 범위에 포함되지 않습니다</w:t>
      </w:r>
    </w:p>
    <w:p>
      <w:pPr>
        <w:tabs>
          <w:tab w:val="left" w:pos="920"/>
        </w:tabs>
        <w:ind w:left="920" w:hanging="460"/>
        <w:jc w:val="both"/>
      </w:pPr>
      <w:r>
        <w:t xml:space="preserve">가.	임차인의 원상회복의무는 임차인이 고의나 과실로 목적물을 훼손한 경우에 생기는 것이고, 통상의 방법으로 사용하면서 자연스럽게 생긴 손모까지 회복할 의무는 없습니다.</w:t>
      </w:r>
    </w:p>
    <w:p>
      <w:pPr>
        <w:tabs>
          <w:tab w:val="left" w:pos="920"/>
        </w:tabs>
        <w:ind w:left="920" w:hanging="460"/>
        <w:jc w:val="both"/>
      </w:pPr>
      <w:r>
        <w:t xml:space="preserve">나.	통상 손모의 보수비용은 차임에 이미 반영되어 있다고 보는 것이 거래 관념에 맞으므로, 이를 다시 임차인에게 물리는 것은 이중 부담입니다.</w:t>
      </w:r>
    </w:p>
    <w:p>
      <w:pPr>
        <w:tabs>
          <w:tab w:val="left" w:pos="920"/>
        </w:tabs>
        <w:ind w:left="920" w:hanging="460"/>
        <w:jc w:val="both"/>
      </w:pPr>
      <w:r>
        <w:t xml:space="preserve">다.	원고는 2년간 이 사건 주택에 거주하였고, 도배와 장판의 상태는 2년의 통상 거주로 생기는 정도를 넘지 않습니다.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3.	이 사건 도배·장판의 실제 상태</w:t>
      </w:r>
    </w:p>
    <w:p>
      <w:pPr>
        <w:ind w:left="460"/>
        <w:jc w:val="both"/>
      </w:pPr>
      <w:r>
        <w:t xml:space="preserve">원고가 인도 당시 찍은 사진(갑 제6호증)을 보면 벽지에는 가구 자리의 색 차이만 있을 뿐 찢김이나 오염이 없고, 장판도 눌린 자국 외에 파손된 곳이 없습니다. 피고가 낸 견적서(을 제1호증)는 집 전체를 새로 시공하는 것을 전제로 한 것이어서 원고의 사용과의 인과관계가 특정되지 않습니다.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4.	원상회복 특약도 없습니다</w:t>
      </w:r>
    </w:p>
    <w:p>
      <w:pPr>
        <w:ind w:left="460"/>
        <w:jc w:val="both"/>
      </w:pPr>
      <w:r>
        <w:t xml:space="preserve">임대차계약서(갑 제1호증)에는 도배·장판 교체를 임차인이 부담한다는 특약이 없습니다.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5.	결론</w:t>
      </w:r>
    </w:p>
    <w:p>
      <w:pPr>
        <w:ind w:left="460"/>
        <w:jc w:val="both"/>
      </w:pPr>
      <w:r>
        <w:t xml:space="preserve">따라서 피고의 공제 주장은 이유 없으므로, 피고는 원고에게 보증금 10,000,000원 전액을 반환하여야 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갑 제6호증	인도 당시 주택 사진</w:t>
      </w:r>
    </w:p>
    <w:p>
      <w:pPr>
        <w:tabs>
          <w:tab w:val="left" w:pos="3700"/>
        </w:tabs>
      </w:pPr>
      <w:r>
        <w:t xml:space="preserve">1. 갑 제7호증	입주 당시와 인도 당시 비교 사진</w:t>
      </w:r>
    </w:p>
    <w:p>
      <w:pPr>
        <w:spacing w:after="240" w:before="720"/>
        <w:jc w:val="right"/>
      </w:pPr>
      <w:r>
        <w:t xml:space="preserve">2026. 8. 20.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서울중앙지방법원 제12민사단독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준비서면 — 준비서면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2026-09-28T23:40:20.984Z</dcterms:created>
  <dcterms:modified xsi:type="dcterms:W3CDTF">2026-09-28T23:40:20.984Z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