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阶段0_环境数据与基础设施验收报告</w:t>
      </w:r>
    </w:p>
    <w:p>
      <w:pPr>
        <w:pStyle w:val="Subtitle"/>
      </w:pPr>
      <w:r>
        <w:t xml:space="preserve">环境、数据、索引与工件基础设施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运行标识</w:t>
            </w:r>
          </w:p>
        </w:tc>
        <w:tc>
          <w:tcPr>
            <w:tcW w:w="18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阶段</w:t>
            </w:r>
          </w:p>
        </w:tc>
        <w:tc>
          <w:tcPr>
            <w:tcW w:w="45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验收汇总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20260718_161942_stage_0_e0522686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stage_0</w:t>
            </w:r>
          </w:p>
        </w:tc>
        <w:tc>
          <w:tcPr>
            <w:tcW w:w="4560" w:type="dxa"/>
            <w:vAlign w:val="center"/>
          </w:tcPr>
          <w:p>
            <w:pPr>
              <w:pStyle w:val="TableText"/>
            </w:pPr>
            <w:r>
              <w:t xml:space="preserve">acceptance_results.csv 已记录的阻断项均为 PASS（仅限现存记录，不代表验收项完整性）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一、验收结论</w:t>
      </w:r>
    </w:p>
    <w:tbl>
      <w:tblPr>
        <w:tblW w:w="9360" w:type="dxa"/>
        <w:tblInd w:w="120" w:type="dxa"/>
        <w:tblLayout w:type="fixed"/>
        <w:tblBorders>
          <w:top w:val="single" w:sz="4" w:color="D9E7F5"/>
          <w:left w:val="single" w:sz="4" w:color="D9E7F5"/>
          <w:bottom w:val="single" w:sz="4" w:color="D9E7F5"/>
          <w:right w:val="single" w:sz="4" w:color="D9E7F5"/>
          <w:insideH w:val="single" w:sz="4" w:color="F4F6F9"/>
          <w:insideV w:val="single" w:sz="4" w:color="F4F6F9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w="9360" w:type="dxa"/>
            <w:shd w:val="clear" w:fill="F4F6F9"/>
            <w:vAlign w:val="center"/>
          </w:tcPr>
          <w:p>
            <w:pPr>
              <w:pStyle w:val="CalloutTitle"/>
            </w:pPr>
            <w:r>
              <w:t xml:space="preserve">acceptance_results.csv 已记录的阻断项均为 PASS（仅限现存记录，不代表验收项完整性）</w:t>
            </w:r>
          </w:p>
          <w:p>
            <w:pPr>
              <w:pStyle w:val="CalloutText"/>
            </w:pPr>
            <w:r>
              <w:t xml:space="preserve">阻断项 10 项；PASS 10 项；非 PASS 0 项。结论由 acceptance_results.csv 自动汇总。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stage_0 仅启用 INFRA 基础设施口径；优化目标、物理约束、完整 KKT、递推方向与内点迭代均未运行/不适用。</w:t>
      </w:r>
    </w:p>
    <w:p>
      <w:pPr>
        <w:pStyle w:val="Heading1"/>
        <w:keepNext/>
      </w:pPr>
      <w:r>
        <w:t xml:space="preserve">二、运行标识与清单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字段</w:t>
            </w:r>
          </w:p>
        </w:tc>
        <w:tc>
          <w:tcPr>
            <w:tcW w:w="7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值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run_id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20260718_161942_stage_0_e0522686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stage_id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stage_0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started_at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2026-07-18T16:19:43.001Z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ended_at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2026-07-18T16:20:15.115Z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model_contract_version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1.0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input_hashes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{"base_parameters":"aebb35fa80e6ba2fb8d4534b09a141feaedcb2b9d027e9924e7a0091943c4277","timeseries":"10baac1dc5d0b07dbbb9d2fe8f9aac82f071e43d4fb9901ff7ba0b467d05c186"}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git_commit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e052268683ccc2c00558c0e9439cd0fe06a2d1c4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effective_config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effective_config.yaml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thermal_pass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none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index_contract_version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1.0-stage0-framework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normalized_data_artifact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checkpoints/stage0_normalized_data.mat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reports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{"environment_data":"reports/阶段0_环境数据与基础设施验收报告.docx","issue_acceptance":"reports/阶段0_问题修复与验收报告.docx","run_summary":"reports/运行_20260718_161942_stage_0_e0522686_结果摘要.docx"}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blocking_acceptance_total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blocking_acceptance_pass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三、MATLAB 与并行环境证据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98"/>
        <w:gridCol w:w="1337"/>
        <w:gridCol w:w="1312"/>
        <w:gridCol w:w="1724"/>
        <w:gridCol w:w="1464"/>
        <w:gridCol w:w="1825"/>
      </w:tblGrid>
      <w:tr>
        <w:trPr>
          <w:tblHeader/>
        </w:trPr>
        <w:tc>
          <w:tcPr>
            <w:tcW w:w="1698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component</w:t>
            </w:r>
          </w:p>
        </w:tc>
        <w:tc>
          <w:tcPr>
            <w:tcW w:w="1337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available</w:t>
            </w:r>
          </w:p>
        </w:tc>
        <w:tc>
          <w:tcPr>
            <w:tcW w:w="1312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1724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run_id</w:t>
            </w:r>
          </w:p>
        </w:tc>
        <w:tc>
          <w:tcPr>
            <w:tcW w:w="1464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check_id</w:t>
            </w:r>
          </w:p>
        </w:tc>
        <w:tc>
          <w:tcPr>
            <w:tcW w:w="182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expected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MATLAB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20260718_161942_stage_0_e0522686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MATLAB_RELEASE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R2024a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稀疏线性代数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20260718_161942_stage_0_e0522686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SPARSE_MLDIVIDE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sparse=true; relative residual &lt;= 1e-12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稀疏 LDL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20260718_161942_stage_0_e0522686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SPARSE_LDL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sparse factor; reconstruction residual &lt;= 1e-12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Parallel Computing Toolbox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20260718_161942_stage_0_e0522686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PCT_INSTALLED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installed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Parallel Computing Toolbox 许可证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20260718_161942_stage_0_e0522686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PCT_LICENSE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available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并行 worker 实测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20260718_161942_stage_0_e0522686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PCT_WORKER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parfeval result = 42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四、输入哈希与数据审计</w:t>
      </w:r>
    </w:p>
    <w:p>
      <w:pPr>
        <w:pStyle w:val="Heading2"/>
        <w:keepNext/>
      </w:pPr>
      <w:r>
        <w:t xml:space="preserve">输入文件 SHA256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15"/>
        <w:gridCol w:w="1775"/>
        <w:gridCol w:w="1775"/>
        <w:gridCol w:w="1291"/>
        <w:gridCol w:w="1683"/>
        <w:gridCol w:w="1521"/>
      </w:tblGrid>
      <w:tr>
        <w:trPr>
          <w:tblHeader/>
        </w:trPr>
        <w:tc>
          <w:tcPr>
            <w:tcW w:w="131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file_name</w:t>
            </w:r>
          </w:p>
        </w:tc>
        <w:tc>
          <w:tcPr>
            <w:tcW w:w="177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expected_sha256</w:t>
            </w:r>
          </w:p>
        </w:tc>
        <w:tc>
          <w:tcPr>
            <w:tcW w:w="177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actual_sha256</w:t>
            </w:r>
          </w:p>
        </w:tc>
        <w:tc>
          <w:tcPr>
            <w:tcW w:w="129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1683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run_id</w:t>
            </w:r>
          </w:p>
        </w:tc>
        <w:tc>
          <w:tcPr>
            <w:tcW w:w="152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relative_path</w:t>
            </w:r>
          </w:p>
        </w:tc>
      </w:tr>
      <w:tr>
        <w:tc>
          <w:tcPr>
            <w:tcW w:w="1315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775" w:type="dxa"/>
            <w:vAlign w:val="center"/>
          </w:tcPr>
          <w:p>
            <w:pPr>
              <w:pStyle w:val="TableText"/>
            </w:pPr>
            <w:r>
              <w:t xml:space="preserve">aebb35fa80e6ba2fb8d4534b09a141feaedcb2b9d027e9924e7a0091943c4277</w:t>
            </w:r>
          </w:p>
        </w:tc>
        <w:tc>
          <w:tcPr>
            <w:tcW w:w="1775" w:type="dxa"/>
            <w:vAlign w:val="center"/>
          </w:tcPr>
          <w:p>
            <w:pPr>
              <w:pStyle w:val="TableText"/>
            </w:pPr>
            <w:r>
              <w:t xml:space="preserve">aebb35fa80e6ba2fb8d4534b09a141feaedcb2b9d027e9924e7a0091943c4277</w:t>
            </w:r>
          </w:p>
        </w:tc>
        <w:tc>
          <w:tcPr>
            <w:tcW w:w="129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683" w:type="dxa"/>
            <w:vAlign w:val="center"/>
          </w:tcPr>
          <w:p>
            <w:pPr>
              <w:pStyle w:val="TableText"/>
            </w:pPr>
            <w:r>
              <w:t xml:space="preserve">20260718_161942_stage_0_e0522686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inputs/raw/基础参数.xlsx</w:t>
            </w:r>
          </w:p>
        </w:tc>
      </w:tr>
      <w:tr>
        <w:tc>
          <w:tcPr>
            <w:tcW w:w="1315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775" w:type="dxa"/>
            <w:vAlign w:val="center"/>
          </w:tcPr>
          <w:p>
            <w:pPr>
              <w:pStyle w:val="TableText"/>
            </w:pPr>
            <w:r>
              <w:t xml:space="preserve">10baac1dc5d0b07dbbb9d2fe8f9aac82f071e43d4fb9901ff7ba0b467d05c186</w:t>
            </w:r>
          </w:p>
        </w:tc>
        <w:tc>
          <w:tcPr>
            <w:tcW w:w="1775" w:type="dxa"/>
            <w:vAlign w:val="center"/>
          </w:tcPr>
          <w:p>
            <w:pPr>
              <w:pStyle w:val="TableText"/>
            </w:pPr>
            <w:r>
              <w:t xml:space="preserve">10baac1dc5d0b07dbbb9d2fe8f9aac82f071e43d4fb9901ff7ba0b467d05c186</w:t>
            </w:r>
          </w:p>
        </w:tc>
        <w:tc>
          <w:tcPr>
            <w:tcW w:w="129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683" w:type="dxa"/>
            <w:vAlign w:val="center"/>
          </w:tcPr>
          <w:p>
            <w:pPr>
              <w:pStyle w:val="TableText"/>
            </w:pPr>
            <w:r>
              <w:t xml:space="preserve">20260718_161942_stage_0_e0522686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inputs/raw/输入数据.xlsx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  <w:keepNext/>
      </w:pPr>
      <w:r>
        <w:t xml:space="preserve">规范化数据审计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20"/>
        <w:gridCol w:w="1455"/>
        <w:gridCol w:w="1455"/>
        <w:gridCol w:w="1551"/>
        <w:gridCol w:w="1521"/>
        <w:gridCol w:w="1458"/>
      </w:tblGrid>
      <w:tr>
        <w:trPr>
          <w:tblHeader/>
        </w:trPr>
        <w:tc>
          <w:tcPr>
            <w:tcW w:w="192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item</w:t>
            </w:r>
          </w:p>
        </w:tc>
        <w:tc>
          <w:tcPr>
            <w:tcW w:w="145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unit</w:t>
            </w:r>
          </w:p>
        </w:tc>
        <w:tc>
          <w:tcPr>
            <w:tcW w:w="145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155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checkId</w:t>
            </w:r>
          </w:p>
        </w:tc>
        <w:tc>
          <w:tcPr>
            <w:tcW w:w="152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sourceFile</w:t>
            </w:r>
          </w:p>
        </w:tc>
        <w:tc>
          <w:tcPr>
            <w:tcW w:w="1458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sheet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input hash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S0-DATA-001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manifest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input hash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S0-DATA-001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manifest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base effective range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time-series effective range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basic parameters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device counts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S0-DATA-003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objective weights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thermal cost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hydro cost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wind planning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solar planning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storage planning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energy-base price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thermal generator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hydro generator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constraint parameters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S0-DATA-005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time metadata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1号水电 daily water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2号水电 daily water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3号水电 daily water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4号水电 daily water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1号风电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2号风电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3号风电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4号风电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5号风电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1号光伏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2号光伏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3号光伏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4号光伏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5号光伏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energy-base plan per unit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S0-DATA-005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五、stage_0 启用与未启用口径</w:t>
      </w:r>
    </w:p>
    <w:p>
      <w:pPr>
        <w:pStyle w:val="Heading2"/>
        <w:keepNext/>
      </w:pPr>
      <w:r>
        <w:t xml:space="preserve">实际启用：INFRA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200"/>
        <w:gridCol w:w="4000"/>
        <w:gridCol w:w="2160"/>
      </w:tblGrid>
      <w:tr>
        <w:trPr>
          <w:tblHeader/>
        </w:trPr>
        <w:tc>
          <w:tcPr>
            <w:tcW w:w="2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组件标识</w:t>
            </w:r>
          </w:p>
        </w:tc>
        <w:tc>
          <w:tcPr>
            <w:tcW w:w="1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类型</w:t>
            </w:r>
          </w:p>
        </w:tc>
        <w:tc>
          <w:tcPr>
            <w:tcW w:w="4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中文名称</w:t>
            </w:r>
          </w:p>
        </w:tc>
        <w:tc>
          <w:tcPr>
            <w:tcW w:w="2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stage_0口径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INFRA_DATA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基础设施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数据、索引、工件、报告框架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INFRA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  <w:keepNext/>
      </w:pPr>
      <w:r>
        <w:t xml:space="preserve">未启用目标与约束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200"/>
        <w:gridCol w:w="4000"/>
        <w:gridCol w:w="2160"/>
      </w:tblGrid>
      <w:tr>
        <w:trPr>
          <w:tblHeader/>
        </w:trPr>
        <w:tc>
          <w:tcPr>
            <w:tcW w:w="2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组件标识</w:t>
            </w:r>
          </w:p>
        </w:tc>
        <w:tc>
          <w:tcPr>
            <w:tcW w:w="1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类型</w:t>
            </w:r>
          </w:p>
        </w:tc>
        <w:tc>
          <w:tcPr>
            <w:tcW w:w="4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中文名称</w:t>
            </w:r>
          </w:p>
        </w:tc>
        <w:tc>
          <w:tcPr>
            <w:tcW w:w="2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stage_0口径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OBJ_INVEST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目标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投资成本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OBJ_OPERATING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目标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运行成本候选项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CON_POWER_BAL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小时功率平衡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CON_SOC_DYN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SOC日内递推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CON_SOC_CLOSE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每日0.5E首末闭合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CON_DURATION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两条储能时长等式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CON_WIND_SOLAR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风光可用率容量界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CON_HYDRO_HOURLY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水电小时出力界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CON_HYDRO_WATER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水电每日用水上下限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CON_FIRE_PASS1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第一次火电0到Pmax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CON_FIRE_PASS2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第二次火电掩码与原始Pmin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CON_STORAGE_BOUNDS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独立Pch/Pdis及SOC界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CON_ANNUAL_AGG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年度边框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弃电率/占比/保供率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CON_MIN_UP_DOWN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未来约束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最小开停机时间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OBJ_START_STOP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未来目标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启动/停机成本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六、唯一索引框架证据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160"/>
        <w:gridCol w:w="1600"/>
        <w:gridCol w:w="1600"/>
      </w:tblGrid>
      <w:tr>
        <w:trPr>
          <w:tblHeader/>
        </w:trPr>
        <w:tc>
          <w:tcPr>
            <w:tcW w:w="6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索引文件</w:t>
            </w:r>
          </w:p>
        </w:tc>
        <w:tc>
          <w:tcPr>
            <w:tcW w:w="16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数据行数</w:t>
            </w:r>
          </w:p>
        </w:tc>
        <w:tc>
          <w:tcPr>
            <w:tcW w:w="16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列数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block_dimensions.csv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block_index.csv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constraint_index.csv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1150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fixed_zero_map.csv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11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index_audit.csv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permutation_map.csv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1694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thermal_mask.csv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11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variable_index.csv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544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七、阻断性验收明细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05"/>
        <w:gridCol w:w="1706"/>
        <w:gridCol w:w="1331"/>
        <w:gridCol w:w="1331"/>
        <w:gridCol w:w="1864"/>
        <w:gridCol w:w="1723"/>
      </w:tblGrid>
      <w:tr>
        <w:trPr>
          <w:tblHeader/>
        </w:trPr>
        <w:tc>
          <w:tcPr>
            <w:tcW w:w="140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test_id</w:t>
            </w:r>
          </w:p>
        </w:tc>
        <w:tc>
          <w:tcPr>
            <w:tcW w:w="1706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requirement</w:t>
            </w:r>
          </w:p>
        </w:tc>
        <w:tc>
          <w:tcPr>
            <w:tcW w:w="133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blocking</w:t>
            </w:r>
          </w:p>
        </w:tc>
        <w:tc>
          <w:tcPr>
            <w:tcW w:w="133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1864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actual_value</w:t>
            </w:r>
          </w:p>
        </w:tc>
        <w:tc>
          <w:tcPr>
            <w:tcW w:w="1723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threshold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S0-ENV-001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MATLAB R2024a可启动并报告版本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24.1.0.2537033 (R2024a) (2024a); sparse=1; nnz=7; relative_residual=0; L_sparse=1; relative_residual=0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R2024a或用户批准兼容版本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S0-ENV-002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Parallel Computing Toolbox可用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Parallel Computing Toolbox 24.1 ((R2024a)); license_test=1; worker_result=42; workers=1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available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输入文件哈希与清单一致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基础参数.xlsx=aebb35fa80e6ba2fb8d4534b09a141feaedcb2b9d027e9924e7a0091943c4277; 输入数据.xlsx=10baac1dc5d0b07dbbb9d2fe8f9aac82f071e43d4fb9901ff7ba0b467d05c186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equal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工作表和审计范围正确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基础参数.xlsx/基础参数 A1:P45; 输入数据.xlsx/Sheet1 A1:AA5492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基础参数 A1:P45; Sheet1 A1:AA5492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S0-DATA-003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设备数量正确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4/4/5/5/2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4/4/5/5/2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时序规模正确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365x24; 60 min; dt=1 h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365x24; dt=1h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S0-DATA-005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计划曲线按10000MW换算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base=10000 MW; converted range=[2070, 9860] MW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2070到9860MW范围审计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S0-IDX-001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索引框架可生成且无重叠/缺口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variables=544; constraints=1150; fixed_zero=60; all gap/overlap/permutation audits PASS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S0-ART-001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唯一run_id目录不可覆盖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run_id=20260718_161942_stage_0_e0522686; duplicate guard=PASS; JSON/CSV/MAT present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S0-RPT-001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可从样例证据生成中文Word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three Chinese DOCX packages generated and structurally validated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八、优化数值适用性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项目</w:t>
            </w:r>
          </w:p>
        </w:tc>
        <w:tc>
          <w:tcPr>
            <w:tcW w:w="63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本次工件结论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优化目标值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完整稀疏 KKT Newton 方向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递推降阶方向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原始-对偶内点迭代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九、证据来源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证据类别</w:t>
            </w:r>
          </w:p>
        </w:tc>
        <w:tc>
          <w:tcPr>
            <w:tcW w:w="6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白名单来源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运行清单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run_manifest.json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MATLAB 与工具箱环境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environment.csv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输入哈希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input_hashes.csv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数据审计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数据审计.csv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验收结果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acceptance_results.csv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问题日志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issue_log.csv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索引框架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indices/*.csv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阶段启用口径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docs/03_阶段模型启用矩阵.csv</w:t>
            </w:r>
          </w:p>
        </w:tc>
      </w:tr>
    </w:tbl>
    <w:p>
      <w:pPr>
        <w:pStyle w:val="TableSpacer"/>
      </w:pPr>
      <w:r>
        <w:t xml:space="preserve"/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t xml:space="preserve">运行 20260718_161942_stage_0_e0522686 | 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stage_0 · 基础设施验收 | 运行 20260718_161942_stage_0_e0522686</w:t>
    </w:r>
  </w:p>
</w:hdr>
</file>

<file path=word/settings.xml><?xml version="1.0" encoding="utf-8"?>
<w:settings xmlns:w="http://schemas.openxmlformats.org/wordprocessingml/2006/main">
  <w:zoom w:percent="100"/>
  <w:defaultTabStop w:val="7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/>
        <w:sz w:val="22"/>
        <w:szCs w:val="22"/>
        <w:lang w:val="zh-CN" w:eastAsia="zh-CN"/>
      </w:rPr>
    </w:rPrDefault>
    <w:pPrDefault>
      <w:pPr>
        <w:spacing w:after="120" w:line="264" w:lineRule="auto"/>
      </w:pPr>
    </w:pPrDefault>
  </w:docDefaults>
  <w:style w:type="paragraph" w:styleId="Normal">
    <w:name w:val="Normal"/>
    <w:qFormat/>
    <w:pPr>
      <w:spacing w:before="0" w:after="120" w:line="264" w:lineRule="auto"/>
    </w:pPr>
    <w:rPr>
      <w:rFonts w:ascii="Arial" w:hAnsi="Arial" w:eastAsia="Microsoft YaHei"/>
      <w:color w:val="000000"/>
      <w:sz w:val="22"/>
      <w:szCs w:val="22"/>
    </w:rPr>
  </w:style>
  <w:style w:type="paragraph" w:styleId="Title">
    <w:name w:val="Title"/>
    <w:basedOn w:val="Normal"/>
    <w:qFormat/>
    <w:pPr>
      <w:spacing w:before="0" w:after="80" w:line="276" w:lineRule="auto"/>
    </w:pPr>
    <w:rPr>
      <w:rFonts w:ascii="Arial" w:hAnsi="Arial" w:eastAsia="Microsoft YaHei"/>
      <w:b/>
      <w:bCs/>
      <w:color w:val="000000"/>
      <w:sz w:val="46"/>
      <w:szCs w:val="46"/>
    </w:rPr>
  </w:style>
  <w:style w:type="paragraph" w:styleId="Subtitle">
    <w:name w:val="Subtitle"/>
    <w:basedOn w:val="Normal"/>
    <w:qFormat/>
    <w:pPr>
      <w:spacing w:before="0" w:after="240" w:line="300" w:lineRule="auto"/>
    </w:pPr>
    <w:rPr>
      <w:rFonts w:ascii="Arial" w:hAnsi="Arial" w:eastAsia="Microsoft YaHei"/>
      <w:color w:val="555555"/>
      <w:sz w:val="28"/>
      <w:szCs w:val="28"/>
    </w:rPr>
  </w:style>
  <w:style w:type="paragraph" w:styleId="Heading1">
    <w:name w:val="Heading 1"/>
    <w:basedOn w:val="Normal"/>
    <w:qFormat/>
    <w:pPr>
      <w:spacing w:before="320" w:after="160" w:line="264" w:lineRule="auto"/>
    </w:pPr>
    <w:rPr>
      <w:rFonts w:ascii="Arial" w:hAnsi="Arial" w:eastAsia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qFormat/>
    <w:pPr>
      <w:spacing w:before="240" w:after="120" w:line="264" w:lineRule="auto"/>
    </w:pPr>
    <w:rPr>
      <w:rFonts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qFormat/>
    <w:pPr>
      <w:spacing w:before="160" w:after="80" w:line="264" w:lineRule="auto"/>
    </w:pPr>
    <w:rPr>
      <w:rFonts w:ascii="Arial" w:hAnsi="Arial" w:eastAsia="Microsoft YaHei"/>
      <w:b/>
      <w:bCs/>
      <w:color w:val="1F4D78"/>
      <w:sz w:val="24"/>
      <w:szCs w:val="24"/>
    </w:rPr>
  </w:style>
  <w:style w:type="paragraph" w:styleId="TableHeader">
    <w:name w:val="Table Header"/>
    <w:basedOn w:val="Normal"/>
    <w:qFormat/>
    <w:pPr>
      <w:spacing w:before="0" w:after="0" w:line="240" w:lineRule="auto"/>
    </w:pPr>
    <w:rPr>
      <w:rFonts w:ascii="Arial" w:hAnsi="Arial" w:eastAsia="Microsoft YaHei"/>
      <w:b/>
      <w:bCs/>
      <w:color w:val="0B2545"/>
      <w:sz w:val="19"/>
      <w:szCs w:val="19"/>
    </w:rPr>
  </w:style>
  <w:style w:type="paragraph" w:styleId="TableText">
    <w:name w:val="Table Text"/>
    <w:basedOn w:val="Normal"/>
    <w:qFormat/>
    <w:pPr>
      <w:spacing w:before="0" w:after="0" w:line="240" w:lineRule="auto"/>
    </w:pPr>
    <w:rPr>
      <w:rFonts w:ascii="Arial" w:hAnsi="Arial" w:eastAsia="Microsoft YaHei"/>
      <w:color w:val="000000"/>
      <w:sz w:val="19"/>
      <w:szCs w:val="19"/>
    </w:rPr>
  </w:style>
  <w:style w:type="paragraph" w:styleId="TableSpacer">
    <w:name w:val="Table Spacer"/>
    <w:basedOn w:val="Normal"/>
    <w:qFormat/>
    <w:pPr>
      <w:spacing w:before="0" w:after="80" w:line="240" w:lineRule="auto"/>
    </w:pPr>
    <w:rPr>
      <w:rFonts w:ascii="Arial" w:hAnsi="Arial" w:eastAsia="Microsoft YaHei"/>
      <w:color w:val="FFFFFF"/>
      <w:sz w:val="4"/>
      <w:szCs w:val="4"/>
    </w:rPr>
  </w:style>
  <w:style w:type="paragraph" w:styleId="CalloutTitle">
    <w:name w:val="Callout Title"/>
    <w:basedOn w:val="Normal"/>
    <w:qFormat/>
    <w:pPr>
      <w:spacing w:before="0" w:after="60" w:line="264" w:lineRule="auto"/>
    </w:pPr>
    <w:rPr>
      <w:rFonts w:ascii="Arial" w:hAnsi="Arial" w:eastAsia="Microsoft YaHei"/>
      <w:b/>
      <w:bCs/>
      <w:color w:val="1F3A5F"/>
      <w:sz w:val="23"/>
      <w:szCs w:val="23"/>
    </w:rPr>
  </w:style>
  <w:style w:type="paragraph" w:styleId="CalloutText">
    <w:name w:val="Callout Text"/>
    <w:basedOn w:val="Normal"/>
    <w:qFormat/>
    <w:pPr>
      <w:spacing w:before="0" w:after="0" w:line="264" w:lineRule="auto"/>
    </w:pPr>
    <w:rPr>
      <w:rFonts w:ascii="Arial" w:hAnsi="Arial" w:eastAsia="Microsoft YaHei"/>
      <w:color w:val="000000"/>
      <w:sz w:val="21"/>
      <w:szCs w:val="21"/>
    </w:rPr>
  </w:style>
  <w:style w:type="paragraph" w:styleId="Header">
    <w:name w:val="Header"/>
    <w:basedOn w:val="Normal"/>
    <w:qFormat/>
    <w:pPr>
      <w:spacing w:before="0" w:after="0" w:line="240" w:lineRule="auto"/>
    </w:pPr>
    <w:rPr>
      <w:rFonts w:ascii="Arial" w:hAnsi="Arial" w:eastAsia="Microsoft YaHei"/>
      <w:color w:val="666666"/>
      <w:sz w:val="18"/>
      <w:szCs w:val="18"/>
    </w:rPr>
  </w:style>
  <w:style w:type="paragraph" w:styleId="Footer">
    <w:name w:val="Footer"/>
    <w:basedOn w:val="Normal"/>
    <w:qFormat/>
    <w:pPr>
      <w:spacing w:before="0" w:after="0" w:line="240" w:lineRule="auto"/>
    </w:pPr>
    <w:rPr>
      <w:rFonts w:ascii="Arial" w:hAnsi="Arial" w:eastAsia="Microsoft YaHei"/>
      <w:color w:val="777777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MATLAB stage_0 reporting</Application>
</Properties>
</file>

<file path=docProps/core.xml><?xml version="1.0" encoding="utf-8"?>
<cp:coreProperties xmlns:cp="http://schemas.openxmlformats.org/package/2006/metadata/core-properties" xmlns:dc="http://purl.org/dc/elements/1.1/">
  <dc:title>阶段0_环境数据与基础设施验收报告</dc:title>
  <dc:creator>stage_0 报告基础设施</dc:creator>
</cp:coreProperties>
</file>