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阶段0_环境数据与基础设施验收报告</w:t>
      </w:r>
    </w:p>
    <w:p>
      <w:pPr>
        <w:pStyle w:val="Subtitle"/>
      </w:pPr>
      <w:r>
        <w:t xml:space="preserve">环境、数据、索引与工件基础设施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一、验收结论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acceptance_results.csv 已记录的阻断项均为 PASS（仅限现存记录，不代表验收项完整性）</w:t>
            </w:r>
          </w:p>
          <w:p>
            <w:pPr>
              <w:pStyle w:val="CalloutText"/>
            </w:pPr>
            <w:r>
              <w:t xml:space="preserve">阻断项 10 项；PASS 10 项；非 PASS 0 项。结论由 acceptance_results.csv 自动汇总。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stage_0 仅启用 INFRA 基础设施口径；优化目标、物理约束、完整 KKT、递推方向与内点迭代均未运行/不适用。</w:t>
      </w:r>
    </w:p>
    <w:p>
      <w:pPr>
        <w:pStyle w:val="Heading1"/>
        <w:keepNext/>
      </w:pPr>
      <w:r>
        <w:t xml:space="preserve">二、运行标识与清单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字段</w:t>
            </w:r>
          </w:p>
        </w:tc>
        <w:tc>
          <w:tcPr>
            <w:tcW w:w="7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run_id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stage_id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started_at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2026-07-18T16:38:32.945Z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ended_at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2026-07-18T16:39:03.509Z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model_contract_version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input_hashes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{"base_parameters":"aebb35fa80e6ba2fb8d4534b09a141feaedcb2b9d027e9924e7a0091943c4277","timeseries":"10baac1dc5d0b07dbbb9d2fe8f9aac82f071e43d4fb9901ff7ba0b467d05c186"}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git_commit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9e12222ebf20b4f9213baca68f581fe77d9b7739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effective_config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effective_config.yaml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thermal_pass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none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index_contract_version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1.0-stage0-framework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normalized_data_artifact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checkpoints/stage0_normalized_data.mat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reports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{"environment_data":"reports/阶段0_环境数据与基础设施验收报告.docx","issue_acceptance":"reports/阶段0_问题修复与验收报告.docx","run_summary":"reports/运行_20260718_163832_stage_0_9e12222e_结果摘要.docx"}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blocking_acceptance_total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blocking_acceptance_pass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三、MATLAB 与并行环境证据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98"/>
        <w:gridCol w:w="1337"/>
        <w:gridCol w:w="1312"/>
        <w:gridCol w:w="1724"/>
        <w:gridCol w:w="1464"/>
        <w:gridCol w:w="1825"/>
      </w:tblGrid>
      <w:tr>
        <w:trPr>
          <w:tblHeader/>
        </w:trPr>
        <w:tc>
          <w:tcPr>
            <w:tcW w:w="1698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component</w:t>
            </w:r>
          </w:p>
        </w:tc>
        <w:tc>
          <w:tcPr>
            <w:tcW w:w="1337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available</w:t>
            </w:r>
          </w:p>
        </w:tc>
        <w:tc>
          <w:tcPr>
            <w:tcW w:w="1312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72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run_id</w:t>
            </w:r>
          </w:p>
        </w:tc>
        <w:tc>
          <w:tcPr>
            <w:tcW w:w="14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check_id</w:t>
            </w:r>
          </w:p>
        </w:tc>
        <w:tc>
          <w:tcPr>
            <w:tcW w:w="182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expected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MATLAB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MATLAB_RELEASE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R2024a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稀疏线性代数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SPARSE_MLDIVIDE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sparse=true; relative residual &lt;= 1e-12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稀疏 LDL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SPARSE_LDL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sparse factor; reconstruction residual &lt;= 1e-12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Parallel Computing Toolbox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PCT_INSTALLED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installed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Parallel Computing Toolbox 许可证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PCT_LICENSE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并行 worker 实测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PCT_WORKER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parfeval result = 42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四、输入哈希与数据审计</w:t>
      </w:r>
    </w:p>
    <w:p>
      <w:pPr>
        <w:pStyle w:val="Heading2"/>
        <w:keepNext/>
      </w:pPr>
      <w:r>
        <w:t xml:space="preserve">输入文件 SHA256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15"/>
        <w:gridCol w:w="1775"/>
        <w:gridCol w:w="1775"/>
        <w:gridCol w:w="1291"/>
        <w:gridCol w:w="1683"/>
        <w:gridCol w:w="1521"/>
      </w:tblGrid>
      <w:tr>
        <w:trPr>
          <w:tblHeader/>
        </w:trPr>
        <w:tc>
          <w:tcPr>
            <w:tcW w:w="131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file_name</w:t>
            </w:r>
          </w:p>
        </w:tc>
        <w:tc>
          <w:tcPr>
            <w:tcW w:w="177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expected_sha256</w:t>
            </w:r>
          </w:p>
        </w:tc>
        <w:tc>
          <w:tcPr>
            <w:tcW w:w="177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actual_sha256</w:t>
            </w:r>
          </w:p>
        </w:tc>
        <w:tc>
          <w:tcPr>
            <w:tcW w:w="129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68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run_id</w:t>
            </w:r>
          </w:p>
        </w:tc>
        <w:tc>
          <w:tcPr>
            <w:tcW w:w="152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relative_path</w:t>
            </w:r>
          </w:p>
        </w:tc>
      </w:tr>
      <w:tr>
        <w:tc>
          <w:tcPr>
            <w:tcW w:w="1315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aebb35fa80e6ba2fb8d4534b09a141feaedcb2b9d027e9924e7a0091943c4277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aebb35fa80e6ba2fb8d4534b09a141feaedcb2b9d027e9924e7a0091943c4277</w:t>
            </w:r>
          </w:p>
        </w:tc>
        <w:tc>
          <w:tcPr>
            <w:tcW w:w="129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683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inputs/raw/基础参数.xlsx</w:t>
            </w:r>
          </w:p>
        </w:tc>
      </w:tr>
      <w:tr>
        <w:tc>
          <w:tcPr>
            <w:tcW w:w="1315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10baac1dc5d0b07dbbb9d2fe8f9aac82f071e43d4fb9901ff7ba0b467d05c186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10baac1dc5d0b07dbbb9d2fe8f9aac82f071e43d4fb9901ff7ba0b467d05c186</w:t>
            </w:r>
          </w:p>
        </w:tc>
        <w:tc>
          <w:tcPr>
            <w:tcW w:w="129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683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inputs/raw/输入数据.xlsx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  <w:keepNext/>
      </w:pPr>
      <w:r>
        <w:t xml:space="preserve">规范化数据审计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20"/>
        <w:gridCol w:w="1455"/>
        <w:gridCol w:w="1455"/>
        <w:gridCol w:w="1551"/>
        <w:gridCol w:w="1521"/>
        <w:gridCol w:w="1458"/>
      </w:tblGrid>
      <w:tr>
        <w:trPr>
          <w:tblHeader/>
        </w:trPr>
        <w:tc>
          <w:tcPr>
            <w:tcW w:w="192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item</w:t>
            </w:r>
          </w:p>
        </w:tc>
        <w:tc>
          <w:tcPr>
            <w:tcW w:w="145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unit</w:t>
            </w:r>
          </w:p>
        </w:tc>
        <w:tc>
          <w:tcPr>
            <w:tcW w:w="145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55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checkId</w:t>
            </w:r>
          </w:p>
        </w:tc>
        <w:tc>
          <w:tcPr>
            <w:tcW w:w="152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sourceFile</w:t>
            </w:r>
          </w:p>
        </w:tc>
        <w:tc>
          <w:tcPr>
            <w:tcW w:w="1458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sheet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input hash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manifest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input hash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manifest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base effective range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time-series effective range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basic parameters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device counts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objective weights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thermal cost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hydro cost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wind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solar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storage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energy-base price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thermal generator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hydro generator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constraint parameters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time metadata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5号风电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5号光伏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energy-base plan per unit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五、stage_0 启用与未启用口径</w:t>
      </w:r>
    </w:p>
    <w:p>
      <w:pPr>
        <w:pStyle w:val="Heading2"/>
        <w:keepNext/>
      </w:pPr>
      <w:r>
        <w:t xml:space="preserve">实际启用：INFRA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INFRA_DATA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基础设施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数据、索引、工件、报告框架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INFRA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  <w:keepNext/>
      </w:pPr>
      <w:r>
        <w:t xml:space="preserve">未启用目标与约束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OBJ_INVEST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投资成本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OBJ_OPERATING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运行成本候选项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CON_POWER_BAL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小时功率平衡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CON_SOC_DYN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SOC日内递推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CON_SOC_CLOSE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每日0.5E首末闭合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CON_DURATION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两条储能时长等式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CON_WIND_SOLAR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风光可用率容量界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CON_HYDRO_HOURLY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水电小时出力界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CON_HYDRO_WATER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水电每日用水上下限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CON_FIRE_PASS1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第一次火电0到Pmax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CON_FIRE_PASS2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第二次火电掩码与原始Pmin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CON_STORAGE_BOUNDS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独立Pch/Pdis及SOC界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CON_ANNUAL_AGG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年度边框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弃电率/占比/保供率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CON_MIN_UP_DOWN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未来约束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最小开停机时间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OBJ_START_STOP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未来目标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启动/停机成本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六、唯一索引框架证据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160"/>
        <w:gridCol w:w="1600"/>
        <w:gridCol w:w="1600"/>
      </w:tblGrid>
      <w:tr>
        <w:trPr>
          <w:tblHeader/>
        </w:trPr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索引文件</w:t>
            </w:r>
          </w:p>
        </w:tc>
        <w:tc>
          <w:tcPr>
            <w:tcW w:w="16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数据行数</w:t>
            </w:r>
          </w:p>
        </w:tc>
        <w:tc>
          <w:tcPr>
            <w:tcW w:w="16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列数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block_dimensions.csv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block_index.csv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constraint_index.csv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1150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fixed_zero_map.csv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index_audit.csv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permutation_map.csv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1694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thermal_mask.csv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variable_index.csv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544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七、阻断性验收明细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5"/>
        <w:gridCol w:w="1706"/>
        <w:gridCol w:w="1331"/>
        <w:gridCol w:w="1331"/>
        <w:gridCol w:w="1864"/>
        <w:gridCol w:w="1723"/>
      </w:tblGrid>
      <w:tr>
        <w:trPr>
          <w:tblHeader/>
        </w:trPr>
        <w:tc>
          <w:tcPr>
            <w:tcW w:w="140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test_id</w:t>
            </w:r>
          </w:p>
        </w:tc>
        <w:tc>
          <w:tcPr>
            <w:tcW w:w="1706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requirement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blocking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8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actual_value</w:t>
            </w:r>
          </w:p>
        </w:tc>
        <w:tc>
          <w:tcPr>
            <w:tcW w:w="172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threshold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MATLAB R2024a可启动并报告版本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24.1.0.2537033 (R2024a) (2024a); sparse=1; nnz=7; relative_residual=0; L_sparse=1; relative_residual=0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R2024a或用户批准兼容版本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Parallel Computing Toolbox可用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Parallel Computing Toolbox 24.1 ((R2024a)); license_test=1; worker_result=42; workers=1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输入文件哈希与清单一致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基础参数.xlsx=aebb35fa80e6ba2fb8d4534b09a141feaedcb2b9d027e9924e7a0091943c4277; 输入数据.xlsx=10baac1dc5d0b07dbbb9d2fe8f9aac82f071e43d4fb9901ff7ba0b467d05c186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equal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工作表和审计范围正确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基础参数.xlsx/基础参数 A1:P45; 输入数据.xlsx/Sheet1 A1:AA5492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基础参数 A1:P45; Sheet1 A1:AA5492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设备数量正确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时序规模正确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365x24; 60 min; dt=1 h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365x24; dt=1h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计划曲线按10000MW换算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base=10000 MW; converted range=[2070, 9860] MW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2070到9860MW范围审计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S0-IDX-001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索引框架可生成且无重叠/缺口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variables=544; constraints=1150; fixed_zero=60; all gap/overlap/permutation audits PASS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S0-ART-001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唯一run_id目录不可覆盖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run_id=20260718_163832_stage_0_9e12222e; duplicate guard=PASS; JSON/CSV/MAT present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S0-RPT-001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可从样例证据生成中文Word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three Chinese DOCX packages generated and structurally validated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八、优化数值适用性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优化目标值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完整稀疏 KKT Newton 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递推降阶方向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原始-对偶内点迭代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九、证据来源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证据类别</w:t>
            </w:r>
          </w:p>
        </w:tc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白名单来源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运行清单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run_manifest.json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MATLAB 与工具箱环境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environment.csv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输入哈希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input_hashes.csv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数据审计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数据审计.csv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验收结果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acceptance_results.csv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问题日志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issue_log.csv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索引框架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indices/*.csv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阶段启用口径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docs/03_阶段模型启用矩阵.csv</w:t>
            </w:r>
          </w:p>
        </w:tc>
      </w:tr>
    </w:tbl>
    <w:p>
      <w:pPr>
        <w:pStyle w:val="TableSpacer"/>
      </w:pPr>
      <w:r>
        <w:t xml:space="preserve"/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20260718_163832_stage_0_9e12222e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20260718_163832_stage_0_9e12222e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阶段0_环境数据与基础设施验收报告</dc:title>
  <dc:creator>stage_0 报告基础设施</dc:creator>
</cp:coreProperties>
</file>